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1B3A6B" w:val="clear"/>
            <w:tcMar>
              <w:top w:type="dxa" w:w="600"/>
              <w:left w:type="dxa" w:w="400"/>
              <w:bottom w:type="dxa" w:w="200"/>
              <w:right w:type="dxa" w:w="400"/>
            </w:tcMar>
          </w:tcPr>
          <w:p>
            <w:pPr>
              <w:spacing w:after="100"/>
              <w:jc w:val="center"/>
            </w:pPr>
            <w:r>
              <w:rPr>
                <w:rFonts w:ascii="Arial" w:cs="Arial" w:eastAsia="Arial" w:hAnsi="Arial"/>
                <w:b/>
                <w:bCs/>
                <w:color w:val="CCDDEE"/>
                <w:sz w:val="28"/>
                <w:szCs w:val="28"/>
              </w:rPr>
              <w:t xml:space="preserve">RELIANCE INDUSTRIES LIMITED</w:t>
            </w:r>
          </w:p>
          <w:p>
            <w:pPr>
              <w:spacing w:after="60" w:before="60"/>
              <w:jc w:val="center"/>
            </w:pPr>
            <w:r>
              <w:rPr>
                <w:rFonts w:ascii="Arial" w:cs="Arial" w:eastAsia="Arial" w:hAnsi="Arial"/>
                <w:b/>
                <w:bCs/>
                <w:color w:val="FFA500"/>
                <w:sz w:val="22"/>
                <w:szCs w:val="22"/>
              </w:rPr>
              <w:t xml:space="preserve">OIL &amp; GAS DIVISION</w:t>
            </w:r>
          </w:p>
          <w:p>
            <w:pPr>
              <w:spacing w:after="120" w:before="240"/>
              <w:jc w:val="center"/>
            </w:pPr>
            <w:r>
              <w:rPr>
                <w:rFonts w:ascii="Arial" w:cs="Arial" w:eastAsia="Arial" w:hAnsi="Arial"/>
                <w:b/>
                <w:bCs/>
                <w:color w:val="FFFFFF"/>
                <w:sz w:val="54"/>
                <w:szCs w:val="54"/>
              </w:rPr>
              <w:t xml:space="preserve">STRATEGIC INTELLIGENCE REPORT</w:t>
            </w:r>
          </w:p>
          <w:p>
            <w:pPr>
              <w:spacing w:after="200" w:before="100"/>
              <w:jc w:val="center"/>
            </w:pPr>
            <w:r>
              <w:rPr>
                <w:rFonts w:ascii="Arial" w:cs="Arial" w:eastAsia="Arial" w:hAnsi="Arial"/>
                <w:i/>
                <w:iCs/>
                <w:color w:val="AACCEE"/>
                <w:sz w:val="24"/>
                <w:szCs w:val="24"/>
              </w:rPr>
              <w:t xml:space="preserve">Business Model · AI/ML Implementation · Digital Transformation Roadmap</w:t>
            </w:r>
          </w:p>
          <w:p>
            <w:pPr>
              <w:spacing w:before="300"/>
              <w:jc w:val="center"/>
            </w:pPr>
            <w:r>
              <w:rPr>
                <w:rFonts w:ascii="Arial" w:cs="Arial" w:eastAsia="Arial" w:hAnsi="Arial"/>
                <w:color w:val="E84C1E"/>
                <w:sz w:val="20"/>
                <w:szCs w:val="20"/>
              </w:rPr>
              <w:t xml:space="preserve">━━━━━━━━━━━━━━━━━━━━━━━━━━━━━━━━━━━━━━━━</w:t>
            </w:r>
          </w:p>
          <w:p>
            <w:pPr>
              <w:spacing w:after="600" w:before="100"/>
              <w:jc w:val="center"/>
            </w:pPr>
            <w:r>
              <w:rPr>
                <w:rFonts w:ascii="Arial" w:cs="Arial" w:eastAsia="Arial" w:hAnsi="Arial"/>
                <w:color w:val="99BBDD"/>
                <w:sz w:val="20"/>
                <w:szCs w:val="20"/>
              </w:rPr>
              <w:t xml:space="preserve">Prepared by: Strategic Technology &amp; Innovation Advisory  |  April 2026</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EEF4FB" w:val="clear"/>
            <w:tcMar>
              <w:top w:type="dxa" w:w="120"/>
              <w:left w:type="dxa" w:w="120"/>
              <w:bottom w:type="dxa" w:w="120"/>
              <w:right w:type="dxa" w:w="120"/>
            </w:tcMar>
            <w:vAlign w:val="center"/>
          </w:tcPr>
          <w:p>
            <w:pPr>
              <w:jc w:val="center"/>
            </w:pPr>
            <w:r>
              <w:rPr>
                <w:rFonts w:ascii="Arial" w:cs="Arial" w:eastAsia="Arial" w:hAnsi="Arial"/>
                <w:b/>
                <w:bCs/>
                <w:color w:val="E84C1E"/>
                <w:sz w:val="40"/>
                <w:szCs w:val="40"/>
              </w:rPr>
              <w:t xml:space="preserve">1.24</w:t>
            </w:r>
          </w:p>
          <w:p>
            <w:pPr>
              <w:spacing w:before="40"/>
              <w:jc w:val="center"/>
            </w:pPr>
            <w:r>
              <w:rPr>
                <w:rFonts w:ascii="Arial" w:cs="Arial" w:eastAsia="Arial" w:hAnsi="Arial"/>
                <w:color w:val="6B7280"/>
                <w:sz w:val="18"/>
                <w:szCs w:val="18"/>
              </w:rPr>
              <w:t xml:space="preserve">Million BPD</w:t>
            </w:r>
          </w:p>
          <w:p>
            <w:pPr>
              <w:spacing w:before="60"/>
              <w:jc w:val="center"/>
            </w:pPr>
            <w:r>
              <w:rPr>
                <w:rFonts w:ascii="Arial" w:cs="Arial" w:eastAsia="Arial" w:hAnsi="Arial"/>
                <w:b/>
                <w:bCs/>
                <w:color w:val="1B3A6B"/>
                <w:sz w:val="20"/>
                <w:szCs w:val="20"/>
              </w:rPr>
              <w:t xml:space="preserve">Refining Capacity</w:t>
            </w:r>
          </w:p>
        </w:tc>
        <w:tc>
          <w:tcPr>
            <w:tcW w:type="dxa" w:w="2340"/>
            <w:tcBorders>
              <w:top w:val="single" w:color="D1D5DB" w:sz="1"/>
              <w:left w:val="single" w:color="D1D5DB" w:sz="1"/>
              <w:bottom w:val="single" w:color="D1D5DB" w:sz="1"/>
              <w:right w:val="single" w:color="D1D5DB" w:sz="1"/>
            </w:tcBorders>
            <w:shd w:fill="EEF4FB" w:val="clear"/>
            <w:tcMar>
              <w:top w:type="dxa" w:w="120"/>
              <w:left w:type="dxa" w:w="120"/>
              <w:bottom w:type="dxa" w:w="120"/>
              <w:right w:type="dxa" w:w="120"/>
            </w:tcMar>
            <w:vAlign w:val="center"/>
          </w:tcPr>
          <w:p>
            <w:pPr>
              <w:jc w:val="center"/>
            </w:pPr>
            <w:r>
              <w:rPr>
                <w:rFonts w:ascii="Arial" w:cs="Arial" w:eastAsia="Arial" w:hAnsi="Arial"/>
                <w:b/>
                <w:bCs/>
                <w:color w:val="E84C1E"/>
                <w:sz w:val="40"/>
                <w:szCs w:val="40"/>
              </w:rPr>
              <w:t xml:space="preserve">~30%</w:t>
            </w:r>
          </w:p>
          <w:p>
            <w:pPr>
              <w:spacing w:before="40"/>
              <w:jc w:val="center"/>
            </w:pPr>
            <w:r>
              <w:rPr>
                <w:rFonts w:ascii="Arial" w:cs="Arial" w:eastAsia="Arial" w:hAnsi="Arial"/>
                <w:color w:val="6B7280"/>
                <w:sz w:val="18"/>
                <w:szCs w:val="18"/>
              </w:rPr>
              <w:t xml:space="preserve">of India's Domestic Gas</w:t>
            </w:r>
          </w:p>
          <w:p>
            <w:pPr>
              <w:spacing w:before="60"/>
              <w:jc w:val="center"/>
            </w:pPr>
            <w:r>
              <w:rPr>
                <w:rFonts w:ascii="Arial" w:cs="Arial" w:eastAsia="Arial" w:hAnsi="Arial"/>
                <w:b/>
                <w:bCs/>
                <w:color w:val="1B3A6B"/>
                <w:sz w:val="20"/>
                <w:szCs w:val="20"/>
              </w:rPr>
              <w:t xml:space="preserve">Gas Production</w:t>
            </w:r>
          </w:p>
        </w:tc>
        <w:tc>
          <w:tcPr>
            <w:tcW w:type="dxa" w:w="2340"/>
            <w:tcBorders>
              <w:top w:val="single" w:color="D1D5DB" w:sz="1"/>
              <w:left w:val="single" w:color="D1D5DB" w:sz="1"/>
              <w:bottom w:val="single" w:color="D1D5DB" w:sz="1"/>
              <w:right w:val="single" w:color="D1D5DB" w:sz="1"/>
            </w:tcBorders>
            <w:shd w:fill="EEF4FB" w:val="clear"/>
            <w:tcMar>
              <w:top w:type="dxa" w:w="120"/>
              <w:left w:type="dxa" w:w="120"/>
              <w:bottom w:type="dxa" w:w="120"/>
              <w:right w:type="dxa" w:w="120"/>
            </w:tcMar>
            <w:vAlign w:val="center"/>
          </w:tcPr>
          <w:p>
            <w:pPr>
              <w:jc w:val="center"/>
            </w:pPr>
            <w:r>
              <w:rPr>
                <w:rFonts w:ascii="Arial" w:cs="Arial" w:eastAsia="Arial" w:hAnsi="Arial"/>
                <w:b/>
                <w:bCs/>
                <w:color w:val="E84C1E"/>
                <w:sz w:val="40"/>
                <w:szCs w:val="40"/>
              </w:rPr>
              <w:t xml:space="preserve">₹6.7L Cr</w:t>
            </w:r>
          </w:p>
          <w:p>
            <w:pPr>
              <w:spacing w:before="40"/>
              <w:jc w:val="center"/>
            </w:pPr>
            <w:r>
              <w:rPr>
                <w:rFonts w:ascii="Arial" w:cs="Arial" w:eastAsia="Arial" w:hAnsi="Arial"/>
                <w:color w:val="6B7280"/>
                <w:sz w:val="18"/>
                <w:szCs w:val="18"/>
              </w:rPr>
              <w:t xml:space="preserve">Annual Revenue</w:t>
            </w:r>
          </w:p>
          <w:p>
            <w:pPr>
              <w:spacing w:before="60"/>
              <w:jc w:val="center"/>
            </w:pPr>
            <w:r>
              <w:rPr>
                <w:rFonts w:ascii="Arial" w:cs="Arial" w:eastAsia="Arial" w:hAnsi="Arial"/>
                <w:b/>
                <w:bCs/>
                <w:color w:val="1B3A6B"/>
                <w:sz w:val="20"/>
                <w:szCs w:val="20"/>
              </w:rPr>
              <w:t xml:space="preserve">O2C Revenue FY25</w:t>
            </w:r>
          </w:p>
        </w:tc>
        <w:tc>
          <w:tcPr>
            <w:tcW w:type="dxa" w:w="2340"/>
            <w:tcBorders>
              <w:top w:val="single" w:color="D1D5DB" w:sz="1"/>
              <w:left w:val="single" w:color="D1D5DB" w:sz="1"/>
              <w:bottom w:val="single" w:color="D1D5DB" w:sz="1"/>
              <w:right w:val="single" w:color="D1D5DB" w:sz="1"/>
            </w:tcBorders>
            <w:shd w:fill="EEF4FB" w:val="clear"/>
            <w:tcMar>
              <w:top w:type="dxa" w:w="120"/>
              <w:left w:type="dxa" w:w="120"/>
              <w:bottom w:type="dxa" w:w="120"/>
              <w:right w:type="dxa" w:w="120"/>
            </w:tcMar>
            <w:vAlign w:val="center"/>
          </w:tcPr>
          <w:p>
            <w:pPr>
              <w:jc w:val="center"/>
            </w:pPr>
            <w:r>
              <w:rPr>
                <w:rFonts w:ascii="Arial" w:cs="Arial" w:eastAsia="Arial" w:hAnsi="Arial"/>
                <w:b/>
                <w:bCs/>
                <w:color w:val="E84C1E"/>
                <w:sz w:val="40"/>
                <w:szCs w:val="40"/>
              </w:rPr>
              <w:t xml:space="preserve">₹21,188</w:t>
            </w:r>
          </w:p>
          <w:p>
            <w:pPr>
              <w:spacing w:before="40"/>
              <w:jc w:val="center"/>
            </w:pPr>
            <w:r>
              <w:rPr>
                <w:rFonts w:ascii="Arial" w:cs="Arial" w:eastAsia="Arial" w:hAnsi="Arial"/>
                <w:color w:val="6B7280"/>
                <w:sz w:val="18"/>
                <w:szCs w:val="18"/>
              </w:rPr>
              <w:t xml:space="preserve">Crore — FY 2024-25</w:t>
            </w:r>
          </w:p>
          <w:p>
            <w:pPr>
              <w:spacing w:before="60"/>
              <w:jc w:val="center"/>
            </w:pPr>
            <w:r>
              <w:rPr>
                <w:rFonts w:ascii="Arial" w:cs="Arial" w:eastAsia="Arial" w:hAnsi="Arial"/>
                <w:b/>
                <w:bCs/>
                <w:color w:val="1B3A6B"/>
                <w:sz w:val="20"/>
                <w:szCs w:val="20"/>
              </w:rPr>
              <w:t xml:space="preserve">Record EBITDA (E&amp;P)</w:t>
            </w:r>
          </w:p>
        </w:tc>
      </w:tr>
    </w:tbl>
    <w:p>
      <w:pPr>
        <w:spacing w:before="300"/>
      </w:pPr>
    </w:p>
    <w:p>
      <w:pPr>
        <w:jc w:val="center"/>
      </w:pPr>
      <w:r>
        <w:rPr>
          <w:rFonts w:ascii="Arial" w:cs="Arial" w:eastAsia="Arial" w:hAnsi="Arial"/>
          <w:i/>
          <w:iCs/>
          <w:color w:val="6B7280"/>
          <w:sz w:val="21"/>
          <w:szCs w:val="21"/>
        </w:rPr>
        <w:t xml:space="preserve">This report delivers a comprehensive analysis of RIL's oil &amp; gas business model, current AI/ML adoption landscape, and a detailed implementation roadmap for transformative digital intelligence.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SECTION 01 — CURRENT BUSINESS MODEL</w:t>
            </w:r>
          </w:p>
        </w:tc>
      </w:tr>
    </w:tbl>
    <w:p>
      <w:pPr>
        <w:spacing w:before="200"/>
      </w:pPr>
    </w:p>
    <w:p>
      <w:pPr>
        <w:pStyle w:val="Heading1"/>
        <w:pBdr>
          <w:bottom w:val="single" w:color="E84C1E" w:sz="4" w:space="6"/>
        </w:pBdr>
        <w:spacing w:after="200" w:before="480"/>
      </w:pPr>
      <w:r>
        <w:rPr>
          <w:rFonts w:ascii="Arial" w:cs="Arial" w:eastAsia="Arial" w:hAnsi="Arial"/>
          <w:b/>
          <w:bCs/>
          <w:color w:val="1B3A6B"/>
          <w:sz w:val="36"/>
          <w:szCs w:val="36"/>
        </w:rPr>
        <w:t xml:space="preserve">The Reliance Oil &amp; Gas Business Model</w:t>
      </w:r>
    </w:p>
    <w:p>
      <w:pPr>
        <w:spacing w:after="80" w:before="80" w:line="340"/>
      </w:pPr>
      <w:r>
        <w:rPr>
          <w:rFonts w:ascii="Arial" w:cs="Arial" w:eastAsia="Arial" w:hAnsi="Arial"/>
          <w:color w:val="1A1A2E"/>
          <w:sz w:val="22"/>
          <w:szCs w:val="22"/>
        </w:rPr>
        <w:t xml:space="preserve">Reliance Industries Limited (RIL) stands as a colossal force in India's energy landscape — a fully vertically integrated energy conglomerate that commands operations spanning the entire hydrocarbon value chain. From deepwater exploration off the Krishna Godavari basin to the world's largest single-location refinery complex at Jamnagar, and through its pioneering Oil-to-Chemicals (O2C) strategy, RIL has transformed from a textiles company into one of the most complex and formidable energy enterprises on the planet.</w:t>
      </w:r>
    </w:p>
    <w:p>
      <w:pPr>
        <w:spacing w:before="100"/>
      </w:pPr>
    </w:p>
    <w:p>
      <w:pPr>
        <w:pStyle w:val="Heading2"/>
        <w:spacing w:after="160" w:before="360"/>
      </w:pPr>
      <w:r>
        <w:rPr>
          <w:rFonts w:ascii="Arial" w:cs="Arial" w:eastAsia="Arial" w:hAnsi="Arial"/>
          <w:b/>
          <w:bCs/>
          <w:color w:val="2E86AB"/>
          <w:sz w:val="28"/>
          <w:szCs w:val="28"/>
        </w:rPr>
        <w:t xml:space="preserve">1.1  The Integrated Value Chain</w:t>
      </w:r>
    </w:p>
    <w:p>
      <w:pPr>
        <w:spacing w:after="80" w:before="80" w:line="340"/>
      </w:pPr>
      <w:r>
        <w:rPr>
          <w:rFonts w:ascii="Arial" w:cs="Arial" w:eastAsia="Arial" w:hAnsi="Arial"/>
          <w:color w:val="1A1A2E"/>
          <w:sz w:val="22"/>
          <w:szCs w:val="22"/>
        </w:rPr>
        <w:t xml:space="preserve">RIL's oil and gas business model is built on a uniquely integrated architecture that delivers competitive advantages through vertical consolidation. The business captures value at every stage — from geological surveys to petrol pump nozzles — eliminating middlemen, optimizing margins, and ensuring feedstock security.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Segment</w:t>
            </w:r>
          </w:p>
        </w:tc>
        <w:tc>
          <w:tcPr>
            <w:tcW w:type="dxa" w:w="616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r>
      <w:tr>
        <w:tc>
          <w:tcPr>
            <w:tcW w:type="dxa" w:w="3200"/>
            <w:tcBorders>
              <w:top w:val="single" w:color="D1D5DB" w:sz="1"/>
              <w:left w:val="single" w:color="D1D5DB" w:sz="1"/>
              <w:bottom w:val="single" w:color="D1D5DB" w:sz="1"/>
              <w:right w:val="single" w:color="D1D5DB" w:sz="1"/>
            </w:tcBorders>
            <w:shd w:fill="F2F7FC" w:val="clear"/>
            <w:tcMar>
              <w:top w:type="dxa" w:w="80"/>
              <w:left w:type="dxa" w:w="140"/>
              <w:bottom w:type="dxa" w:w="80"/>
              <w:right w:type="dxa" w:w="140"/>
            </w:tcMar>
          </w:tcPr>
          <w:p>
            <w:r>
              <w:rPr>
                <w:rFonts w:ascii="Arial" w:cs="Arial" w:eastAsia="Arial" w:hAnsi="Arial"/>
                <w:b/>
                <w:bCs/>
                <w:color w:val="1B3A6B"/>
                <w:sz w:val="21"/>
                <w:szCs w:val="21"/>
              </w:rPr>
              <w:t xml:space="preserve">Upstream (E&amp;P)</w:t>
            </w:r>
          </w:p>
        </w:tc>
        <w:tc>
          <w:tcPr>
            <w:tcW w:type="dxa" w:w="6160"/>
            <w:tcBorders>
              <w:top w:val="single" w:color="D1D5DB" w:sz="1"/>
              <w:left w:val="single" w:color="D1D5DB" w:sz="1"/>
              <w:bottom w:val="single" w:color="D1D5DB" w:sz="1"/>
              <w:right w:val="single" w:color="D1D5DB" w:sz="1"/>
            </w:tcBorders>
            <w:shd w:fill="F2F7FC" w:val="clear"/>
            <w:tcMar>
              <w:top w:type="dxa" w:w="80"/>
              <w:left w:type="dxa" w:w="140"/>
              <w:bottom w:type="dxa" w:w="80"/>
              <w:right w:type="dxa" w:w="140"/>
            </w:tcMar>
          </w:tcPr>
          <w:p>
            <w:r>
              <w:rPr>
                <w:rFonts w:ascii="Arial" w:cs="Arial" w:eastAsia="Arial" w:hAnsi="Arial"/>
                <w:color w:val="1A1A2E"/>
                <w:sz w:val="21"/>
                <w:szCs w:val="21"/>
              </w:rPr>
              <w:t xml:space="preserve">Exploration &amp; production across KG-D6 deepwater block (RIL-bp JV), Coal Bed Methane (CBM) fields in Madhya Pradesh, and new OALP blocks. India's first ultra-deepwater field (R-Cluster, &gt;2,000m depth).</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B3A6B"/>
                <w:sz w:val="21"/>
                <w:szCs w:val="21"/>
              </w:rPr>
              <w:t xml:space="preserve">Midstream</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Pipeline operations via Reliance Gas Pipeline Limited — the 302 km Shahdol-Phulpur pipeline. Subsea pipeline infrastructure in KG-D6, tanker logistics, and storage.</w:t>
            </w:r>
          </w:p>
        </w:tc>
      </w:tr>
      <w:tr>
        <w:tc>
          <w:tcPr>
            <w:tcW w:type="dxa" w:w="3200"/>
            <w:tcBorders>
              <w:top w:val="single" w:color="D1D5DB" w:sz="1"/>
              <w:left w:val="single" w:color="D1D5DB" w:sz="1"/>
              <w:bottom w:val="single" w:color="D1D5DB" w:sz="1"/>
              <w:right w:val="single" w:color="D1D5DB" w:sz="1"/>
            </w:tcBorders>
            <w:shd w:fill="F2F7FC" w:val="clear"/>
            <w:tcMar>
              <w:top w:type="dxa" w:w="80"/>
              <w:left w:type="dxa" w:w="140"/>
              <w:bottom w:type="dxa" w:w="80"/>
              <w:right w:type="dxa" w:w="140"/>
            </w:tcMar>
          </w:tcPr>
          <w:p>
            <w:r>
              <w:rPr>
                <w:rFonts w:ascii="Arial" w:cs="Arial" w:eastAsia="Arial" w:hAnsi="Arial"/>
                <w:b/>
                <w:bCs/>
                <w:color w:val="1B3A6B"/>
                <w:sz w:val="21"/>
                <w:szCs w:val="21"/>
              </w:rPr>
              <w:t xml:space="preserve">Downstream Refining</w:t>
            </w:r>
          </w:p>
        </w:tc>
        <w:tc>
          <w:tcPr>
            <w:tcW w:type="dxa" w:w="6160"/>
            <w:tcBorders>
              <w:top w:val="single" w:color="D1D5DB" w:sz="1"/>
              <w:left w:val="single" w:color="D1D5DB" w:sz="1"/>
              <w:bottom w:val="single" w:color="D1D5DB" w:sz="1"/>
              <w:right w:val="single" w:color="D1D5DB" w:sz="1"/>
            </w:tcBorders>
            <w:shd w:fill="F2F7FC" w:val="clear"/>
            <w:tcMar>
              <w:top w:type="dxa" w:w="80"/>
              <w:left w:type="dxa" w:w="140"/>
              <w:bottom w:type="dxa" w:w="80"/>
              <w:right w:type="dxa" w:w="140"/>
            </w:tcMar>
          </w:tcPr>
          <w:p>
            <w:r>
              <w:rPr>
                <w:rFonts w:ascii="Arial" w:cs="Arial" w:eastAsia="Arial" w:hAnsi="Arial"/>
                <w:color w:val="1A1A2E"/>
                <w:sz w:val="21"/>
                <w:szCs w:val="21"/>
              </w:rPr>
              <w:t xml:space="preserve">Jamnagar refinery complex — world's largest single-location refinery with 1.24 MBPD capacity and near 100% utilization vs. global average of 80%.</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B3A6B"/>
                <w:sz w:val="21"/>
                <w:szCs w:val="21"/>
              </w:rPr>
              <w:t xml:space="preserve">Oil-to-Chemicals (O2C)</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Pioneer in converting crude oil directly into high-value chemicals: polyethylene, polypropylene, PVC, polyester, elastomers, and advanced materials. India's largest and world's top-10 petrochemical producer.</w:t>
            </w:r>
          </w:p>
        </w:tc>
      </w:tr>
      <w:tr>
        <w:tc>
          <w:tcPr>
            <w:tcW w:type="dxa" w:w="3200"/>
            <w:tcBorders>
              <w:top w:val="single" w:color="D1D5DB" w:sz="1"/>
              <w:left w:val="single" w:color="D1D5DB" w:sz="1"/>
              <w:bottom w:val="single" w:color="D1D5DB" w:sz="1"/>
              <w:right w:val="single" w:color="D1D5DB" w:sz="1"/>
            </w:tcBorders>
            <w:shd w:fill="F2F7FC" w:val="clear"/>
            <w:tcMar>
              <w:top w:type="dxa" w:w="80"/>
              <w:left w:type="dxa" w:w="140"/>
              <w:bottom w:type="dxa" w:w="80"/>
              <w:right w:type="dxa" w:w="140"/>
            </w:tcMar>
          </w:tcPr>
          <w:p>
            <w:r>
              <w:rPr>
                <w:rFonts w:ascii="Arial" w:cs="Arial" w:eastAsia="Arial" w:hAnsi="Arial"/>
                <w:b/>
                <w:bCs/>
                <w:color w:val="1B3A6B"/>
                <w:sz w:val="21"/>
                <w:szCs w:val="21"/>
              </w:rPr>
              <w:t xml:space="preserve">Fuel Retail</w:t>
            </w:r>
          </w:p>
        </w:tc>
        <w:tc>
          <w:tcPr>
            <w:tcW w:type="dxa" w:w="6160"/>
            <w:tcBorders>
              <w:top w:val="single" w:color="D1D5DB" w:sz="1"/>
              <w:left w:val="single" w:color="D1D5DB" w:sz="1"/>
              <w:bottom w:val="single" w:color="D1D5DB" w:sz="1"/>
              <w:right w:val="single" w:color="D1D5DB" w:sz="1"/>
            </w:tcBorders>
            <w:shd w:fill="F2F7FC" w:val="clear"/>
            <w:tcMar>
              <w:top w:type="dxa" w:w="80"/>
              <w:left w:type="dxa" w:w="140"/>
              <w:bottom w:type="dxa" w:w="80"/>
              <w:right w:type="dxa" w:w="140"/>
            </w:tcMar>
          </w:tcPr>
          <w:p>
            <w:r>
              <w:rPr>
                <w:rFonts w:ascii="Arial" w:cs="Arial" w:eastAsia="Arial" w:hAnsi="Arial"/>
                <w:color w:val="1A1A2E"/>
                <w:sz w:val="21"/>
                <w:szCs w:val="21"/>
              </w:rPr>
              <w:t xml:space="preserve">Jio-bp JV operates 1,700+ retail fuel outlets with plans for rapid expansion. India's only private-sector refiner with significant retail presence.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B3A6B"/>
                <w:sz w:val="21"/>
                <w:szCs w:val="21"/>
              </w:rPr>
              <w:t xml:space="preserve">New Energy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Dhirubhai Ambani Green Energy Giga Complex at Jamnagar — solar PV, wind, hydrogen, and battery manufacturing. 10 GW solar manufacturing target.</w:t>
            </w:r>
          </w:p>
        </w:tc>
      </w:tr>
    </w:tbl>
    <w:p>
      <w:pPr>
        <w:spacing w:before="200"/>
      </w:pPr>
    </w:p>
    <w:p>
      <w:pPr>
        <w:pStyle w:val="Heading2"/>
        <w:spacing w:after="160" w:before="360"/>
      </w:pPr>
      <w:r>
        <w:rPr>
          <w:rFonts w:ascii="Arial" w:cs="Arial" w:eastAsia="Arial" w:hAnsi="Arial"/>
          <w:b/>
          <w:bCs/>
          <w:color w:val="2E86AB"/>
          <w:sz w:val="28"/>
          <w:szCs w:val="28"/>
        </w:rPr>
        <w:t xml:space="preserve">1.2  Key Business Metrics &amp; Scale</w:t>
      </w:r>
    </w:p>
    <w:p>
      <w:pPr>
        <w:spacing w:after="80" w:before="80" w:line="340"/>
      </w:pPr>
      <w:r>
        <w:rPr>
          <w:rFonts w:ascii="Arial" w:cs="Arial" w:eastAsia="Arial" w:hAnsi="Arial"/>
          <w:color w:val="1A1A2E"/>
          <w:sz w:val="22"/>
          <w:szCs w:val="22"/>
        </w:rPr>
        <w:t xml:space="preserve">The scale of RIL's oil and gas operations is staggering. In FY 2024-25, the E&amp;P segment delivered record EBITDA, and the O2C business processed a record 72.2 million tonnes of crude oil. KG-D6 gas production rose 4% to 28 million metric standard cubic meters per day, while Coal Bed Methane output grew 30% YoY to 0.8 MMSCMD.</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EEF4FB" w:val="clear"/>
            <w:tcMar>
              <w:top w:type="dxa" w:w="120"/>
              <w:left w:type="dxa" w:w="120"/>
              <w:bottom w:type="dxa" w:w="120"/>
              <w:right w:type="dxa" w:w="120"/>
            </w:tcMar>
            <w:vAlign w:val="center"/>
          </w:tcPr>
          <w:p>
            <w:pPr>
              <w:jc w:val="center"/>
            </w:pPr>
            <w:r>
              <w:rPr>
                <w:rFonts w:ascii="Arial" w:cs="Arial" w:eastAsia="Arial" w:hAnsi="Arial"/>
                <w:b/>
                <w:bCs/>
                <w:color w:val="E84C1E"/>
                <w:sz w:val="40"/>
                <w:szCs w:val="40"/>
              </w:rPr>
              <w:t xml:space="preserve">72.2 MT</w:t>
            </w:r>
          </w:p>
          <w:p>
            <w:pPr>
              <w:spacing w:before="40"/>
              <w:jc w:val="center"/>
            </w:pPr>
            <w:r>
              <w:rPr>
                <w:rFonts w:ascii="Arial" w:cs="Arial" w:eastAsia="Arial" w:hAnsi="Arial"/>
                <w:color w:val="6B7280"/>
                <w:sz w:val="18"/>
                <w:szCs w:val="18"/>
              </w:rPr>
              <w:t xml:space="preserve">Record High</w:t>
            </w:r>
          </w:p>
          <w:p>
            <w:pPr>
              <w:spacing w:before="60"/>
              <w:jc w:val="center"/>
            </w:pPr>
            <w:r>
              <w:rPr>
                <w:rFonts w:ascii="Arial" w:cs="Arial" w:eastAsia="Arial" w:hAnsi="Arial"/>
                <w:b/>
                <w:bCs/>
                <w:color w:val="1B3A6B"/>
                <w:sz w:val="20"/>
                <w:szCs w:val="20"/>
              </w:rPr>
              <w:t xml:space="preserve">Crude Processed FY25</w:t>
            </w:r>
          </w:p>
        </w:tc>
        <w:tc>
          <w:tcPr>
            <w:tcW w:type="dxa" w:w="2340"/>
            <w:tcBorders>
              <w:top w:val="single" w:color="D1D5DB" w:sz="1"/>
              <w:left w:val="single" w:color="D1D5DB" w:sz="1"/>
              <w:bottom w:val="single" w:color="D1D5DB" w:sz="1"/>
              <w:right w:val="single" w:color="D1D5DB" w:sz="1"/>
            </w:tcBorders>
            <w:shd w:fill="EEF4FB" w:val="clear"/>
            <w:tcMar>
              <w:top w:type="dxa" w:w="120"/>
              <w:left w:type="dxa" w:w="120"/>
              <w:bottom w:type="dxa" w:w="120"/>
              <w:right w:type="dxa" w:w="120"/>
            </w:tcMar>
            <w:vAlign w:val="center"/>
          </w:tcPr>
          <w:p>
            <w:pPr>
              <w:jc w:val="center"/>
            </w:pPr>
            <w:r>
              <w:rPr>
                <w:rFonts w:ascii="Arial" w:cs="Arial" w:eastAsia="Arial" w:hAnsi="Arial"/>
                <w:b/>
                <w:bCs/>
                <w:color w:val="E84C1E"/>
                <w:sz w:val="40"/>
                <w:szCs w:val="40"/>
              </w:rPr>
              <w:t xml:space="preserve">28 MMSCMD</w:t>
            </w:r>
          </w:p>
          <w:p>
            <w:pPr>
              <w:spacing w:before="40"/>
              <w:jc w:val="center"/>
            </w:pPr>
            <w:r>
              <w:rPr>
                <w:rFonts w:ascii="Arial" w:cs="Arial" w:eastAsia="Arial" w:hAnsi="Arial"/>
                <w:color w:val="6B7280"/>
                <w:sz w:val="18"/>
                <w:szCs w:val="18"/>
              </w:rPr>
              <w:t xml:space="preserve">FY 2024-25</w:t>
            </w:r>
          </w:p>
          <w:p>
            <w:pPr>
              <w:spacing w:before="60"/>
              <w:jc w:val="center"/>
            </w:pPr>
            <w:r>
              <w:rPr>
                <w:rFonts w:ascii="Arial" w:cs="Arial" w:eastAsia="Arial" w:hAnsi="Arial"/>
                <w:b/>
                <w:bCs/>
                <w:color w:val="1B3A6B"/>
                <w:sz w:val="20"/>
                <w:szCs w:val="20"/>
              </w:rPr>
              <w:t xml:space="preserve">KG-D6 Gas Production</w:t>
            </w:r>
          </w:p>
        </w:tc>
        <w:tc>
          <w:tcPr>
            <w:tcW w:type="dxa" w:w="2340"/>
            <w:tcBorders>
              <w:top w:val="single" w:color="D1D5DB" w:sz="1"/>
              <w:left w:val="single" w:color="D1D5DB" w:sz="1"/>
              <w:bottom w:val="single" w:color="D1D5DB" w:sz="1"/>
              <w:right w:val="single" w:color="D1D5DB" w:sz="1"/>
            </w:tcBorders>
            <w:shd w:fill="EEF4FB" w:val="clear"/>
            <w:tcMar>
              <w:top w:type="dxa" w:w="120"/>
              <w:left w:type="dxa" w:w="120"/>
              <w:bottom w:type="dxa" w:w="120"/>
              <w:right w:type="dxa" w:w="120"/>
            </w:tcMar>
            <w:vAlign w:val="center"/>
          </w:tcPr>
          <w:p>
            <w:pPr>
              <w:jc w:val="center"/>
            </w:pPr>
            <w:r>
              <w:rPr>
                <w:rFonts w:ascii="Arial" w:cs="Arial" w:eastAsia="Arial" w:hAnsi="Arial"/>
                <w:b/>
                <w:bCs/>
                <w:color w:val="E84C1E"/>
                <w:sz w:val="40"/>
                <w:szCs w:val="40"/>
              </w:rPr>
              <w:t xml:space="preserve">+30%</w:t>
            </w:r>
          </w:p>
          <w:p>
            <w:pPr>
              <w:spacing w:before="40"/>
              <w:jc w:val="center"/>
            </w:pPr>
            <w:r>
              <w:rPr>
                <w:rFonts w:ascii="Arial" w:cs="Arial" w:eastAsia="Arial" w:hAnsi="Arial"/>
                <w:color w:val="6B7280"/>
                <w:sz w:val="18"/>
                <w:szCs w:val="18"/>
              </w:rPr>
              <w:t xml:space="preserve">YoY FY25</w:t>
            </w:r>
          </w:p>
          <w:p>
            <w:pPr>
              <w:spacing w:before="60"/>
              <w:jc w:val="center"/>
            </w:pPr>
            <w:r>
              <w:rPr>
                <w:rFonts w:ascii="Arial" w:cs="Arial" w:eastAsia="Arial" w:hAnsi="Arial"/>
                <w:b/>
                <w:bCs/>
                <w:color w:val="1B3A6B"/>
                <w:sz w:val="20"/>
                <w:szCs w:val="20"/>
              </w:rPr>
              <w:t xml:space="preserve">CBM Output Growth</w:t>
            </w:r>
          </w:p>
        </w:tc>
        <w:tc>
          <w:tcPr>
            <w:tcW w:type="dxa" w:w="2340"/>
            <w:tcBorders>
              <w:top w:val="single" w:color="D1D5DB" w:sz="1"/>
              <w:left w:val="single" w:color="D1D5DB" w:sz="1"/>
              <w:bottom w:val="single" w:color="D1D5DB" w:sz="1"/>
              <w:right w:val="single" w:color="D1D5DB" w:sz="1"/>
            </w:tcBorders>
            <w:shd w:fill="EEF4FB" w:val="clear"/>
            <w:tcMar>
              <w:top w:type="dxa" w:w="120"/>
              <w:left w:type="dxa" w:w="120"/>
              <w:bottom w:type="dxa" w:w="120"/>
              <w:right w:type="dxa" w:w="120"/>
            </w:tcMar>
            <w:vAlign w:val="center"/>
          </w:tcPr>
          <w:p>
            <w:pPr>
              <w:jc w:val="center"/>
            </w:pPr>
            <w:r>
              <w:rPr>
                <w:rFonts w:ascii="Arial" w:cs="Arial" w:eastAsia="Arial" w:hAnsi="Arial"/>
                <w:b/>
                <w:bCs/>
                <w:color w:val="E84C1E"/>
                <w:sz w:val="40"/>
                <w:szCs w:val="40"/>
              </w:rPr>
              <w:t xml:space="preserve">₹21,188 Cr</w:t>
            </w:r>
          </w:p>
          <w:p>
            <w:pPr>
              <w:spacing w:before="40"/>
              <w:jc w:val="center"/>
            </w:pPr>
            <w:r>
              <w:rPr>
                <w:rFonts w:ascii="Arial" w:cs="Arial" w:eastAsia="Arial" w:hAnsi="Arial"/>
                <w:color w:val="6B7280"/>
                <w:sz w:val="18"/>
                <w:szCs w:val="18"/>
              </w:rPr>
              <w:t xml:space="preserve">Record FY25</w:t>
            </w:r>
          </w:p>
          <w:p>
            <w:pPr>
              <w:spacing w:before="60"/>
              <w:jc w:val="center"/>
            </w:pPr>
            <w:r>
              <w:rPr>
                <w:rFonts w:ascii="Arial" w:cs="Arial" w:eastAsia="Arial" w:hAnsi="Arial"/>
                <w:b/>
                <w:bCs/>
                <w:color w:val="1B3A6B"/>
                <w:sz w:val="20"/>
                <w:szCs w:val="20"/>
              </w:rPr>
              <w:t xml:space="preserve">E&amp;P EBITDA</w:t>
            </w:r>
          </w:p>
        </w:tc>
      </w:tr>
    </w:tbl>
    <w:p>
      <w:pPr>
        <w:spacing w:before="200"/>
      </w:pPr>
    </w:p>
    <w:p>
      <w:pPr>
        <w:pStyle w:val="Heading2"/>
        <w:spacing w:after="160" w:before="360"/>
      </w:pPr>
      <w:r>
        <w:rPr>
          <w:rFonts w:ascii="Arial" w:cs="Arial" w:eastAsia="Arial" w:hAnsi="Arial"/>
          <w:b/>
          <w:bCs/>
          <w:color w:val="2E86AB"/>
          <w:sz w:val="28"/>
          <w:szCs w:val="28"/>
        </w:rPr>
        <w:t xml:space="preserve">1.3  Strategic Pillars of the O2C Business Model</w:t>
      </w:r>
    </w:p>
    <w:p>
      <w:pPr>
        <w:spacing w:after="80" w:before="80" w:line="340"/>
      </w:pPr>
      <w:r>
        <w:rPr>
          <w:rFonts w:ascii="Arial" w:cs="Arial" w:eastAsia="Arial" w:hAnsi="Arial"/>
          <w:color w:val="1A1A2E"/>
          <w:sz w:val="22"/>
          <w:szCs w:val="22"/>
        </w:rPr>
        <w:t xml:space="preserve">RIL's Oil-to-Chemicals (O2C) model is arguably the most ambitious and complex in the world. Rather than competing solely on refining margins — increasingly squeezed by global overcapacity — RIL captures premium value by converting crude directly into specialty chemicals and materials. This integration provides multiple distinct advantages:</w:t>
      </w:r>
    </w:p>
    <w:p>
      <w:pPr>
        <w:spacing w:before="100"/>
      </w:pPr>
    </w:p>
    <w:p>
      <w:pPr>
        <w:pStyle w:val="ListParagraph"/>
        <w:numPr>
          <w:ilvl w:val="0"/>
          <w:numId w:val="2"/>
        </w:numPr>
        <w:spacing w:after="60" w:before="60" w:line="300"/>
      </w:pPr>
      <w:r>
        <w:rPr>
          <w:rFonts w:ascii="Arial" w:cs="Arial" w:eastAsia="Arial" w:hAnsi="Arial"/>
          <w:color w:val="1A1A2E"/>
          <w:sz w:val="22"/>
          <w:szCs w:val="22"/>
        </w:rPr>
        <w:t xml:space="preserve">Feedstock Flexibility: The ability to process diverse crude grades, including discounted Russian Urals (contracted at 500,000 BPD for 10 years from Rosneft, December 2024), optimizes margins regardless of crude price cycles.</w:t>
      </w:r>
    </w:p>
    <w:p>
      <w:pPr>
        <w:pStyle w:val="ListParagraph"/>
        <w:numPr>
          <w:ilvl w:val="0"/>
          <w:numId w:val="2"/>
        </w:numPr>
        <w:spacing w:after="60" w:before="60" w:line="300"/>
      </w:pPr>
      <w:r>
        <w:rPr>
          <w:rFonts w:ascii="Arial" w:cs="Arial" w:eastAsia="Arial" w:hAnsi="Arial"/>
          <w:color w:val="1A1A2E"/>
          <w:sz w:val="22"/>
          <w:szCs w:val="22"/>
        </w:rPr>
        <w:t xml:space="preserve">Domestic Market Dominance: With 65% of revenues from India in FY24 and strong placement of fuel and chemicals into India's fast-growing domestic market, RIL is insulated from global export market volatility.</w:t>
      </w:r>
    </w:p>
    <w:p>
      <w:pPr>
        <w:pStyle w:val="ListParagraph"/>
        <w:numPr>
          <w:ilvl w:val="0"/>
          <w:numId w:val="2"/>
        </w:numPr>
        <w:spacing w:after="60" w:before="60" w:line="300"/>
      </w:pPr>
      <w:r>
        <w:rPr>
          <w:rFonts w:ascii="Arial" w:cs="Arial" w:eastAsia="Arial" w:hAnsi="Arial"/>
          <w:color w:val="1A1A2E"/>
          <w:sz w:val="22"/>
          <w:szCs w:val="22"/>
        </w:rPr>
        <w:t xml:space="preserve">Nelson Complexity Index Advantage: Jamnagar's complexity of 21.0 on the Nelson Complexity Index — one of the highest globally — enables processing of heavier, cheaper crudes into high-value products that competitors cannot match.</w:t>
      </w:r>
    </w:p>
    <w:p>
      <w:pPr>
        <w:pStyle w:val="ListParagraph"/>
        <w:numPr>
          <w:ilvl w:val="0"/>
          <w:numId w:val="2"/>
        </w:numPr>
        <w:spacing w:after="60" w:before="60" w:line="300"/>
      </w:pPr>
      <w:r>
        <w:rPr>
          <w:rFonts w:ascii="Arial" w:cs="Arial" w:eastAsia="Arial" w:hAnsi="Arial"/>
          <w:color w:val="1A1A2E"/>
          <w:sz w:val="22"/>
          <w:szCs w:val="22"/>
        </w:rPr>
        <w:t xml:space="preserve">Integration Synergies: Refinery gases feed petrochemical plants. Petrochemical by-products re-enter refining. This closed-loop integration delivers cost advantages estimated in the billions annually.</w:t>
      </w:r>
    </w:p>
    <w:p>
      <w:pPr>
        <w:pStyle w:val="ListParagraph"/>
        <w:numPr>
          <w:ilvl w:val="0"/>
          <w:numId w:val="2"/>
        </w:numPr>
        <w:spacing w:after="60" w:before="60" w:line="300"/>
      </w:pPr>
      <w:r>
        <w:rPr>
          <w:rFonts w:ascii="Arial" w:cs="Arial" w:eastAsia="Arial" w:hAnsi="Arial"/>
          <w:color w:val="1A1A2E"/>
          <w:sz w:val="22"/>
          <w:szCs w:val="22"/>
        </w:rPr>
        <w:t xml:space="preserve">KG-D6 Infrastructure-Led Exploration (ILX): Exploration in new blocks (KG-UDW1 and KG-UDW2) is tied back to existing world-class deepwater infrastructure, dramatically reducing per-unit exploration costs.</w:t>
      </w:r>
    </w:p>
    <w:p>
      <w:pPr>
        <w:spacing w:before="200"/>
      </w:pPr>
    </w:p>
    <w:p>
      <w:pPr>
        <w:pStyle w:val="Heading2"/>
        <w:spacing w:after="160" w:before="360"/>
      </w:pPr>
      <w:r>
        <w:rPr>
          <w:rFonts w:ascii="Arial" w:cs="Arial" w:eastAsia="Arial" w:hAnsi="Arial"/>
          <w:b/>
          <w:bCs/>
          <w:color w:val="2E86AB"/>
          <w:sz w:val="28"/>
          <w:szCs w:val="28"/>
        </w:rPr>
        <w:t xml:space="preserve">1.4  The JV Architecture: RIL + BP Partnership</w:t>
      </w:r>
    </w:p>
    <w:p>
      <w:pPr>
        <w:spacing w:after="80" w:before="80" w:line="340"/>
      </w:pPr>
      <w:r>
        <w:rPr>
          <w:rFonts w:ascii="Arial" w:cs="Arial" w:eastAsia="Arial" w:hAnsi="Arial"/>
          <w:color w:val="1A1A2E"/>
          <w:sz w:val="22"/>
          <w:szCs w:val="22"/>
        </w:rPr>
        <w:t xml:space="preserve">RIL's partnership with British energy major BP (which holds a 33.33% stake in the KG-D6 block JV) brings world-class deepwater expertise, global market access, and proprietary technology. The joint venture — branded Jio-bp for fuel retail — combines RIL's scale and domestic reach with BP's technical subsea capabilities, creating a formidable integrated energy player in India.</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r>
              <w:rPr>
                <w:rFonts w:ascii="Arial" w:cs="Arial" w:eastAsia="Arial" w:hAnsi="Arial"/>
                <w:b/>
                <w:bCs/>
                <w:color w:val="FFFFFF"/>
                <w:sz w:val="24"/>
                <w:szCs w:val="24"/>
              </w:rPr>
              <w:t xml:space="preserve">🏭  Strategic Snapshot: Why RIL's Model is Built to Last</w:t>
            </w:r>
          </w:p>
        </w:tc>
      </w:tr>
      <w:tr>
        <w:tc>
          <w:tcPr>
            <w:tcW w:type="dxa" w:w="9360"/>
            <w:tcBorders>
              <w:top w:val="none" w:color="FFFFFF" w:sz="0"/>
              <w:left w:val="none" w:color="FFFFFF" w:sz="0"/>
              <w:bottom w:val="none" w:color="FFFFFF" w:sz="0"/>
              <w:right w:val="none" w:color="FFFFFF" w:sz="0"/>
            </w:tcBorders>
            <w:shd w:fill="EEF4FB" w:val="clear"/>
            <w:tcMar>
              <w:top w:type="dxa" w:w="140"/>
              <w:left w:type="dxa" w:w="180"/>
              <w:bottom w:type="dxa" w:w="140"/>
              <w:right w:type="dxa" w:w="180"/>
            </w:tcMar>
          </w:tcPr>
          <w:p>
            <w:pPr>
              <w:spacing w:after="60" w:before="60" w:line="300"/>
            </w:pPr>
            <w:r>
              <w:rPr>
                <w:rFonts w:ascii="Arial" w:cs="Arial" w:eastAsia="Arial" w:hAnsi="Arial"/>
                <w:color w:val="1A1A2E"/>
                <w:sz w:val="21"/>
                <w:szCs w:val="21"/>
              </w:rPr>
              <w:t xml:space="preserve">• World's largest single-location refinery = unmatched economies of scale</w:t>
            </w:r>
          </w:p>
          <w:p>
            <w:pPr>
              <w:spacing w:after="60" w:before="60" w:line="300"/>
            </w:pPr>
            <w:r>
              <w:rPr>
                <w:rFonts w:ascii="Arial" w:cs="Arial" w:eastAsia="Arial" w:hAnsi="Arial"/>
                <w:color w:val="1A1A2E"/>
                <w:sz w:val="21"/>
                <w:szCs w:val="21"/>
              </w:rPr>
              <w:t xml:space="preserve">• Pioneers of Oil-to-Chemicals in Asia = premium product margins over pure refining</w:t>
            </w:r>
          </w:p>
          <w:p>
            <w:pPr>
              <w:spacing w:after="60" w:before="60" w:line="300"/>
            </w:pPr>
            <w:r>
              <w:rPr>
                <w:rFonts w:ascii="Arial" w:cs="Arial" w:eastAsia="Arial" w:hAnsi="Arial"/>
                <w:color w:val="1A1A2E"/>
                <w:sz w:val="21"/>
                <w:szCs w:val="21"/>
              </w:rPr>
              <w:t xml:space="preserve">• 30% of India's domestic gas = essential national energy security player</w:t>
            </w:r>
          </w:p>
          <w:p>
            <w:pPr>
              <w:spacing w:after="60" w:before="60" w:line="300"/>
            </w:pPr>
            <w:r>
              <w:rPr>
                <w:rFonts w:ascii="Arial" w:cs="Arial" w:eastAsia="Arial" w:hAnsi="Arial"/>
                <w:color w:val="1A1A2E"/>
                <w:sz w:val="21"/>
                <w:szCs w:val="21"/>
              </w:rPr>
              <w:t xml:space="preserve">• Vertical integration from wellhead to fuel pump = margin capture at every step</w:t>
            </w:r>
          </w:p>
          <w:p>
            <w:pPr>
              <w:spacing w:after="60" w:before="60" w:line="300"/>
            </w:pPr>
            <w:r>
              <w:rPr>
                <w:rFonts w:ascii="Arial" w:cs="Arial" w:eastAsia="Arial" w:hAnsi="Arial"/>
                <w:color w:val="1A1A2E"/>
                <w:sz w:val="21"/>
                <w:szCs w:val="21"/>
              </w:rPr>
              <w:t xml:space="preserve">• New Energy pivot = hedging fossil fuel risk while building green manufacturing leadership</w:t>
            </w:r>
          </w:p>
          <w:p>
            <w:pPr>
              <w:spacing w:after="60" w:before="60" w:line="300"/>
            </w:pPr>
            <w:r>
              <w:rPr>
                <w:rFonts w:ascii="Arial" w:cs="Arial" w:eastAsia="Arial" w:hAnsi="Arial"/>
                <w:color w:val="1A1A2E"/>
                <w:sz w:val="21"/>
                <w:szCs w:val="21"/>
              </w:rPr>
              <w:t xml:space="preserve">• Rosneft 10-year supply deal = feedstock security for a decade at advantaged economics</w:t>
            </w:r>
          </w:p>
        </w:tc>
      </w:tr>
    </w:tbl>
    <w:p>
      <w:pPr>
        <w:spacing w:before="200"/>
      </w:pPr>
    </w:p>
    <w:p>
      <w:pPr>
        <w:pStyle w:val="Heading2"/>
        <w:spacing w:after="160" w:before="360"/>
      </w:pPr>
      <w:r>
        <w:rPr>
          <w:rFonts w:ascii="Arial" w:cs="Arial" w:eastAsia="Arial" w:hAnsi="Arial"/>
          <w:b/>
          <w:bCs/>
          <w:color w:val="2E86AB"/>
          <w:sz w:val="28"/>
          <w:szCs w:val="28"/>
        </w:rPr>
        <w:t xml:space="preserve">1.5  Revenue Model &amp; Financial Architecture</w:t>
      </w:r>
    </w:p>
    <w:p>
      <w:pPr>
        <w:spacing w:after="80" w:before="80" w:line="340"/>
      </w:pPr>
      <w:r>
        <w:rPr>
          <w:rFonts w:ascii="Arial" w:cs="Arial" w:eastAsia="Arial" w:hAnsi="Arial"/>
          <w:color w:val="1A1A2E"/>
          <w:sz w:val="22"/>
          <w:szCs w:val="22"/>
        </w:rPr>
        <w:t xml:space="preserve">RIL's oil and gas revenue streams span multiple monetization layers. Gas produced from KG-D6 is sold at regulated government-set ceiling prices (linked to import parity), while condensate is auctioned in a competitive multi-cargo process. O2C revenue — the dominant revenue driver — is generated through domestic and export sales of transportation fuels (diesel, petrol, ATF) and petrochemical products (polymers, polyesters, specialty chemicals). The Jio-bp retail fuel network contributes margin-rich branded fuel sales, while pipeline tariffs and LNG infrastructure add regulated infrastructure revenues.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SECTION 02 — CURRENT AI/ML IMPLEMENTATIONS</w:t>
            </w:r>
          </w:p>
        </w:tc>
      </w:tr>
    </w:tbl>
    <w:p>
      <w:pPr>
        <w:spacing w:before="200"/>
      </w:pPr>
    </w:p>
    <w:p>
      <w:pPr>
        <w:pStyle w:val="Heading1"/>
        <w:pBdr>
          <w:bottom w:val="single" w:color="E84C1E" w:sz="4" w:space="6"/>
        </w:pBdr>
        <w:spacing w:after="200" w:before="480"/>
      </w:pPr>
      <w:r>
        <w:rPr>
          <w:rFonts w:ascii="Arial" w:cs="Arial" w:eastAsia="Arial" w:hAnsi="Arial"/>
          <w:b/>
          <w:bCs/>
          <w:color w:val="1B3A6B"/>
          <w:sz w:val="36"/>
          <w:szCs w:val="36"/>
        </w:rPr>
        <w:t xml:space="preserve">AI &amp; Machine Learning: What RIL Has Already Built</w:t>
      </w:r>
    </w:p>
    <w:p>
      <w:pPr>
        <w:spacing w:after="80" w:before="80" w:line="340"/>
      </w:pPr>
      <w:r>
        <w:rPr>
          <w:rFonts w:ascii="Arial" w:cs="Arial" w:eastAsia="Arial" w:hAnsi="Arial"/>
          <w:color w:val="1A1A2E"/>
          <w:sz w:val="22"/>
          <w:szCs w:val="22"/>
        </w:rPr>
        <w:t xml:space="preserve">Contrary to the perception that AI transformation is a future aspiration for traditional energy companies, Reliance Industries has already made significant, concrete moves in deploying artificial intelligence across its oil and gas and broader business operations. The company's AI journey is multi-layered — spanning foundational data infrastructure, operational AI in refinery management, and a landmark enterprise AI platform called Jio Brain.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E84C1E" w:val="clear"/>
            <w:tcMar>
              <w:top w:type="dxa" w:w="120"/>
              <w:left w:type="dxa" w:w="160"/>
              <w:bottom w:type="dxa" w:w="120"/>
              <w:right w:type="dxa" w:w="160"/>
            </w:tcMar>
          </w:tcPr>
          <w:p>
            <w:r>
              <w:rPr>
                <w:rFonts w:ascii="Arial" w:cs="Arial" w:eastAsia="Arial" w:hAnsi="Arial"/>
                <w:b/>
                <w:bCs/>
                <w:color w:val="FFFFFF"/>
                <w:sz w:val="24"/>
                <w:szCs w:val="24"/>
              </w:rPr>
              <w:t xml:space="preserve">🤖  RIL's AI Headline: Jio Brain — The Enterprise AI Operating System</w:t>
            </w:r>
          </w:p>
        </w:tc>
      </w:tr>
      <w:tr>
        <w:tc>
          <w:tcPr>
            <w:tcW w:type="dxa" w:w="9360"/>
            <w:tcBorders>
              <w:top w:val="none" w:color="FFFFFF" w:sz="0"/>
              <w:left w:val="none" w:color="FFFFFF" w:sz="0"/>
              <w:bottom w:val="none" w:color="FFFFFF" w:sz="0"/>
              <w:right w:val="none" w:color="FFFFFF" w:sz="0"/>
            </w:tcBorders>
            <w:shd w:fill="FEF0EC" w:val="clear"/>
            <w:tcMar>
              <w:top w:type="dxa" w:w="140"/>
              <w:left w:type="dxa" w:w="180"/>
              <w:bottom w:type="dxa" w:w="140"/>
              <w:right w:type="dxa" w:w="180"/>
            </w:tcMar>
          </w:tcPr>
          <w:p>
            <w:pPr>
              <w:spacing w:after="60" w:before="60" w:line="300"/>
            </w:pPr>
            <w:r>
              <w:rPr>
                <w:rFonts w:ascii="Arial" w:cs="Arial" w:eastAsia="Arial" w:hAnsi="Arial"/>
                <w:color w:val="1A1A2E"/>
                <w:sz w:val="21"/>
                <w:szCs w:val="21"/>
              </w:rPr>
              <w:t xml:space="preserve">At the 2024 Annual General Meeting, Chairman Mukesh Ambani unveiled Jio Brain — RIL's proprietary AI suite that operates across the full AI lifecycle and is already being deployed across Reliance's operating companies, including oil and gas refinery operations.</w:t>
            </w:r>
          </w:p>
          <w:p>
            <w:pPr>
              <w:spacing w:after="60" w:before="60" w:line="300"/>
            </w:pPr>
            <w:r>
              <w:rPr>
                <w:rFonts w:ascii="Arial" w:cs="Arial" w:eastAsia="Arial" w:hAnsi="Arial"/>
                <w:color w:val="1A1A2E"/>
                <w:sz w:val="21"/>
                <w:szCs w:val="21"/>
              </w:rPr>
              <w:t xml:space="preserve"/>
            </w:r>
          </w:p>
          <w:p>
            <w:pPr>
              <w:spacing w:after="60" w:before="60" w:line="300"/>
            </w:pPr>
            <w:r>
              <w:rPr>
                <w:rFonts w:ascii="Arial" w:cs="Arial" w:eastAsia="Arial" w:hAnsi="Arial"/>
                <w:color w:val="1A1A2E"/>
                <w:sz w:val="21"/>
                <w:szCs w:val="21"/>
              </w:rPr>
              <w:t xml:space="preserve">"We are creating end-to-end workflows with real-time data, which helps us in smarter and quicker decision making." — Reliance Executive (December 2024)</w:t>
            </w:r>
          </w:p>
          <w:p>
            <w:pPr>
              <w:spacing w:after="60" w:before="60" w:line="300"/>
            </w:pPr>
            <w:r>
              <w:rPr>
                <w:rFonts w:ascii="Arial" w:cs="Arial" w:eastAsia="Arial" w:hAnsi="Arial"/>
                <w:color w:val="1A1A2E"/>
                <w:sz w:val="21"/>
                <w:szCs w:val="21"/>
              </w:rPr>
              <w:t xml:space="preserve"/>
            </w:r>
          </w:p>
          <w:p>
            <w:pPr>
              <w:spacing w:after="60" w:before="60" w:line="300"/>
            </w:pPr>
            <w:r>
              <w:rPr>
                <w:rFonts w:ascii="Arial" w:cs="Arial" w:eastAsia="Arial" w:hAnsi="Arial"/>
                <w:color w:val="1A1A2E"/>
                <w:sz w:val="21"/>
                <w:szCs w:val="21"/>
              </w:rPr>
              <w:t xml:space="preserve">Jio Brain is not merely a product — it is Reliance's strategic bet to become India's AI infrastructure provider.</w:t>
            </w:r>
          </w:p>
        </w:tc>
      </w:tr>
    </w:tbl>
    <w:p>
      <w:pPr>
        <w:spacing w:before="200"/>
      </w:pPr>
    </w:p>
    <w:p>
      <w:pPr>
        <w:pStyle w:val="Heading2"/>
        <w:spacing w:after="160" w:before="360"/>
      </w:pPr>
      <w:r>
        <w:rPr>
          <w:rFonts w:ascii="Arial" w:cs="Arial" w:eastAsia="Arial" w:hAnsi="Arial"/>
          <w:b/>
          <w:bCs/>
          <w:color w:val="2E86AB"/>
          <w:sz w:val="28"/>
          <w:szCs w:val="28"/>
        </w:rPr>
        <w:t xml:space="preserve">2.1  Jio Brain: The Core Enterprise AI Platform</w:t>
      </w:r>
    </w:p>
    <w:p>
      <w:pPr>
        <w:spacing w:after="80" w:before="80" w:line="340"/>
      </w:pPr>
      <w:r>
        <w:rPr>
          <w:rFonts w:ascii="Arial" w:cs="Arial" w:eastAsia="Arial" w:hAnsi="Arial"/>
          <w:color w:val="1A1A2E"/>
          <w:sz w:val="22"/>
          <w:szCs w:val="22"/>
        </w:rPr>
        <w:t xml:space="preserve">Jio Brain represents RIL's most significant AI deployment to date. Developed internally by Jio's engineering teams, this machine-learning-as-a-service suite is being rapidly deployed across all Reliance business units including oil and gas refinery operations, telecom network management, and retail security. Key capabilities include:</w:t>
      </w:r>
    </w:p>
    <w:p>
      <w:pPr>
        <w:spacing w:before="80"/>
      </w:pPr>
    </w:p>
    <w:p>
      <w:pPr>
        <w:pStyle w:val="ListParagraph"/>
        <w:numPr>
          <w:ilvl w:val="0"/>
          <w:numId w:val="2"/>
        </w:numPr>
        <w:spacing w:after="60" w:before="60" w:line="300"/>
      </w:pPr>
      <w:r>
        <w:rPr>
          <w:rFonts w:ascii="Arial" w:cs="Arial" w:eastAsia="Arial" w:hAnsi="Arial"/>
          <w:color w:val="1A1A2E"/>
          <w:sz w:val="22"/>
          <w:szCs w:val="22"/>
        </w:rPr>
        <w:t xml:space="preserve">Real-time data-driven workflow automation with end-to-end pipeline integration across O2C and E&amp;P operations</w:t>
      </w:r>
    </w:p>
    <w:p>
      <w:pPr>
        <w:pStyle w:val="ListParagraph"/>
        <w:numPr>
          <w:ilvl w:val="0"/>
          <w:numId w:val="2"/>
        </w:numPr>
        <w:spacing w:after="60" w:before="60" w:line="300"/>
      </w:pPr>
      <w:r>
        <w:rPr>
          <w:rFonts w:ascii="Arial" w:cs="Arial" w:eastAsia="Arial" w:hAnsi="Arial"/>
          <w:color w:val="1A1A2E"/>
          <w:sz w:val="22"/>
          <w:szCs w:val="22"/>
        </w:rPr>
        <w:t xml:space="preserve">Call analysis, fraud detection, and customer experience analytics for the fuel retail network (Jio-bp)</w:t>
      </w:r>
    </w:p>
    <w:p>
      <w:pPr>
        <w:pStyle w:val="ListParagraph"/>
        <w:numPr>
          <w:ilvl w:val="0"/>
          <w:numId w:val="2"/>
        </w:numPr>
        <w:spacing w:after="60" w:before="60" w:line="300"/>
      </w:pPr>
      <w:r>
        <w:rPr>
          <w:rFonts w:ascii="Arial" w:cs="Arial" w:eastAsia="Arial" w:hAnsi="Arial"/>
          <w:color w:val="1A1A2E"/>
          <w:sz w:val="22"/>
          <w:szCs w:val="22"/>
        </w:rPr>
        <w:t xml:space="preserve">PeopleGPT for AI-powered HR functions across the Reliance conglomerate</w:t>
      </w:r>
    </w:p>
    <w:p>
      <w:pPr>
        <w:pStyle w:val="ListParagraph"/>
        <w:numPr>
          <w:ilvl w:val="0"/>
          <w:numId w:val="2"/>
        </w:numPr>
        <w:spacing w:after="60" w:before="60" w:line="300"/>
      </w:pPr>
      <w:r>
        <w:rPr>
          <w:rFonts w:ascii="Arial" w:cs="Arial" w:eastAsia="Arial" w:hAnsi="Arial"/>
          <w:color w:val="1A1A2E"/>
          <w:sz w:val="22"/>
          <w:szCs w:val="22"/>
        </w:rPr>
        <w:t xml:space="preserve">JioTranslate and JioVault for data management and multilingual operations</w:t>
      </w:r>
    </w:p>
    <w:p>
      <w:pPr>
        <w:pStyle w:val="ListParagraph"/>
        <w:numPr>
          <w:ilvl w:val="0"/>
          <w:numId w:val="2"/>
        </w:numPr>
        <w:spacing w:after="60" w:before="60" w:line="300"/>
      </w:pPr>
      <w:r>
        <w:rPr>
          <w:rFonts w:ascii="Arial" w:cs="Arial" w:eastAsia="Arial" w:hAnsi="Arial"/>
          <w:color w:val="1A1A2E"/>
          <w:sz w:val="22"/>
          <w:szCs w:val="22"/>
        </w:rPr>
        <w:t xml:space="preserve">Enterprise private 5G integration — Jio Brain is deployed on Jio's nationwide 5G infrastructure, enabling real-time edge AI at refinery and production facilities</w:t>
      </w:r>
    </w:p>
    <w:p>
      <w:pPr>
        <w:spacing w:before="200"/>
      </w:pPr>
    </w:p>
    <w:p>
      <w:pPr>
        <w:pStyle w:val="Heading2"/>
        <w:spacing w:after="160" w:before="360"/>
      </w:pPr>
      <w:r>
        <w:rPr>
          <w:rFonts w:ascii="Arial" w:cs="Arial" w:eastAsia="Arial" w:hAnsi="Arial"/>
          <w:b/>
          <w:bCs/>
          <w:color w:val="2E86AB"/>
          <w:sz w:val="28"/>
          <w:szCs w:val="28"/>
        </w:rPr>
        <w:t xml:space="preserve">2.2  The Hydrocarbons Data Lake (Powered by Cloudera)</w:t>
      </w:r>
    </w:p>
    <w:p>
      <w:pPr>
        <w:spacing w:after="80" w:before="80" w:line="340"/>
      </w:pPr>
      <w:r>
        <w:rPr>
          <w:rFonts w:ascii="Arial" w:cs="Arial" w:eastAsia="Arial" w:hAnsi="Arial"/>
          <w:color w:val="1A1A2E"/>
          <w:sz w:val="22"/>
          <w:szCs w:val="22"/>
        </w:rPr>
        <w:t xml:space="preserve">One of RIL's most operationally significant AI implementations is its centralized Hydrocarbons Data Lake, built on Cloudera's Hadoop Data Platform (HDP). This critical infrastructure transformation underpins all AI/ML activity in the O2C business: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Dimension</w:t>
            </w:r>
          </w:p>
        </w:tc>
        <w:tc>
          <w:tcPr>
            <w:tcW w:type="dxa" w:w="616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Detail</w:t>
            </w:r>
          </w:p>
        </w:tc>
      </w:tr>
      <w:tr>
        <w:tc>
          <w:tcPr>
            <w:tcW w:type="dxa" w:w="3200"/>
            <w:tcBorders>
              <w:top w:val="single" w:color="D1D5DB" w:sz="1"/>
              <w:left w:val="single" w:color="D1D5DB" w:sz="1"/>
              <w:bottom w:val="single" w:color="D1D5DB" w:sz="1"/>
              <w:right w:val="single" w:color="D1D5DB" w:sz="1"/>
            </w:tcBorders>
            <w:shd w:fill="F2F7FC" w:val="clear"/>
            <w:tcMar>
              <w:top w:type="dxa" w:w="80"/>
              <w:left w:type="dxa" w:w="140"/>
              <w:bottom w:type="dxa" w:w="80"/>
              <w:right w:type="dxa" w:w="140"/>
            </w:tcMar>
          </w:tcPr>
          <w:p>
            <w:r>
              <w:rPr>
                <w:rFonts w:ascii="Arial" w:cs="Arial" w:eastAsia="Arial" w:hAnsi="Arial"/>
                <w:b/>
                <w:bCs/>
                <w:color w:val="1B3A6B"/>
                <w:sz w:val="21"/>
                <w:szCs w:val="21"/>
              </w:rPr>
              <w:t xml:space="preserve">What It Does</w:t>
            </w:r>
          </w:p>
        </w:tc>
        <w:tc>
          <w:tcPr>
            <w:tcW w:type="dxa" w:w="6160"/>
            <w:tcBorders>
              <w:top w:val="single" w:color="D1D5DB" w:sz="1"/>
              <w:left w:val="single" w:color="D1D5DB" w:sz="1"/>
              <w:bottom w:val="single" w:color="D1D5DB" w:sz="1"/>
              <w:right w:val="single" w:color="D1D5DB" w:sz="1"/>
            </w:tcBorders>
            <w:shd w:fill="F2F7FC" w:val="clear"/>
            <w:tcMar>
              <w:top w:type="dxa" w:w="80"/>
              <w:left w:type="dxa" w:w="140"/>
              <w:bottom w:type="dxa" w:w="80"/>
              <w:right w:type="dxa" w:w="140"/>
            </w:tcMar>
          </w:tcPr>
          <w:p>
            <w:r>
              <w:rPr>
                <w:rFonts w:ascii="Arial" w:cs="Arial" w:eastAsia="Arial" w:hAnsi="Arial"/>
                <w:color w:val="1A1A2E"/>
                <w:sz w:val="21"/>
                <w:szCs w:val="21"/>
              </w:rPr>
              <w:t xml:space="preserve">Integrates data from across RIL's entire Oil-to-Chemicals value chain into a single, real-time, curated data repository — from crude procurement to product dispatch.</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B3A6B"/>
                <w:sz w:val="21"/>
                <w:szCs w:val="21"/>
              </w:rPr>
              <w:t xml:space="preserve">Data Access Speed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Provisioning cycle times reduced from several days to real-time access with millisecond latency and zero data handling errors.</w:t>
            </w:r>
          </w:p>
        </w:tc>
      </w:tr>
      <w:tr>
        <w:tc>
          <w:tcPr>
            <w:tcW w:type="dxa" w:w="3200"/>
            <w:tcBorders>
              <w:top w:val="single" w:color="D1D5DB" w:sz="1"/>
              <w:left w:val="single" w:color="D1D5DB" w:sz="1"/>
              <w:bottom w:val="single" w:color="D1D5DB" w:sz="1"/>
              <w:right w:val="single" w:color="D1D5DB" w:sz="1"/>
            </w:tcBorders>
            <w:shd w:fill="F2F7FC" w:val="clear"/>
            <w:tcMar>
              <w:top w:type="dxa" w:w="80"/>
              <w:left w:type="dxa" w:w="140"/>
              <w:bottom w:type="dxa" w:w="80"/>
              <w:right w:type="dxa" w:w="140"/>
            </w:tcMar>
          </w:tcPr>
          <w:p>
            <w:r>
              <w:rPr>
                <w:rFonts w:ascii="Arial" w:cs="Arial" w:eastAsia="Arial" w:hAnsi="Arial"/>
                <w:b/>
                <w:bCs/>
                <w:color w:val="1B3A6B"/>
                <w:sz w:val="21"/>
                <w:szCs w:val="21"/>
              </w:rPr>
              <w:t xml:space="preserve">Machine Learning Impact</w:t>
            </w:r>
          </w:p>
        </w:tc>
        <w:tc>
          <w:tcPr>
            <w:tcW w:type="dxa" w:w="6160"/>
            <w:tcBorders>
              <w:top w:val="single" w:color="D1D5DB" w:sz="1"/>
              <w:left w:val="single" w:color="D1D5DB" w:sz="1"/>
              <w:bottom w:val="single" w:color="D1D5DB" w:sz="1"/>
              <w:right w:val="single" w:color="D1D5DB" w:sz="1"/>
            </w:tcBorders>
            <w:shd w:fill="F2F7FC" w:val="clear"/>
            <w:tcMar>
              <w:top w:type="dxa" w:w="80"/>
              <w:left w:type="dxa" w:w="140"/>
              <w:bottom w:type="dxa" w:w="80"/>
              <w:right w:type="dxa" w:w="140"/>
            </w:tcMar>
          </w:tcPr>
          <w:p>
            <w:r>
              <w:rPr>
                <w:rFonts w:ascii="Arial" w:cs="Arial" w:eastAsia="Arial" w:hAnsi="Arial"/>
                <w:color w:val="1A1A2E"/>
                <w:sz w:val="21"/>
                <w:szCs w:val="21"/>
              </w:rPr>
              <w:t xml:space="preserve">ML models that previously required up to 5 days of data consolidation in Excel spreadsheets now deliver the same outputs in minutes or seconds.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B3A6B"/>
                <w:sz w:val="21"/>
                <w:szCs w:val="21"/>
              </w:rPr>
              <w:t xml:space="preserve">Cost Savings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Approximately 30% reduction in data storage costs by replacing legacy analytics tools with the unified data lake.</w:t>
            </w:r>
          </w:p>
        </w:tc>
      </w:tr>
      <w:tr>
        <w:tc>
          <w:tcPr>
            <w:tcW w:type="dxa" w:w="3200"/>
            <w:tcBorders>
              <w:top w:val="single" w:color="D1D5DB" w:sz="1"/>
              <w:left w:val="single" w:color="D1D5DB" w:sz="1"/>
              <w:bottom w:val="single" w:color="D1D5DB" w:sz="1"/>
              <w:right w:val="single" w:color="D1D5DB" w:sz="1"/>
            </w:tcBorders>
            <w:shd w:fill="F2F7FC" w:val="clear"/>
            <w:tcMar>
              <w:top w:type="dxa" w:w="80"/>
              <w:left w:type="dxa" w:w="140"/>
              <w:bottom w:type="dxa" w:w="80"/>
              <w:right w:type="dxa" w:w="140"/>
            </w:tcMar>
          </w:tcPr>
          <w:p>
            <w:r>
              <w:rPr>
                <w:rFonts w:ascii="Arial" w:cs="Arial" w:eastAsia="Arial" w:hAnsi="Arial"/>
                <w:b/>
                <w:bCs/>
                <w:color w:val="1B3A6B"/>
                <w:sz w:val="21"/>
                <w:szCs w:val="21"/>
              </w:rPr>
              <w:t xml:space="preserve">Business Operations</w:t>
            </w:r>
          </w:p>
        </w:tc>
        <w:tc>
          <w:tcPr>
            <w:tcW w:type="dxa" w:w="6160"/>
            <w:tcBorders>
              <w:top w:val="single" w:color="D1D5DB" w:sz="1"/>
              <w:left w:val="single" w:color="D1D5DB" w:sz="1"/>
              <w:bottom w:val="single" w:color="D1D5DB" w:sz="1"/>
              <w:right w:val="single" w:color="D1D5DB" w:sz="1"/>
            </w:tcBorders>
            <w:shd w:fill="F2F7FC" w:val="clear"/>
            <w:tcMar>
              <w:top w:type="dxa" w:w="80"/>
              <w:left w:type="dxa" w:w="140"/>
              <w:bottom w:type="dxa" w:w="80"/>
              <w:right w:type="dxa" w:w="140"/>
            </w:tcMar>
          </w:tcPr>
          <w:p>
            <w:r>
              <w:rPr>
                <w:rFonts w:ascii="Arial" w:cs="Arial" w:eastAsia="Arial" w:hAnsi="Arial"/>
                <w:color w:val="1A1A2E"/>
                <w:sz w:val="21"/>
                <w:szCs w:val="21"/>
              </w:rPr>
              <w:t xml:space="preserve">Multiple real-time Business Operation Centres (BOCs) built on top of the data lake for supply chain optimization, predictive maintenance, and IoT analytics.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B3A6B"/>
                <w:sz w:val="21"/>
                <w:szCs w:val="21"/>
              </w:rPr>
              <w:t xml:space="preserve">Coverage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Serves all hydrocarbons sub-businesses: exploration, refining, petrochemicals, and downstream marketing.</w:t>
            </w:r>
          </w:p>
        </w:tc>
      </w:tr>
    </w:tbl>
    <w:p>
      <w:pPr>
        <w:spacing w:before="200"/>
      </w:pPr>
    </w:p>
    <w:p>
      <w:pPr>
        <w:pStyle w:val="Heading2"/>
        <w:spacing w:after="160" w:before="360"/>
      </w:pPr>
      <w:r>
        <w:rPr>
          <w:rFonts w:ascii="Arial" w:cs="Arial" w:eastAsia="Arial" w:hAnsi="Arial"/>
          <w:b/>
          <w:bCs/>
          <w:color w:val="2E86AB"/>
          <w:sz w:val="28"/>
          <w:szCs w:val="28"/>
        </w:rPr>
        <w:t xml:space="preserve">2.3  AI-Powered Infrastructure: The Jamnagar Data Centre</w:t>
      </w:r>
    </w:p>
    <w:p>
      <w:pPr>
        <w:spacing w:after="80" w:before="80" w:line="340"/>
      </w:pPr>
      <w:r>
        <w:rPr>
          <w:rFonts w:ascii="Arial" w:cs="Arial" w:eastAsia="Arial" w:hAnsi="Arial"/>
          <w:color w:val="1A1A2E"/>
          <w:sz w:val="22"/>
          <w:szCs w:val="22"/>
        </w:rPr>
        <w:t xml:space="preserve">In October 2024, Reliance entered into a landmark agreement with NVIDIA to procure Blackwell-generation GPUs (the most advanced AI chips available) for a planned gigawatt-scale AI-ready data centre in Jamnagar, Gujarat — to be powered entirely by Reliance's green energy. This represents one of the largest AI infrastructure investments by any Indian company and positions Jamnagar as a dual hub for both energy production and AI compute.</w:t>
      </w:r>
    </w:p>
    <w:p>
      <w:pPr>
        <w:spacing w:before="80"/>
      </w:pPr>
    </w:p>
    <w:p>
      <w:pPr>
        <w:pStyle w:val="ListParagraph"/>
        <w:numPr>
          <w:ilvl w:val="0"/>
          <w:numId w:val="2"/>
        </w:numPr>
        <w:spacing w:after="60" w:before="60" w:line="300"/>
      </w:pPr>
      <w:r>
        <w:rPr>
          <w:rFonts w:ascii="Arial" w:cs="Arial" w:eastAsia="Arial" w:hAnsi="Arial"/>
          <w:color w:val="1A1A2E"/>
          <w:sz w:val="22"/>
          <w:szCs w:val="22"/>
        </w:rPr>
        <w:t xml:space="preserve">1 GW AI data centre under development at Jamnagar — for internal Reliance use and GPU-as-a-Service to external enterprises</w:t>
      </w:r>
    </w:p>
    <w:p>
      <w:pPr>
        <w:pStyle w:val="ListParagraph"/>
        <w:numPr>
          <w:ilvl w:val="0"/>
          <w:numId w:val="2"/>
        </w:numPr>
        <w:spacing w:after="60" w:before="60" w:line="300"/>
      </w:pPr>
      <w:r>
        <w:rPr>
          <w:rFonts w:ascii="Arial" w:cs="Arial" w:eastAsia="Arial" w:hAnsi="Arial"/>
          <w:color w:val="1A1A2E"/>
          <w:sz w:val="22"/>
          <w:szCs w:val="22"/>
        </w:rPr>
        <w:t xml:space="preserve">Partnership with NVIDIA extends to joint AI use cases in energy, retail, healthcare, and agriculture</w:t>
      </w:r>
    </w:p>
    <w:p>
      <w:pPr>
        <w:pStyle w:val="ListParagraph"/>
        <w:numPr>
          <w:ilvl w:val="0"/>
          <w:numId w:val="2"/>
        </w:numPr>
        <w:spacing w:after="60" w:before="60" w:line="300"/>
      </w:pPr>
      <w:r>
        <w:rPr>
          <w:rFonts w:ascii="Arial" w:cs="Arial" w:eastAsia="Arial" w:hAnsi="Arial"/>
          <w:color w:val="1A1A2E"/>
          <w:sz w:val="22"/>
          <w:szCs w:val="22"/>
        </w:rPr>
        <w:t xml:space="preserve">Participation in India AI Mission (₹10,300 crore government program) — Jio is an empaneled cloud provider</w:t>
      </w:r>
    </w:p>
    <w:p>
      <w:pPr>
        <w:pStyle w:val="ListParagraph"/>
        <w:numPr>
          <w:ilvl w:val="0"/>
          <w:numId w:val="2"/>
        </w:numPr>
        <w:spacing w:after="60" w:before="60" w:line="300"/>
      </w:pPr>
      <w:r>
        <w:rPr>
          <w:rFonts w:ascii="Arial" w:cs="Arial" w:eastAsia="Arial" w:hAnsi="Arial"/>
          <w:color w:val="1A1A2E"/>
          <w:sz w:val="22"/>
          <w:szCs w:val="22"/>
        </w:rPr>
        <w:t xml:space="preserve">Collaboration with IIT-Bombay to develop large language models (LLMs) for the Indian market</w:t>
      </w:r>
    </w:p>
    <w:p>
      <w:pPr>
        <w:spacing w:before="200"/>
      </w:pPr>
    </w:p>
    <w:p>
      <w:pPr>
        <w:pStyle w:val="Heading2"/>
        <w:spacing w:after="160" w:before="360"/>
      </w:pPr>
      <w:r>
        <w:rPr>
          <w:rFonts w:ascii="Arial" w:cs="Arial" w:eastAsia="Arial" w:hAnsi="Arial"/>
          <w:b/>
          <w:bCs/>
          <w:color w:val="2E86AB"/>
          <w:sz w:val="28"/>
          <w:szCs w:val="28"/>
        </w:rPr>
        <w:t xml:space="preserve">2.4  Current AI Applications in Oil &amp; Gas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r>
              <w:rPr>
                <w:rFonts w:ascii="Arial" w:cs="Arial" w:eastAsia="Arial" w:hAnsi="Arial"/>
                <w:b/>
                <w:bCs/>
                <w:color w:val="FFFFFF"/>
                <w:sz w:val="21"/>
                <w:szCs w:val="21"/>
              </w:rPr>
              <w:t xml:space="preserve">AI Use Case</w:t>
            </w:r>
          </w:p>
        </w:tc>
        <w:tc>
          <w:tcPr>
            <w:tcW w:type="dxa" w:w="3780"/>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r>
              <w:rPr>
                <w:rFonts w:ascii="Arial" w:cs="Arial" w:eastAsia="Arial" w:hAnsi="Arial"/>
                <w:b/>
                <w:bCs/>
                <w:color w:val="FFFFFF"/>
                <w:sz w:val="21"/>
                <w:szCs w:val="21"/>
              </w:rPr>
              <w:t xml:space="preserve">Current Implementation</w:t>
            </w:r>
          </w:p>
        </w:tc>
        <w:tc>
          <w:tcPr>
            <w:tcW w:type="dxa" w:w="3380"/>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r>
              <w:rPr>
                <w:rFonts w:ascii="Arial" w:cs="Arial" w:eastAsia="Arial" w:hAnsi="Arial"/>
                <w:b/>
                <w:bCs/>
                <w:color w:val="FFFFFF"/>
                <w:sz w:val="21"/>
                <w:szCs w:val="21"/>
              </w:rPr>
              <w:t xml:space="preserve">Observed Benefit</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Predictive Maintenance</w:t>
            </w:r>
          </w:p>
        </w:tc>
        <w:tc>
          <w:tcPr>
            <w:tcW w:type="dxa" w:w="37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IoT sensors + ML models monitor critical equipment in Jamnagar refinery. Built on top of the Hydrocarbons Data Lake.</w:t>
            </w:r>
          </w:p>
        </w:tc>
        <w:tc>
          <w:tcPr>
            <w:tcW w:type="dxa" w:w="33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Reduces unplanned downtime; extends equipment life.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Supply Chain Optimization</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AI-driven procurement, crude scheduling, and product dispatch optimization across the O2C business.</w:t>
            </w:r>
          </w:p>
        </w:tc>
        <w:tc>
          <w:tcPr>
            <w:tcW w:type="dxa" w:w="3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Higher capacity utilization (100% vs. 80% global avg).</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Real-time Business Operations Centres</w:t>
            </w:r>
          </w:p>
        </w:tc>
        <w:tc>
          <w:tcPr>
            <w:tcW w:type="dxa" w:w="37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AI-powered monitoring dashboards providing real-time visibility across refinery and production KPIs.</w:t>
            </w:r>
          </w:p>
        </w:tc>
        <w:tc>
          <w:tcPr>
            <w:tcW w:type="dxa" w:w="33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Faster decision-making; reduced operational risk.</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CBM Production Optimization</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 analytics guiding the novel multilateral horizontal well drilling program in SP (West) CBM block — India's first of its kind.</w:t>
            </w:r>
          </w:p>
        </w:tc>
        <w:tc>
          <w:tcPr>
            <w:tcW w:type="dxa" w:w="3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 YoY production increase in CBM output.</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Fraud Detection (Fuel Retail)</w:t>
            </w:r>
          </w:p>
        </w:tc>
        <w:tc>
          <w:tcPr>
            <w:tcW w:type="dxa" w:w="37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Jio Brain deployed in Jio-bp fuel retail network for fraud detection and service recommendations.</w:t>
            </w:r>
          </w:p>
        </w:tc>
        <w:tc>
          <w:tcPr>
            <w:tcW w:type="dxa" w:w="33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Reduced revenue leakage; improved customer trust.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Infrastructure-Led Exploration (ILX)</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3D seismic data acquisition, processing, and AI-assisted subsurface analysis for KG-UDW1 and KG-UDW2 blocks.</w:t>
            </w:r>
          </w:p>
        </w:tc>
        <w:tc>
          <w:tcPr>
            <w:tcW w:type="dxa" w:w="3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Cost-efficient exploration; faster prospect identification.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120"/>
              <w:left w:type="dxa" w:w="160"/>
              <w:bottom w:type="dxa" w:w="120"/>
              <w:right w:type="dxa" w:w="160"/>
            </w:tcMar>
          </w:tcPr>
          <w:p>
            <w:r>
              <w:rPr>
                <w:rFonts w:ascii="Arial" w:cs="Arial" w:eastAsia="Arial" w:hAnsi="Arial"/>
                <w:b/>
                <w:bCs/>
                <w:color w:val="FFFFFF"/>
                <w:sz w:val="24"/>
                <w:szCs w:val="24"/>
              </w:rPr>
              <w:t xml:space="preserve">💡  Key Insight: The Gap Between What's Done and What's Possible</w:t>
            </w:r>
          </w:p>
        </w:tc>
      </w:tr>
      <w:tr>
        <w:tc>
          <w:tcPr>
            <w:tcW w:type="dxa" w:w="9360"/>
            <w:tcBorders>
              <w:top w:val="none" w:color="FFFFFF" w:sz="0"/>
              <w:left w:val="none" w:color="FFFFFF" w:sz="0"/>
              <w:bottom w:val="none" w:color="FFFFFF" w:sz="0"/>
              <w:right w:val="none" w:color="FFFFFF" w:sz="0"/>
            </w:tcBorders>
            <w:shd w:fill="EEF4FB" w:val="clear"/>
            <w:tcMar>
              <w:top w:type="dxa" w:w="140"/>
              <w:left w:type="dxa" w:w="180"/>
              <w:bottom w:type="dxa" w:w="140"/>
              <w:right w:type="dxa" w:w="180"/>
            </w:tcMar>
          </w:tcPr>
          <w:p>
            <w:pPr>
              <w:spacing w:after="60" w:before="60" w:line="300"/>
            </w:pPr>
            <w:r>
              <w:rPr>
                <w:rFonts w:ascii="Arial" w:cs="Arial" w:eastAsia="Arial" w:hAnsi="Arial"/>
                <w:color w:val="1A1A2E"/>
                <w:sz w:val="21"/>
                <w:szCs w:val="21"/>
              </w:rPr>
              <w:t xml:space="preserve">While RIL has built impressive foundational AI infrastructure — notably Jio Brain and the Hydrocarbons Data Lake — the deployment of advanced AI specifically within upstream E&amp;P (drilling optimization, reservoir simulation, wellbore integrity) and deep refinery process optimization remains nascent compared to global peers like Saudi Aramco (10 billion data points analyzed daily, $4B in AI-driven gains in 2024) and Shell (ML-powered predictive maintenance industry-wide).</w:t>
            </w:r>
          </w:p>
          <w:p>
            <w:pPr>
              <w:spacing w:after="60" w:before="60" w:line="300"/>
            </w:pPr>
            <w:r>
              <w:rPr>
                <w:rFonts w:ascii="Arial" w:cs="Arial" w:eastAsia="Arial" w:hAnsi="Arial"/>
                <w:color w:val="1A1A2E"/>
                <w:sz w:val="21"/>
                <w:szCs w:val="21"/>
              </w:rPr>
              <w:t xml:space="preserve"/>
            </w:r>
          </w:p>
          <w:p>
            <w:pPr>
              <w:spacing w:after="60" w:before="60" w:line="300"/>
            </w:pPr>
            <w:r>
              <w:rPr>
                <w:rFonts w:ascii="Arial" w:cs="Arial" w:eastAsia="Arial" w:hAnsi="Arial"/>
                <w:color w:val="1A1A2E"/>
                <w:sz w:val="21"/>
                <w:szCs w:val="21"/>
              </w:rPr>
              <w:t xml:space="preserve">This gap represents RIL's greatest AI opportunity — and Section 3 of this report delivers a precise implementation roadmap to close 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SECTION 03 — AI/ML IMPLEMENTATION BLUEPRINT</w:t>
            </w:r>
          </w:p>
        </w:tc>
      </w:tr>
    </w:tbl>
    <w:p>
      <w:pPr>
        <w:spacing w:before="200"/>
      </w:pPr>
    </w:p>
    <w:p>
      <w:pPr>
        <w:pStyle w:val="Heading1"/>
        <w:pBdr>
          <w:bottom w:val="single" w:color="E84C1E" w:sz="4" w:space="6"/>
        </w:pBdr>
        <w:spacing w:after="200" w:before="480"/>
      </w:pPr>
      <w:r>
        <w:rPr>
          <w:rFonts w:ascii="Arial" w:cs="Arial" w:eastAsia="Arial" w:hAnsi="Arial"/>
          <w:b/>
          <w:bCs/>
          <w:color w:val="1B3A6B"/>
          <w:sz w:val="36"/>
          <w:szCs w:val="36"/>
        </w:rPr>
        <w:t xml:space="preserve">The AI Transformation Roadmap for RIL Oil &amp; Gas</w:t>
      </w:r>
    </w:p>
    <w:p>
      <w:pPr>
        <w:spacing w:after="80" w:before="80" w:line="340"/>
      </w:pPr>
      <w:r>
        <w:rPr>
          <w:rFonts w:ascii="Arial" w:cs="Arial" w:eastAsia="Arial" w:hAnsi="Arial"/>
          <w:color w:val="1A1A2E"/>
          <w:sz w:val="22"/>
          <w:szCs w:val="22"/>
        </w:rPr>
        <w:t xml:space="preserve">This section presents a comprehensive, phased implementation plan designed to elevate Reliance's oil and gas operations to global AI leadership — closing the gap with Saudi Aramco, Shell, and ExxonMobil, while leveraging RIL's unique advantages: Jio's 5G infrastructure, proprietary Jio Brain platform, Jamnagar data centre, and deep integration across the energy value chain.</w:t>
      </w:r>
    </w:p>
    <w:p>
      <w:pPr>
        <w:spacing w:before="100"/>
      </w:pPr>
    </w:p>
    <w:p>
      <w:pPr>
        <w:spacing w:after="80" w:before="80" w:line="340"/>
      </w:pPr>
      <w:r>
        <w:rPr>
          <w:rFonts w:ascii="Arial" w:cs="Arial" w:eastAsia="Arial" w:hAnsi="Arial"/>
          <w:color w:val="1A1A2E"/>
          <w:sz w:val="22"/>
          <w:szCs w:val="22"/>
        </w:rPr>
        <w:t xml:space="preserve">The roadmap is structured across four strategic pillars and three implementation phases spanning 36 months.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B3A6B" w:val="clear"/>
            <w:tcMar>
              <w:top w:type="dxa" w:w="160"/>
              <w:left w:type="dxa" w:w="120"/>
              <w:bottom w:type="dxa" w:w="160"/>
              <w:right w:type="dxa" w:w="120"/>
            </w:tcMar>
            <w:vAlign w:val="center"/>
          </w:tcPr>
          <w:p>
            <w:pPr>
              <w:jc w:val="center"/>
            </w:pPr>
            <w:r>
              <w:rPr>
                <w:rFonts w:ascii="Arial" w:cs="Arial" w:eastAsia="Arial" w:hAnsi="Arial"/>
                <w:b/>
                <w:bCs/>
                <w:color w:val="FFFFFF"/>
                <w:sz w:val="20"/>
                <w:szCs w:val="20"/>
              </w:rPr>
              <w:t xml:space="preserve">🔍 UPSTREAM
INTELLIGENCE</w:t>
            </w:r>
          </w:p>
        </w:tc>
        <w:tc>
          <w:tcPr>
            <w:tcW w:type="dxa" w:w="2340"/>
            <w:tcBorders>
              <w:top w:val="single" w:color="D1D5DB" w:sz="1"/>
              <w:left w:val="single" w:color="D1D5DB" w:sz="1"/>
              <w:bottom w:val="single" w:color="D1D5DB" w:sz="1"/>
              <w:right w:val="single" w:color="D1D5DB" w:sz="1"/>
            </w:tcBorders>
            <w:shd w:fill="E84C1E" w:val="clear"/>
            <w:tcMar>
              <w:top w:type="dxa" w:w="160"/>
              <w:left w:type="dxa" w:w="120"/>
              <w:bottom w:type="dxa" w:w="160"/>
              <w:right w:type="dxa" w:w="120"/>
            </w:tcMar>
            <w:vAlign w:val="center"/>
          </w:tcPr>
          <w:p>
            <w:pPr>
              <w:jc w:val="center"/>
            </w:pPr>
            <w:r>
              <w:rPr>
                <w:rFonts w:ascii="Arial" w:cs="Arial" w:eastAsia="Arial" w:hAnsi="Arial"/>
                <w:b/>
                <w:bCs/>
                <w:color w:val="FFFFFF"/>
                <w:sz w:val="20"/>
                <w:szCs w:val="20"/>
              </w:rPr>
              <w:t xml:space="preserve">⚙️ REFINERY
OPTIMIZATION</w:t>
            </w:r>
          </w:p>
        </w:tc>
        <w:tc>
          <w:tcPr>
            <w:tcW w:type="dxa" w:w="2340"/>
            <w:tcBorders>
              <w:top w:val="single" w:color="D1D5DB" w:sz="1"/>
              <w:left w:val="single" w:color="D1D5DB" w:sz="1"/>
              <w:bottom w:val="single" w:color="D1D5DB" w:sz="1"/>
              <w:right w:val="single" w:color="D1D5DB" w:sz="1"/>
            </w:tcBorders>
            <w:shd w:fill="2D6A4F" w:val="clear"/>
            <w:tcMar>
              <w:top w:type="dxa" w:w="160"/>
              <w:left w:type="dxa" w:w="120"/>
              <w:bottom w:type="dxa" w:w="160"/>
              <w:right w:type="dxa" w:w="120"/>
            </w:tcMar>
            <w:vAlign w:val="center"/>
          </w:tcPr>
          <w:p>
            <w:pPr>
              <w:jc w:val="center"/>
            </w:pPr>
            <w:r>
              <w:rPr>
                <w:rFonts w:ascii="Arial" w:cs="Arial" w:eastAsia="Arial" w:hAnsi="Arial"/>
                <w:b/>
                <w:bCs/>
                <w:color w:val="FFFFFF"/>
                <w:sz w:val="20"/>
                <w:szCs w:val="20"/>
              </w:rPr>
              <w:t xml:space="preserve">🛡️ SAFETY &amp;
COMPLIANCE AI</w:t>
            </w:r>
          </w:p>
        </w:tc>
        <w:tc>
          <w:tcPr>
            <w:tcW w:type="dxa" w:w="2340"/>
            <w:tcBorders>
              <w:top w:val="single" w:color="D1D5DB" w:sz="1"/>
              <w:left w:val="single" w:color="D1D5DB" w:sz="1"/>
              <w:bottom w:val="single" w:color="D1D5DB" w:sz="1"/>
              <w:right w:val="single" w:color="D1D5DB" w:sz="1"/>
            </w:tcBorders>
            <w:shd w:fill="2E86AB" w:val="clear"/>
            <w:tcMar>
              <w:top w:type="dxa" w:w="160"/>
              <w:left w:type="dxa" w:w="120"/>
              <w:bottom w:type="dxa" w:w="160"/>
              <w:right w:type="dxa" w:w="120"/>
            </w:tcMar>
            <w:vAlign w:val="center"/>
          </w:tcPr>
          <w:p>
            <w:pPr>
              <w:jc w:val="center"/>
            </w:pPr>
            <w:r>
              <w:rPr>
                <w:rFonts w:ascii="Arial" w:cs="Arial" w:eastAsia="Arial" w:hAnsi="Arial"/>
                <w:b/>
                <w:bCs/>
                <w:color w:val="FFFFFF"/>
                <w:sz w:val="20"/>
                <w:szCs w:val="20"/>
              </w:rPr>
              <w:t xml:space="preserve">📊 COMMERCIAL
AI &amp; ANALYTICS</w:t>
            </w:r>
          </w:p>
        </w:tc>
      </w:tr>
    </w:tbl>
    <w:p>
      <w:pPr>
        <w:spacing w:before="300"/>
      </w:pPr>
    </w:p>
    <w:p>
      <w:pPr>
        <w:pStyle w:val="Heading2"/>
        <w:spacing w:after="160" w:before="360"/>
      </w:pPr>
      <w:r>
        <w:rPr>
          <w:rFonts w:ascii="Arial" w:cs="Arial" w:eastAsia="Arial" w:hAnsi="Arial"/>
          <w:b/>
          <w:bCs/>
          <w:color w:val="2E86AB"/>
          <w:sz w:val="28"/>
          <w:szCs w:val="28"/>
        </w:rPr>
        <w:t xml:space="preserve">3.1  Phase 1 — Foundation &amp; Quick Wins (Months 1–12)</w:t>
      </w:r>
    </w:p>
    <w:p>
      <w:pPr>
        <w:spacing w:after="80" w:before="80" w:line="340"/>
      </w:pPr>
      <w:r>
        <w:rPr>
          <w:rFonts w:ascii="Arial" w:cs="Arial" w:eastAsia="Arial" w:hAnsi="Arial"/>
          <w:color w:val="1A1A2E"/>
          <w:sz w:val="22"/>
          <w:szCs w:val="22"/>
        </w:rPr>
        <w:t xml:space="preserve">Phase 1 focuses on expanding Jio Brain's reach into upstream operations, deploying advanced predictive maintenance at scale, and establishing the data and compute infrastructure required for Phase 2 and 3 initiatives.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color="FFFFFF" w:sz="0"/>
              <w:left w:val="none" w:color="FFFFFF" w:sz="0"/>
              <w:bottom w:val="none" w:color="FFFFFF" w:sz="0"/>
              <w:right w:val="none" w:color="FFFFFF" w:sz="0"/>
            </w:tcBorders>
            <w:shd w:fill="2E86AB" w:val="clear"/>
            <w:tcMar>
              <w:top w:type="dxa" w:w="120"/>
              <w:left w:type="dxa" w:w="160"/>
              <w:bottom w:type="dxa" w:w="120"/>
              <w:right w:type="dxa" w:w="160"/>
            </w:tcMar>
          </w:tcPr>
          <w:p>
            <w:r>
              <w:rPr>
                <w:rFonts w:ascii="Arial" w:cs="Arial" w:eastAsia="Arial" w:hAnsi="Arial"/>
                <w:b/>
                <w:bCs/>
                <w:color w:val="FFFFFF"/>
                <w:sz w:val="22"/>
                <w:szCs w:val="22"/>
              </w:rPr>
              <w:t xml:space="preserve">PHASE 1  |  </w:t>
            </w:r>
            <w:r>
              <w:rPr>
                <w:rFonts w:ascii="Arial" w:cs="Arial" w:eastAsia="Arial" w:hAnsi="Arial"/>
                <w:b/>
                <w:bCs/>
                <w:color w:val="FFFFFF"/>
                <w:sz w:val="26"/>
                <w:szCs w:val="26"/>
              </w:rPr>
              <w:t xml:space="preserve">Foundation &amp; Quick Wins</w:t>
            </w:r>
          </w:p>
          <w:p>
            <w:pPr>
              <w:spacing w:before="40"/>
            </w:pPr>
            <w:r>
              <w:rPr>
                <w:rFonts w:ascii="Arial" w:cs="Arial" w:eastAsia="Arial" w:hAnsi="Arial"/>
                <w:i/>
                <w:iCs/>
                <w:color w:val="DDDDDD"/>
                <w:sz w:val="20"/>
                <w:szCs w:val="20"/>
              </w:rPr>
              <w:t xml:space="preserve">Duration: 12 Months | Est. Investment: ₹800–1,200 Crore</w:t>
            </w:r>
          </w:p>
        </w:tc>
      </w:tr>
      <w:tr>
        <w:tc>
          <w:tcPr>
            <w:tcW w:type="dxa" w:w="400"/>
            <w:tcBorders>
              <w:top w:val="none" w:color="FFFFFF" w:sz="0"/>
              <w:left w:val="none" w:color="FFFFFF" w:sz="0"/>
              <w:bottom w:val="none" w:color="FFFFFF" w:sz="0"/>
              <w:right w:val="none" w:color="FFFFFF" w:sz="0"/>
            </w:tcBorders>
            <w:shd w:fill="EEF4FB" w:val="clear"/>
            <w:tcMar>
              <w:top w:type="dxa" w:w="80"/>
              <w:left w:type="dxa" w:w="160"/>
              <w:bottom w:type="dxa" w:w="80"/>
              <w:right w:type="dxa" w:w="80"/>
            </w:tcMar>
          </w:tcPr>
          <w:p>
            <w:r>
              <w:rPr>
                <w:rFonts w:ascii="Arial" w:cs="Arial" w:eastAsia="Arial" w:hAnsi="Arial"/>
                <w:b/>
                <w:bCs/>
                <w:color w:val="2E86AB"/>
                <w:sz w:val="20"/>
                <w:szCs w:val="20"/>
              </w:rPr>
              <w:t xml:space="preserve">✔</w:t>
            </w:r>
          </w:p>
        </w:tc>
        <w:tc>
          <w:tcPr>
            <w:tcW w:type="dxa" w:w="8960"/>
            <w:tcBorders>
              <w:top w:val="none" w:color="FFFFFF" w:sz="0"/>
              <w:left w:val="none" w:color="FFFFFF" w:sz="0"/>
              <w:bottom w:val="none" w:color="FFFFFF" w:sz="0"/>
              <w:right w:val="none" w:color="FFFFFF" w:sz="0"/>
            </w:tcBorders>
            <w:shd w:fill="EEF4FB" w:val="clear"/>
            <w:tcMar>
              <w:top w:type="dxa" w:w="80"/>
              <w:left w:type="dxa" w:w="80"/>
              <w:bottom w:type="dxa" w:w="80"/>
              <w:right w:type="dxa" w:w="160"/>
            </w:tcMar>
          </w:tcPr>
          <w:p>
            <w:r>
              <w:rPr>
                <w:rFonts w:ascii="Arial" w:cs="Arial" w:eastAsia="Arial" w:hAnsi="Arial"/>
                <w:color w:val="1A1A2E"/>
                <w:sz w:val="21"/>
                <w:szCs w:val="21"/>
              </w:rPr>
              <w:t xml:space="preserve">Deploy Jio Brain's ML modules across all refinery units at Jamnagar — extend current IoT/predictive maintenance to 100% critical equipment coverage (rotating machinery, heat exchangers, distillation columns, compressors).</w:t>
            </w:r>
          </w:p>
        </w:tc>
      </w:tr>
      <w:tr>
        <w:tc>
          <w:tcPr>
            <w:tcW w:type="dxa" w:w="40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2E86AB"/>
                <w:sz w:val="20"/>
                <w:szCs w:val="20"/>
              </w:rPr>
              <w:t xml:space="preserve">✔</w:t>
            </w:r>
          </w:p>
        </w:tc>
        <w:tc>
          <w:tcPr>
            <w:tcW w:type="dxa" w:w="8960"/>
            <w:tcBorders>
              <w:top w:val="none" w:color="FFFFFF" w:sz="0"/>
              <w:left w:val="none" w:color="FFFFFF" w:sz="0"/>
              <w:bottom w:val="none" w:color="FFFFFF" w:sz="0"/>
              <w:right w:val="none" w:color="FFFFFF" w:sz="0"/>
            </w:tcBorders>
            <w:shd w:fill="FFFFFF" w:val="clear"/>
            <w:tcMar>
              <w:top w:type="dxa" w:w="80"/>
              <w:left w:type="dxa" w:w="80"/>
              <w:bottom w:type="dxa" w:w="80"/>
              <w:right w:type="dxa" w:w="160"/>
            </w:tcMar>
          </w:tcPr>
          <w:p>
            <w:r>
              <w:rPr>
                <w:rFonts w:ascii="Arial" w:cs="Arial" w:eastAsia="Arial" w:hAnsi="Arial"/>
                <w:color w:val="1A1A2E"/>
                <w:sz w:val="21"/>
                <w:szCs w:val="21"/>
              </w:rPr>
              <w:t xml:space="preserve">Implement AI-powered crude oil scheduling and blending optimization — integrate market intelligence, crude price forecasting, and refinery configuration models to dynamically optimize feedstock mix for maximum margin.</w:t>
            </w:r>
          </w:p>
        </w:tc>
      </w:tr>
      <w:tr>
        <w:tc>
          <w:tcPr>
            <w:tcW w:type="dxa" w:w="400"/>
            <w:tcBorders>
              <w:top w:val="none" w:color="FFFFFF" w:sz="0"/>
              <w:left w:val="none" w:color="FFFFFF" w:sz="0"/>
              <w:bottom w:val="none" w:color="FFFFFF" w:sz="0"/>
              <w:right w:val="none" w:color="FFFFFF" w:sz="0"/>
            </w:tcBorders>
            <w:shd w:fill="EEF4FB" w:val="clear"/>
            <w:tcMar>
              <w:top w:type="dxa" w:w="80"/>
              <w:left w:type="dxa" w:w="160"/>
              <w:bottom w:type="dxa" w:w="80"/>
              <w:right w:type="dxa" w:w="80"/>
            </w:tcMar>
          </w:tcPr>
          <w:p>
            <w:r>
              <w:rPr>
                <w:rFonts w:ascii="Arial" w:cs="Arial" w:eastAsia="Arial" w:hAnsi="Arial"/>
                <w:b/>
                <w:bCs/>
                <w:color w:val="2E86AB"/>
                <w:sz w:val="20"/>
                <w:szCs w:val="20"/>
              </w:rPr>
              <w:t xml:space="preserve">✔</w:t>
            </w:r>
          </w:p>
        </w:tc>
        <w:tc>
          <w:tcPr>
            <w:tcW w:type="dxa" w:w="8960"/>
            <w:tcBorders>
              <w:top w:val="none" w:color="FFFFFF" w:sz="0"/>
              <w:left w:val="none" w:color="FFFFFF" w:sz="0"/>
              <w:bottom w:val="none" w:color="FFFFFF" w:sz="0"/>
              <w:right w:val="none" w:color="FFFFFF" w:sz="0"/>
            </w:tcBorders>
            <w:shd w:fill="EEF4FB" w:val="clear"/>
            <w:tcMar>
              <w:top w:type="dxa" w:w="80"/>
              <w:left w:type="dxa" w:w="80"/>
              <w:bottom w:type="dxa" w:w="80"/>
              <w:right w:type="dxa" w:w="160"/>
            </w:tcMar>
          </w:tcPr>
          <w:p>
            <w:r>
              <w:rPr>
                <w:rFonts w:ascii="Arial" w:cs="Arial" w:eastAsia="Arial" w:hAnsi="Arial"/>
                <w:color w:val="1A1A2E"/>
                <w:sz w:val="21"/>
                <w:szCs w:val="21"/>
              </w:rPr>
              <w:t xml:space="preserve">Launch a Digital Twin of the Jamnagar Refinery — create a high-fidelity virtual replica using real-time sensor data to simulate process changes, test optimization strategies, and predict equipment behaviour before physical changes.</w:t>
            </w:r>
          </w:p>
        </w:tc>
      </w:tr>
      <w:tr>
        <w:tc>
          <w:tcPr>
            <w:tcW w:type="dxa" w:w="40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2E86AB"/>
                <w:sz w:val="20"/>
                <w:szCs w:val="20"/>
              </w:rPr>
              <w:t xml:space="preserve">✔</w:t>
            </w:r>
          </w:p>
        </w:tc>
        <w:tc>
          <w:tcPr>
            <w:tcW w:type="dxa" w:w="8960"/>
            <w:tcBorders>
              <w:top w:val="none" w:color="FFFFFF" w:sz="0"/>
              <w:left w:val="none" w:color="FFFFFF" w:sz="0"/>
              <w:bottom w:val="none" w:color="FFFFFF" w:sz="0"/>
              <w:right w:val="none" w:color="FFFFFF" w:sz="0"/>
            </w:tcBorders>
            <w:shd w:fill="FFFFFF" w:val="clear"/>
            <w:tcMar>
              <w:top w:type="dxa" w:w="80"/>
              <w:left w:type="dxa" w:w="80"/>
              <w:bottom w:type="dxa" w:w="80"/>
              <w:right w:type="dxa" w:w="160"/>
            </w:tcMar>
          </w:tcPr>
          <w:p>
            <w:r>
              <w:rPr>
                <w:rFonts w:ascii="Arial" w:cs="Arial" w:eastAsia="Arial" w:hAnsi="Arial"/>
                <w:color w:val="1A1A2E"/>
                <w:sz w:val="21"/>
                <w:szCs w:val="21"/>
              </w:rPr>
              <w:t xml:space="preserve">Expand the Hydrocarbons Data Lake to include KG-D6 deepwater production data streams (SCADA, well telemetry, subsea sensor networks) in real time.</w:t>
            </w:r>
          </w:p>
        </w:tc>
      </w:tr>
      <w:tr>
        <w:tc>
          <w:tcPr>
            <w:tcW w:type="dxa" w:w="400"/>
            <w:tcBorders>
              <w:top w:val="none" w:color="FFFFFF" w:sz="0"/>
              <w:left w:val="none" w:color="FFFFFF" w:sz="0"/>
              <w:bottom w:val="none" w:color="FFFFFF" w:sz="0"/>
              <w:right w:val="none" w:color="FFFFFF" w:sz="0"/>
            </w:tcBorders>
            <w:shd w:fill="EEF4FB" w:val="clear"/>
            <w:tcMar>
              <w:top w:type="dxa" w:w="80"/>
              <w:left w:type="dxa" w:w="160"/>
              <w:bottom w:type="dxa" w:w="80"/>
              <w:right w:type="dxa" w:w="80"/>
            </w:tcMar>
          </w:tcPr>
          <w:p>
            <w:r>
              <w:rPr>
                <w:rFonts w:ascii="Arial" w:cs="Arial" w:eastAsia="Arial" w:hAnsi="Arial"/>
                <w:b/>
                <w:bCs/>
                <w:color w:val="2E86AB"/>
                <w:sz w:val="20"/>
                <w:szCs w:val="20"/>
              </w:rPr>
              <w:t xml:space="preserve">✔</w:t>
            </w:r>
          </w:p>
        </w:tc>
        <w:tc>
          <w:tcPr>
            <w:tcW w:type="dxa" w:w="8960"/>
            <w:tcBorders>
              <w:top w:val="none" w:color="FFFFFF" w:sz="0"/>
              <w:left w:val="none" w:color="FFFFFF" w:sz="0"/>
              <w:bottom w:val="none" w:color="FFFFFF" w:sz="0"/>
              <w:right w:val="none" w:color="FFFFFF" w:sz="0"/>
            </w:tcBorders>
            <w:shd w:fill="EEF4FB" w:val="clear"/>
            <w:tcMar>
              <w:top w:type="dxa" w:w="80"/>
              <w:left w:type="dxa" w:w="80"/>
              <w:bottom w:type="dxa" w:w="80"/>
              <w:right w:type="dxa" w:w="160"/>
            </w:tcMar>
          </w:tcPr>
          <w:p>
            <w:r>
              <w:rPr>
                <w:rFonts w:ascii="Arial" w:cs="Arial" w:eastAsia="Arial" w:hAnsi="Arial"/>
                <w:color w:val="1A1A2E"/>
                <w:sz w:val="21"/>
                <w:szCs w:val="21"/>
              </w:rPr>
              <w:t xml:space="preserve">Deploy computer vision AI for pipeline integrity monitoring — use drone-mounted and fixed camera systems with anomaly detection models to inspect 302 km Shahdol-Phulpur pipeline and offshore risers.</w:t>
            </w:r>
          </w:p>
        </w:tc>
      </w:tr>
      <w:tr>
        <w:tc>
          <w:tcPr>
            <w:tcW w:type="dxa" w:w="40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2E86AB"/>
                <w:sz w:val="20"/>
                <w:szCs w:val="20"/>
              </w:rPr>
              <w:t xml:space="preserve">✔</w:t>
            </w:r>
          </w:p>
        </w:tc>
        <w:tc>
          <w:tcPr>
            <w:tcW w:type="dxa" w:w="8960"/>
            <w:tcBorders>
              <w:top w:val="none" w:color="FFFFFF" w:sz="0"/>
              <w:left w:val="none" w:color="FFFFFF" w:sz="0"/>
              <w:bottom w:val="none" w:color="FFFFFF" w:sz="0"/>
              <w:right w:val="none" w:color="FFFFFF" w:sz="0"/>
            </w:tcBorders>
            <w:shd w:fill="FFFFFF" w:val="clear"/>
            <w:tcMar>
              <w:top w:type="dxa" w:w="80"/>
              <w:left w:type="dxa" w:w="80"/>
              <w:bottom w:type="dxa" w:w="80"/>
              <w:right w:type="dxa" w:w="160"/>
            </w:tcMar>
          </w:tcPr>
          <w:p>
            <w:r>
              <w:rPr>
                <w:rFonts w:ascii="Arial" w:cs="Arial" w:eastAsia="Arial" w:hAnsi="Arial"/>
                <w:color w:val="1A1A2E"/>
                <w:sz w:val="21"/>
                <w:szCs w:val="21"/>
              </w:rPr>
              <w:t xml:space="preserve">AI-assisted 3D seismic interpretation for KG-UDW1 and KG-UDW2 exploration blocks — reduce geological interpretation time from months to weeks using deep learning subsurface models.</w:t>
            </w:r>
          </w:p>
        </w:tc>
      </w:tr>
      <w:tr>
        <w:tc>
          <w:tcPr>
            <w:tcW w:type="dxa" w:w="400"/>
            <w:tcBorders>
              <w:top w:val="none" w:color="FFFFFF" w:sz="0"/>
              <w:left w:val="none" w:color="FFFFFF" w:sz="0"/>
              <w:bottom w:val="none" w:color="FFFFFF" w:sz="0"/>
              <w:right w:val="none" w:color="FFFFFF" w:sz="0"/>
            </w:tcBorders>
            <w:shd w:fill="EEF4FB" w:val="clear"/>
            <w:tcMar>
              <w:top w:type="dxa" w:w="80"/>
              <w:left w:type="dxa" w:w="160"/>
              <w:bottom w:type="dxa" w:w="80"/>
              <w:right w:type="dxa" w:w="80"/>
            </w:tcMar>
          </w:tcPr>
          <w:p>
            <w:r>
              <w:rPr>
                <w:rFonts w:ascii="Arial" w:cs="Arial" w:eastAsia="Arial" w:hAnsi="Arial"/>
                <w:b/>
                <w:bCs/>
                <w:color w:val="2E86AB"/>
                <w:sz w:val="20"/>
                <w:szCs w:val="20"/>
              </w:rPr>
              <w:t xml:space="preserve">✔</w:t>
            </w:r>
          </w:p>
        </w:tc>
        <w:tc>
          <w:tcPr>
            <w:tcW w:type="dxa" w:w="8960"/>
            <w:tcBorders>
              <w:top w:val="none" w:color="FFFFFF" w:sz="0"/>
              <w:left w:val="none" w:color="FFFFFF" w:sz="0"/>
              <w:bottom w:val="none" w:color="FFFFFF" w:sz="0"/>
              <w:right w:val="none" w:color="FFFFFF" w:sz="0"/>
            </w:tcBorders>
            <w:shd w:fill="EEF4FB" w:val="clear"/>
            <w:tcMar>
              <w:top w:type="dxa" w:w="80"/>
              <w:left w:type="dxa" w:w="80"/>
              <w:bottom w:type="dxa" w:w="80"/>
              <w:right w:type="dxa" w:w="160"/>
            </w:tcMar>
          </w:tcPr>
          <w:p>
            <w:r>
              <w:rPr>
                <w:rFonts w:ascii="Arial" w:cs="Arial" w:eastAsia="Arial" w:hAnsi="Arial"/>
                <w:color w:val="1A1A2E"/>
                <w:sz w:val="21"/>
                <w:szCs w:val="21"/>
              </w:rPr>
              <w:t xml:space="preserve">Establish a Unified AI Operations Centre at Jamnagar — co-located with the new data centre, integrating dashboards for E&amp;P, O2C, and fuel retail into a single AI command hub.</w:t>
            </w:r>
          </w:p>
        </w:tc>
      </w:tr>
      <w:tr>
        <w:tc>
          <w:tcPr>
            <w:tcW w:type="dxa" w:w="40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2E86AB"/>
                <w:sz w:val="20"/>
                <w:szCs w:val="20"/>
              </w:rPr>
              <w:t xml:space="preserve">✔</w:t>
            </w:r>
          </w:p>
        </w:tc>
        <w:tc>
          <w:tcPr>
            <w:tcW w:type="dxa" w:w="8960"/>
            <w:tcBorders>
              <w:top w:val="none" w:color="FFFFFF" w:sz="0"/>
              <w:left w:val="none" w:color="FFFFFF" w:sz="0"/>
              <w:bottom w:val="none" w:color="FFFFFF" w:sz="0"/>
              <w:right w:val="none" w:color="FFFFFF" w:sz="0"/>
            </w:tcBorders>
            <w:shd w:fill="FFFFFF" w:val="clear"/>
            <w:tcMar>
              <w:top w:type="dxa" w:w="80"/>
              <w:left w:type="dxa" w:w="80"/>
              <w:bottom w:type="dxa" w:w="80"/>
              <w:right w:type="dxa" w:w="160"/>
            </w:tcMar>
          </w:tcPr>
          <w:p>
            <w:r>
              <w:rPr>
                <w:rFonts w:ascii="Arial" w:cs="Arial" w:eastAsia="Arial" w:hAnsi="Arial"/>
                <w:color w:val="1A1A2E"/>
                <w:sz w:val="21"/>
                <w:szCs w:val="21"/>
              </w:rPr>
              <w:t xml:space="preserve">Deploy NLP-powered document intelligence for regulatory compliance — automate submission of DGCA, DGH, and MoEF reports using large language models fine-tuned on Indian energy regulation.</w:t>
            </w:r>
          </w:p>
        </w:tc>
      </w:tr>
    </w:tbl>
    <w:p>
      <w:pPr>
        <w:spacing w:before="300"/>
      </w:pPr>
    </w:p>
    <w:p>
      <w:pPr>
        <w:pStyle w:val="Heading2"/>
        <w:spacing w:after="160" w:before="360"/>
      </w:pPr>
      <w:r>
        <w:rPr>
          <w:rFonts w:ascii="Arial" w:cs="Arial" w:eastAsia="Arial" w:hAnsi="Arial"/>
          <w:b/>
          <w:bCs/>
          <w:color w:val="2E86AB"/>
          <w:sz w:val="28"/>
          <w:szCs w:val="28"/>
        </w:rPr>
        <w:t xml:space="preserve">3.2  Phase 2 — Intelligence at Scale (Months 13–24)</w:t>
      </w:r>
    </w:p>
    <w:p>
      <w:pPr>
        <w:spacing w:after="80" w:before="80" w:line="340"/>
      </w:pPr>
      <w:r>
        <w:rPr>
          <w:rFonts w:ascii="Arial" w:cs="Arial" w:eastAsia="Arial" w:hAnsi="Arial"/>
          <w:color w:val="1A1A2E"/>
          <w:sz w:val="22"/>
          <w:szCs w:val="22"/>
        </w:rPr>
        <w:t xml:space="preserve">Phase 2 deploys advanced AI models across upstream operations, moves toward autonomous refinery segments, and scales commercial AI for margin optimization and trading intelligence.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color="FFFFFF" w:sz="0"/>
              <w:left w:val="none" w:color="FFFFFF" w:sz="0"/>
              <w:bottom w:val="none" w:color="FFFFFF" w:sz="0"/>
              <w:right w:val="none" w:color="FFFFFF" w:sz="0"/>
            </w:tcBorders>
            <w:shd w:fill="E84C1E" w:val="clear"/>
            <w:tcMar>
              <w:top w:type="dxa" w:w="120"/>
              <w:left w:type="dxa" w:w="160"/>
              <w:bottom w:type="dxa" w:w="120"/>
              <w:right w:type="dxa" w:w="160"/>
            </w:tcMar>
          </w:tcPr>
          <w:p>
            <w:r>
              <w:rPr>
                <w:rFonts w:ascii="Arial" w:cs="Arial" w:eastAsia="Arial" w:hAnsi="Arial"/>
                <w:b/>
                <w:bCs/>
                <w:color w:val="FFFFFF"/>
                <w:sz w:val="22"/>
                <w:szCs w:val="22"/>
              </w:rPr>
              <w:t xml:space="preserve">PHASE 2  |  </w:t>
            </w:r>
            <w:r>
              <w:rPr>
                <w:rFonts w:ascii="Arial" w:cs="Arial" w:eastAsia="Arial" w:hAnsi="Arial"/>
                <w:b/>
                <w:bCs/>
                <w:color w:val="FFFFFF"/>
                <w:sz w:val="26"/>
                <w:szCs w:val="26"/>
              </w:rPr>
              <w:t xml:space="preserve">Intelligence at Scale</w:t>
            </w:r>
          </w:p>
          <w:p>
            <w:pPr>
              <w:spacing w:before="40"/>
            </w:pPr>
            <w:r>
              <w:rPr>
                <w:rFonts w:ascii="Arial" w:cs="Arial" w:eastAsia="Arial" w:hAnsi="Arial"/>
                <w:i/>
                <w:iCs/>
                <w:color w:val="DDDDDD"/>
                <w:sz w:val="20"/>
                <w:szCs w:val="20"/>
              </w:rPr>
              <w:t xml:space="preserve">Duration: 12 Months | Est. Investment: ₹1,500–2,200 Crore</w:t>
            </w:r>
          </w:p>
        </w:tc>
      </w:tr>
      <w:tr>
        <w:tc>
          <w:tcPr>
            <w:tcW w:type="dxa" w:w="400"/>
            <w:tcBorders>
              <w:top w:val="none" w:color="FFFFFF" w:sz="0"/>
              <w:left w:val="none" w:color="FFFFFF" w:sz="0"/>
              <w:bottom w:val="none" w:color="FFFFFF" w:sz="0"/>
              <w:right w:val="none" w:color="FFFFFF" w:sz="0"/>
            </w:tcBorders>
            <w:shd w:fill="EEF4FB" w:val="clear"/>
            <w:tcMar>
              <w:top w:type="dxa" w:w="80"/>
              <w:left w:type="dxa" w:w="160"/>
              <w:bottom w:type="dxa" w:w="80"/>
              <w:right w:type="dxa" w:w="80"/>
            </w:tcMar>
          </w:tcPr>
          <w:p>
            <w:r>
              <w:rPr>
                <w:rFonts w:ascii="Arial" w:cs="Arial" w:eastAsia="Arial" w:hAnsi="Arial"/>
                <w:b/>
                <w:bCs/>
                <w:color w:val="E84C1E"/>
                <w:sz w:val="20"/>
                <w:szCs w:val="20"/>
              </w:rPr>
              <w:t xml:space="preserve">✔</w:t>
            </w:r>
          </w:p>
        </w:tc>
        <w:tc>
          <w:tcPr>
            <w:tcW w:type="dxa" w:w="8960"/>
            <w:tcBorders>
              <w:top w:val="none" w:color="FFFFFF" w:sz="0"/>
              <w:left w:val="none" w:color="FFFFFF" w:sz="0"/>
              <w:bottom w:val="none" w:color="FFFFFF" w:sz="0"/>
              <w:right w:val="none" w:color="FFFFFF" w:sz="0"/>
            </w:tcBorders>
            <w:shd w:fill="EEF4FB" w:val="clear"/>
            <w:tcMar>
              <w:top w:type="dxa" w:w="80"/>
              <w:left w:type="dxa" w:w="80"/>
              <w:bottom w:type="dxa" w:w="80"/>
              <w:right w:type="dxa" w:w="160"/>
            </w:tcMar>
          </w:tcPr>
          <w:p>
            <w:r>
              <w:rPr>
                <w:rFonts w:ascii="Arial" w:cs="Arial" w:eastAsia="Arial" w:hAnsi="Arial"/>
                <w:color w:val="1A1A2E"/>
                <w:sz w:val="21"/>
                <w:szCs w:val="21"/>
              </w:rPr>
              <w:t xml:space="preserve">Deploy Reinforced Learning for Refinery Process Control — train RL agents on the Jamnagar Digital Twin to autonomously optimize distillation yields, cracking ratios, and energy consumption, targeting 2-4% improvement in refinery margins.</w:t>
            </w:r>
          </w:p>
        </w:tc>
      </w:tr>
      <w:tr>
        <w:tc>
          <w:tcPr>
            <w:tcW w:type="dxa" w:w="40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E84C1E"/>
                <w:sz w:val="20"/>
                <w:szCs w:val="20"/>
              </w:rPr>
              <w:t xml:space="preserve">✔</w:t>
            </w:r>
          </w:p>
        </w:tc>
        <w:tc>
          <w:tcPr>
            <w:tcW w:type="dxa" w:w="8960"/>
            <w:tcBorders>
              <w:top w:val="none" w:color="FFFFFF" w:sz="0"/>
              <w:left w:val="none" w:color="FFFFFF" w:sz="0"/>
              <w:bottom w:val="none" w:color="FFFFFF" w:sz="0"/>
              <w:right w:val="none" w:color="FFFFFF" w:sz="0"/>
            </w:tcBorders>
            <w:shd w:fill="FFFFFF" w:val="clear"/>
            <w:tcMar>
              <w:top w:type="dxa" w:w="80"/>
              <w:left w:type="dxa" w:w="80"/>
              <w:bottom w:type="dxa" w:w="80"/>
              <w:right w:type="dxa" w:w="160"/>
            </w:tcMar>
          </w:tcPr>
          <w:p>
            <w:r>
              <w:rPr>
                <w:rFonts w:ascii="Arial" w:cs="Arial" w:eastAsia="Arial" w:hAnsi="Arial"/>
                <w:color w:val="1A1A2E"/>
                <w:sz w:val="21"/>
                <w:szCs w:val="21"/>
              </w:rPr>
              <w:t xml:space="preserve">AI-Driven Reservoir Simulation for KG-D6 — implement physics-informed neural networks (PINNs) to model subsurface fluid dynamics, forecast production decline curves, and optimize infill drilling decisions for R-Cluster and Satellite Cluster.</w:t>
            </w:r>
          </w:p>
        </w:tc>
      </w:tr>
      <w:tr>
        <w:tc>
          <w:tcPr>
            <w:tcW w:type="dxa" w:w="400"/>
            <w:tcBorders>
              <w:top w:val="none" w:color="FFFFFF" w:sz="0"/>
              <w:left w:val="none" w:color="FFFFFF" w:sz="0"/>
              <w:bottom w:val="none" w:color="FFFFFF" w:sz="0"/>
              <w:right w:val="none" w:color="FFFFFF" w:sz="0"/>
            </w:tcBorders>
            <w:shd w:fill="EEF4FB" w:val="clear"/>
            <w:tcMar>
              <w:top w:type="dxa" w:w="80"/>
              <w:left w:type="dxa" w:w="160"/>
              <w:bottom w:type="dxa" w:w="80"/>
              <w:right w:type="dxa" w:w="80"/>
            </w:tcMar>
          </w:tcPr>
          <w:p>
            <w:r>
              <w:rPr>
                <w:rFonts w:ascii="Arial" w:cs="Arial" w:eastAsia="Arial" w:hAnsi="Arial"/>
                <w:b/>
                <w:bCs/>
                <w:color w:val="E84C1E"/>
                <w:sz w:val="20"/>
                <w:szCs w:val="20"/>
              </w:rPr>
              <w:t xml:space="preserve">✔</w:t>
            </w:r>
          </w:p>
        </w:tc>
        <w:tc>
          <w:tcPr>
            <w:tcW w:type="dxa" w:w="8960"/>
            <w:tcBorders>
              <w:top w:val="none" w:color="FFFFFF" w:sz="0"/>
              <w:left w:val="none" w:color="FFFFFF" w:sz="0"/>
              <w:bottom w:val="none" w:color="FFFFFF" w:sz="0"/>
              <w:right w:val="none" w:color="FFFFFF" w:sz="0"/>
            </w:tcBorders>
            <w:shd w:fill="EEF4FB" w:val="clear"/>
            <w:tcMar>
              <w:top w:type="dxa" w:w="80"/>
              <w:left w:type="dxa" w:w="80"/>
              <w:bottom w:type="dxa" w:w="80"/>
              <w:right w:type="dxa" w:w="160"/>
            </w:tcMar>
          </w:tcPr>
          <w:p>
            <w:r>
              <w:rPr>
                <w:rFonts w:ascii="Arial" w:cs="Arial" w:eastAsia="Arial" w:hAnsi="Arial"/>
                <w:color w:val="1A1A2E"/>
                <w:sz w:val="21"/>
                <w:szCs w:val="21"/>
              </w:rPr>
              <w:t xml:space="preserve">Intelligent Drilling Optimization for CBM — integrate real-time drilling parameters (ROP, WOB, RPM), AMG mud gas data, and cuttings lithology into ML models that guide optimal drilling decisions for the multilateral horizontal well programme.</w:t>
            </w:r>
          </w:p>
        </w:tc>
      </w:tr>
      <w:tr>
        <w:tc>
          <w:tcPr>
            <w:tcW w:type="dxa" w:w="40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E84C1E"/>
                <w:sz w:val="20"/>
                <w:szCs w:val="20"/>
              </w:rPr>
              <w:t xml:space="preserve">✔</w:t>
            </w:r>
          </w:p>
        </w:tc>
        <w:tc>
          <w:tcPr>
            <w:tcW w:type="dxa" w:w="8960"/>
            <w:tcBorders>
              <w:top w:val="none" w:color="FFFFFF" w:sz="0"/>
              <w:left w:val="none" w:color="FFFFFF" w:sz="0"/>
              <w:bottom w:val="none" w:color="FFFFFF" w:sz="0"/>
              <w:right w:val="none" w:color="FFFFFF" w:sz="0"/>
            </w:tcBorders>
            <w:shd w:fill="FFFFFF" w:val="clear"/>
            <w:tcMar>
              <w:top w:type="dxa" w:w="80"/>
              <w:left w:type="dxa" w:w="80"/>
              <w:bottom w:type="dxa" w:w="80"/>
              <w:right w:type="dxa" w:w="160"/>
            </w:tcMar>
          </w:tcPr>
          <w:p>
            <w:r>
              <w:rPr>
                <w:rFonts w:ascii="Arial" w:cs="Arial" w:eastAsia="Arial" w:hAnsi="Arial"/>
                <w:color w:val="1A1A2E"/>
                <w:sz w:val="21"/>
                <w:szCs w:val="21"/>
              </w:rPr>
              <w:t xml:space="preserve">Predictive Supply Chain AI — build demand forecasting models integrating macroeconomic signals, seasonal patterns, and downstream market intelligence to optimize product placement across India's 1,700+ Jio-bp fuel outlets and petrochemical customers.</w:t>
            </w:r>
          </w:p>
        </w:tc>
      </w:tr>
      <w:tr>
        <w:tc>
          <w:tcPr>
            <w:tcW w:type="dxa" w:w="400"/>
            <w:tcBorders>
              <w:top w:val="none" w:color="FFFFFF" w:sz="0"/>
              <w:left w:val="none" w:color="FFFFFF" w:sz="0"/>
              <w:bottom w:val="none" w:color="FFFFFF" w:sz="0"/>
              <w:right w:val="none" w:color="FFFFFF" w:sz="0"/>
            </w:tcBorders>
            <w:shd w:fill="EEF4FB" w:val="clear"/>
            <w:tcMar>
              <w:top w:type="dxa" w:w="80"/>
              <w:left w:type="dxa" w:w="160"/>
              <w:bottom w:type="dxa" w:w="80"/>
              <w:right w:type="dxa" w:w="80"/>
            </w:tcMar>
          </w:tcPr>
          <w:p>
            <w:r>
              <w:rPr>
                <w:rFonts w:ascii="Arial" w:cs="Arial" w:eastAsia="Arial" w:hAnsi="Arial"/>
                <w:b/>
                <w:bCs/>
                <w:color w:val="E84C1E"/>
                <w:sz w:val="20"/>
                <w:szCs w:val="20"/>
              </w:rPr>
              <w:t xml:space="preserve">✔</w:t>
            </w:r>
          </w:p>
        </w:tc>
        <w:tc>
          <w:tcPr>
            <w:tcW w:type="dxa" w:w="8960"/>
            <w:tcBorders>
              <w:top w:val="none" w:color="FFFFFF" w:sz="0"/>
              <w:left w:val="none" w:color="FFFFFF" w:sz="0"/>
              <w:bottom w:val="none" w:color="FFFFFF" w:sz="0"/>
              <w:right w:val="none" w:color="FFFFFF" w:sz="0"/>
            </w:tcBorders>
            <w:shd w:fill="EEF4FB" w:val="clear"/>
            <w:tcMar>
              <w:top w:type="dxa" w:w="80"/>
              <w:left w:type="dxa" w:w="80"/>
              <w:bottom w:type="dxa" w:w="80"/>
              <w:right w:type="dxa" w:w="160"/>
            </w:tcMar>
          </w:tcPr>
          <w:p>
            <w:r>
              <w:rPr>
                <w:rFonts w:ascii="Arial" w:cs="Arial" w:eastAsia="Arial" w:hAnsi="Arial"/>
                <w:color w:val="1A1A2E"/>
                <w:sz w:val="21"/>
                <w:szCs w:val="21"/>
              </w:rPr>
              <w:t xml:space="preserve">AI-Powered Energy Optimization across O2C — deploy ML models to reduce refinery energy intensity by 5-8% through intelligent steam management, flare minimization, and compressor scheduling — directly improving ESG metrics.</w:t>
            </w:r>
          </w:p>
        </w:tc>
      </w:tr>
      <w:tr>
        <w:tc>
          <w:tcPr>
            <w:tcW w:type="dxa" w:w="40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E84C1E"/>
                <w:sz w:val="20"/>
                <w:szCs w:val="20"/>
              </w:rPr>
              <w:t xml:space="preserve">✔</w:t>
            </w:r>
          </w:p>
        </w:tc>
        <w:tc>
          <w:tcPr>
            <w:tcW w:type="dxa" w:w="8960"/>
            <w:tcBorders>
              <w:top w:val="none" w:color="FFFFFF" w:sz="0"/>
              <w:left w:val="none" w:color="FFFFFF" w:sz="0"/>
              <w:bottom w:val="none" w:color="FFFFFF" w:sz="0"/>
              <w:right w:val="none" w:color="FFFFFF" w:sz="0"/>
            </w:tcBorders>
            <w:shd w:fill="FFFFFF" w:val="clear"/>
            <w:tcMar>
              <w:top w:type="dxa" w:w="80"/>
              <w:left w:type="dxa" w:w="80"/>
              <w:bottom w:type="dxa" w:w="80"/>
              <w:right w:type="dxa" w:w="160"/>
            </w:tcMar>
          </w:tcPr>
          <w:p>
            <w:r>
              <w:rPr>
                <w:rFonts w:ascii="Arial" w:cs="Arial" w:eastAsia="Arial" w:hAnsi="Arial"/>
                <w:color w:val="1A1A2E"/>
                <w:sz w:val="21"/>
                <w:szCs w:val="21"/>
              </w:rPr>
              <w:t xml:space="preserve">Launch an AI-Assisted Trading Intelligence Platform — integrate global crude price models, geopolitical risk signals (shipping data, sanctions tracker, freight indices) to support crude procurement decisions and condensate auction strategies.</w:t>
            </w:r>
          </w:p>
        </w:tc>
      </w:tr>
      <w:tr>
        <w:tc>
          <w:tcPr>
            <w:tcW w:type="dxa" w:w="400"/>
            <w:tcBorders>
              <w:top w:val="none" w:color="FFFFFF" w:sz="0"/>
              <w:left w:val="none" w:color="FFFFFF" w:sz="0"/>
              <w:bottom w:val="none" w:color="FFFFFF" w:sz="0"/>
              <w:right w:val="none" w:color="FFFFFF" w:sz="0"/>
            </w:tcBorders>
            <w:shd w:fill="EEF4FB" w:val="clear"/>
            <w:tcMar>
              <w:top w:type="dxa" w:w="80"/>
              <w:left w:type="dxa" w:w="160"/>
              <w:bottom w:type="dxa" w:w="80"/>
              <w:right w:type="dxa" w:w="80"/>
            </w:tcMar>
          </w:tcPr>
          <w:p>
            <w:r>
              <w:rPr>
                <w:rFonts w:ascii="Arial" w:cs="Arial" w:eastAsia="Arial" w:hAnsi="Arial"/>
                <w:b/>
                <w:bCs/>
                <w:color w:val="E84C1E"/>
                <w:sz w:val="20"/>
                <w:szCs w:val="20"/>
              </w:rPr>
              <w:t xml:space="preserve">✔</w:t>
            </w:r>
          </w:p>
        </w:tc>
        <w:tc>
          <w:tcPr>
            <w:tcW w:type="dxa" w:w="8960"/>
            <w:tcBorders>
              <w:top w:val="none" w:color="FFFFFF" w:sz="0"/>
              <w:left w:val="none" w:color="FFFFFF" w:sz="0"/>
              <w:bottom w:val="none" w:color="FFFFFF" w:sz="0"/>
              <w:right w:val="none" w:color="FFFFFF" w:sz="0"/>
            </w:tcBorders>
            <w:shd w:fill="EEF4FB" w:val="clear"/>
            <w:tcMar>
              <w:top w:type="dxa" w:w="80"/>
              <w:left w:type="dxa" w:w="80"/>
              <w:bottom w:type="dxa" w:w="80"/>
              <w:right w:type="dxa" w:w="160"/>
            </w:tcMar>
          </w:tcPr>
          <w:p>
            <w:r>
              <w:rPr>
                <w:rFonts w:ascii="Arial" w:cs="Arial" w:eastAsia="Arial" w:hAnsi="Arial"/>
                <w:color w:val="1A1A2E"/>
                <w:sz w:val="21"/>
                <w:szCs w:val="21"/>
              </w:rPr>
              <w:t xml:space="preserve">Deploy Generative AI (based on RIL's IIT-Bombay LLM partnership) for engineering knowledge management — a proprietary GenAI assistant for RIL's 10,000+ engineers to access maintenance manuals, process documentation, and incident reports via natural language queries.</w:t>
            </w:r>
          </w:p>
        </w:tc>
      </w:tr>
      <w:tr>
        <w:tc>
          <w:tcPr>
            <w:tcW w:type="dxa" w:w="40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E84C1E"/>
                <w:sz w:val="20"/>
                <w:szCs w:val="20"/>
              </w:rPr>
              <w:t xml:space="preserve">✔</w:t>
            </w:r>
          </w:p>
        </w:tc>
        <w:tc>
          <w:tcPr>
            <w:tcW w:type="dxa" w:w="8960"/>
            <w:tcBorders>
              <w:top w:val="none" w:color="FFFFFF" w:sz="0"/>
              <w:left w:val="none" w:color="FFFFFF" w:sz="0"/>
              <w:bottom w:val="none" w:color="FFFFFF" w:sz="0"/>
              <w:right w:val="none" w:color="FFFFFF" w:sz="0"/>
            </w:tcBorders>
            <w:shd w:fill="FFFFFF" w:val="clear"/>
            <w:tcMar>
              <w:top w:type="dxa" w:w="80"/>
              <w:left w:type="dxa" w:w="80"/>
              <w:bottom w:type="dxa" w:w="80"/>
              <w:right w:type="dxa" w:w="160"/>
            </w:tcMar>
          </w:tcPr>
          <w:p>
            <w:r>
              <w:rPr>
                <w:rFonts w:ascii="Arial" w:cs="Arial" w:eastAsia="Arial" w:hAnsi="Arial"/>
                <w:color w:val="1A1A2E"/>
                <w:sz w:val="21"/>
                <w:szCs w:val="21"/>
              </w:rPr>
              <w:t xml:space="preserve">Implement AI-powered safety incident prediction — train anomaly detection models on 20+ years of operational safety data to predict process deviations, near-misses, and equipment failures before they become incidents.</w:t>
            </w:r>
          </w:p>
        </w:tc>
      </w:tr>
    </w:tbl>
    <w:p>
      <w:pPr>
        <w:spacing w:before="300"/>
      </w:pPr>
    </w:p>
    <w:p>
      <w:pPr>
        <w:pStyle w:val="Heading2"/>
        <w:spacing w:after="160" w:before="360"/>
      </w:pPr>
      <w:r>
        <w:rPr>
          <w:rFonts w:ascii="Arial" w:cs="Arial" w:eastAsia="Arial" w:hAnsi="Arial"/>
          <w:b/>
          <w:bCs/>
          <w:color w:val="2E86AB"/>
          <w:sz w:val="28"/>
          <w:szCs w:val="28"/>
        </w:rPr>
        <w:t xml:space="preserve">3.3  Phase 3 — Autonomous Operations &amp; AI Monetization (Months 25–36)</w:t>
      </w:r>
    </w:p>
    <w:p>
      <w:pPr>
        <w:spacing w:after="80" w:before="80" w:line="340"/>
      </w:pPr>
      <w:r>
        <w:rPr>
          <w:rFonts w:ascii="Arial" w:cs="Arial" w:eastAsia="Arial" w:hAnsi="Arial"/>
          <w:color w:val="1A1A2E"/>
          <w:sz w:val="22"/>
          <w:szCs w:val="22"/>
        </w:rPr>
        <w:t xml:space="preserve">Phase 3 represents the culmination of RIL's AI transformation — moving toward autonomous operations, externalizing AI capabilities as enterprise services, and establishing RIL as India's foremost AI-driven energy company.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r>
              <w:rPr>
                <w:rFonts w:ascii="Arial" w:cs="Arial" w:eastAsia="Arial" w:hAnsi="Arial"/>
                <w:b/>
                <w:bCs/>
                <w:color w:val="FFFFFF"/>
                <w:sz w:val="22"/>
                <w:szCs w:val="22"/>
              </w:rPr>
              <w:t xml:space="preserve">PHASE 3  |  </w:t>
            </w:r>
            <w:r>
              <w:rPr>
                <w:rFonts w:ascii="Arial" w:cs="Arial" w:eastAsia="Arial" w:hAnsi="Arial"/>
                <w:b/>
                <w:bCs/>
                <w:color w:val="FFFFFF"/>
                <w:sz w:val="26"/>
                <w:szCs w:val="26"/>
              </w:rPr>
              <w:t xml:space="preserve">Autonomous Operations &amp; Monetization</w:t>
            </w:r>
          </w:p>
          <w:p>
            <w:pPr>
              <w:spacing w:before="40"/>
            </w:pPr>
            <w:r>
              <w:rPr>
                <w:rFonts w:ascii="Arial" w:cs="Arial" w:eastAsia="Arial" w:hAnsi="Arial"/>
                <w:i/>
                <w:iCs/>
                <w:color w:val="DDDDDD"/>
                <w:sz w:val="20"/>
                <w:szCs w:val="20"/>
              </w:rPr>
              <w:t xml:space="preserve">Duration: 12 Months | Est. Investment: ₹2,000–3,000 Crore</w:t>
            </w:r>
          </w:p>
        </w:tc>
      </w:tr>
      <w:tr>
        <w:tc>
          <w:tcPr>
            <w:tcW w:type="dxa" w:w="400"/>
            <w:tcBorders>
              <w:top w:val="none" w:color="FFFFFF" w:sz="0"/>
              <w:left w:val="none" w:color="FFFFFF" w:sz="0"/>
              <w:bottom w:val="none" w:color="FFFFFF" w:sz="0"/>
              <w:right w:val="none" w:color="FFFFFF" w:sz="0"/>
            </w:tcBorders>
            <w:shd w:fill="EEF4FB" w:val="clear"/>
            <w:tcMar>
              <w:top w:type="dxa" w:w="80"/>
              <w:left w:type="dxa" w:w="160"/>
              <w:bottom w:type="dxa" w:w="80"/>
              <w:right w:type="dxa" w:w="80"/>
            </w:tcMar>
          </w:tcPr>
          <w:p>
            <w:r>
              <w:rPr>
                <w:rFonts w:ascii="Arial" w:cs="Arial" w:eastAsia="Arial" w:hAnsi="Arial"/>
                <w:b/>
                <w:bCs/>
                <w:color w:val="1B3A6B"/>
                <w:sz w:val="20"/>
                <w:szCs w:val="20"/>
              </w:rPr>
              <w:t xml:space="preserve">✔</w:t>
            </w:r>
          </w:p>
        </w:tc>
        <w:tc>
          <w:tcPr>
            <w:tcW w:type="dxa" w:w="8960"/>
            <w:tcBorders>
              <w:top w:val="none" w:color="FFFFFF" w:sz="0"/>
              <w:left w:val="none" w:color="FFFFFF" w:sz="0"/>
              <w:bottom w:val="none" w:color="FFFFFF" w:sz="0"/>
              <w:right w:val="none" w:color="FFFFFF" w:sz="0"/>
            </w:tcBorders>
            <w:shd w:fill="EEF4FB" w:val="clear"/>
            <w:tcMar>
              <w:top w:type="dxa" w:w="80"/>
              <w:left w:type="dxa" w:w="80"/>
              <w:bottom w:type="dxa" w:w="80"/>
              <w:right w:type="dxa" w:w="160"/>
            </w:tcMar>
          </w:tcPr>
          <w:p>
            <w:r>
              <w:rPr>
                <w:rFonts w:ascii="Arial" w:cs="Arial" w:eastAsia="Arial" w:hAnsi="Arial"/>
                <w:color w:val="1A1A2E"/>
                <w:sz w:val="21"/>
                <w:szCs w:val="21"/>
              </w:rPr>
              <w:t xml:space="preserve">Launch Autonomous Process Control in select refinery units — AI systems independently monitor, predict, and optimize refinery operations with minimal human intervention, modelled after industry leaders achieving 50% EBIT improvement through AI autonomy.</w:t>
            </w:r>
          </w:p>
        </w:tc>
      </w:tr>
      <w:tr>
        <w:tc>
          <w:tcPr>
            <w:tcW w:type="dxa" w:w="40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B3A6B"/>
                <w:sz w:val="20"/>
                <w:szCs w:val="20"/>
              </w:rPr>
              <w:t xml:space="preserve">✔</w:t>
            </w:r>
          </w:p>
        </w:tc>
        <w:tc>
          <w:tcPr>
            <w:tcW w:type="dxa" w:w="8960"/>
            <w:tcBorders>
              <w:top w:val="none" w:color="FFFFFF" w:sz="0"/>
              <w:left w:val="none" w:color="FFFFFF" w:sz="0"/>
              <w:bottom w:val="none" w:color="FFFFFF" w:sz="0"/>
              <w:right w:val="none" w:color="FFFFFF" w:sz="0"/>
            </w:tcBorders>
            <w:shd w:fill="FFFFFF" w:val="clear"/>
            <w:tcMar>
              <w:top w:type="dxa" w:w="80"/>
              <w:left w:type="dxa" w:w="80"/>
              <w:bottom w:type="dxa" w:w="80"/>
              <w:right w:type="dxa" w:w="160"/>
            </w:tcMar>
          </w:tcPr>
          <w:p>
            <w:r>
              <w:rPr>
                <w:rFonts w:ascii="Arial" w:cs="Arial" w:eastAsia="Arial" w:hAnsi="Arial"/>
                <w:color w:val="1A1A2E"/>
                <w:sz w:val="21"/>
                <w:szCs w:val="21"/>
              </w:rPr>
              <w:t xml:space="preserve">Full Digital Twin Ecosystem — extend Jamnagar Digital Twin to KG-D6 deepwater infrastructure, CBM fields, and Shahdol-Phulpur pipeline, creating a holistic virtual-physical operational mirror.</w:t>
            </w:r>
          </w:p>
        </w:tc>
      </w:tr>
      <w:tr>
        <w:tc>
          <w:tcPr>
            <w:tcW w:type="dxa" w:w="400"/>
            <w:tcBorders>
              <w:top w:val="none" w:color="FFFFFF" w:sz="0"/>
              <w:left w:val="none" w:color="FFFFFF" w:sz="0"/>
              <w:bottom w:val="none" w:color="FFFFFF" w:sz="0"/>
              <w:right w:val="none" w:color="FFFFFF" w:sz="0"/>
            </w:tcBorders>
            <w:shd w:fill="EEF4FB" w:val="clear"/>
            <w:tcMar>
              <w:top w:type="dxa" w:w="80"/>
              <w:left w:type="dxa" w:w="160"/>
              <w:bottom w:type="dxa" w:w="80"/>
              <w:right w:type="dxa" w:w="80"/>
            </w:tcMar>
          </w:tcPr>
          <w:p>
            <w:r>
              <w:rPr>
                <w:rFonts w:ascii="Arial" w:cs="Arial" w:eastAsia="Arial" w:hAnsi="Arial"/>
                <w:b/>
                <w:bCs/>
                <w:color w:val="1B3A6B"/>
                <w:sz w:val="20"/>
                <w:szCs w:val="20"/>
              </w:rPr>
              <w:t xml:space="preserve">✔</w:t>
            </w:r>
          </w:p>
        </w:tc>
        <w:tc>
          <w:tcPr>
            <w:tcW w:type="dxa" w:w="8960"/>
            <w:tcBorders>
              <w:top w:val="none" w:color="FFFFFF" w:sz="0"/>
              <w:left w:val="none" w:color="FFFFFF" w:sz="0"/>
              <w:bottom w:val="none" w:color="FFFFFF" w:sz="0"/>
              <w:right w:val="none" w:color="FFFFFF" w:sz="0"/>
            </w:tcBorders>
            <w:shd w:fill="EEF4FB" w:val="clear"/>
            <w:tcMar>
              <w:top w:type="dxa" w:w="80"/>
              <w:left w:type="dxa" w:w="80"/>
              <w:bottom w:type="dxa" w:w="80"/>
              <w:right w:type="dxa" w:w="160"/>
            </w:tcMar>
          </w:tcPr>
          <w:p>
            <w:r>
              <w:rPr>
                <w:rFonts w:ascii="Arial" w:cs="Arial" w:eastAsia="Arial" w:hAnsi="Arial"/>
                <w:color w:val="1A1A2E"/>
                <w:sz w:val="21"/>
                <w:szCs w:val="21"/>
              </w:rPr>
              <w:t xml:space="preserve">Deploy Edge AI at Offshore Platforms — install NVIDIA-powered edge computing at KG-D6 rigs and subsea manifolds, enabling real-time AI inference without latency of onshore data transmission.</w:t>
            </w:r>
          </w:p>
        </w:tc>
      </w:tr>
      <w:tr>
        <w:tc>
          <w:tcPr>
            <w:tcW w:type="dxa" w:w="40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B3A6B"/>
                <w:sz w:val="20"/>
                <w:szCs w:val="20"/>
              </w:rPr>
              <w:t xml:space="preserve">✔</w:t>
            </w:r>
          </w:p>
        </w:tc>
        <w:tc>
          <w:tcPr>
            <w:tcW w:type="dxa" w:w="8960"/>
            <w:tcBorders>
              <w:top w:val="none" w:color="FFFFFF" w:sz="0"/>
              <w:left w:val="none" w:color="FFFFFF" w:sz="0"/>
              <w:bottom w:val="none" w:color="FFFFFF" w:sz="0"/>
              <w:right w:val="none" w:color="FFFFFF" w:sz="0"/>
            </w:tcBorders>
            <w:shd w:fill="FFFFFF" w:val="clear"/>
            <w:tcMar>
              <w:top w:type="dxa" w:w="80"/>
              <w:left w:type="dxa" w:w="80"/>
              <w:bottom w:type="dxa" w:w="80"/>
              <w:right w:type="dxa" w:w="160"/>
            </w:tcMar>
          </w:tcPr>
          <w:p>
            <w:r>
              <w:rPr>
                <w:rFonts w:ascii="Arial" w:cs="Arial" w:eastAsia="Arial" w:hAnsi="Arial"/>
                <w:color w:val="1A1A2E"/>
                <w:sz w:val="21"/>
                <w:szCs w:val="21"/>
              </w:rPr>
              <w:t xml:space="preserve">AI-Driven Carbon Management Platform — deploy ML models to track, predict, and optimize Scope 1 and Scope 2 emissions across all operations, supporting RIL's net-zero commitments and future carbon credit monetization.</w:t>
            </w:r>
          </w:p>
        </w:tc>
      </w:tr>
      <w:tr>
        <w:tc>
          <w:tcPr>
            <w:tcW w:type="dxa" w:w="400"/>
            <w:tcBorders>
              <w:top w:val="none" w:color="FFFFFF" w:sz="0"/>
              <w:left w:val="none" w:color="FFFFFF" w:sz="0"/>
              <w:bottom w:val="none" w:color="FFFFFF" w:sz="0"/>
              <w:right w:val="none" w:color="FFFFFF" w:sz="0"/>
            </w:tcBorders>
            <w:shd w:fill="EEF4FB" w:val="clear"/>
            <w:tcMar>
              <w:top w:type="dxa" w:w="80"/>
              <w:left w:type="dxa" w:w="160"/>
              <w:bottom w:type="dxa" w:w="80"/>
              <w:right w:type="dxa" w:w="80"/>
            </w:tcMar>
          </w:tcPr>
          <w:p>
            <w:r>
              <w:rPr>
                <w:rFonts w:ascii="Arial" w:cs="Arial" w:eastAsia="Arial" w:hAnsi="Arial"/>
                <w:b/>
                <w:bCs/>
                <w:color w:val="1B3A6B"/>
                <w:sz w:val="20"/>
                <w:szCs w:val="20"/>
              </w:rPr>
              <w:t xml:space="preserve">✔</w:t>
            </w:r>
          </w:p>
        </w:tc>
        <w:tc>
          <w:tcPr>
            <w:tcW w:type="dxa" w:w="8960"/>
            <w:tcBorders>
              <w:top w:val="none" w:color="FFFFFF" w:sz="0"/>
              <w:left w:val="none" w:color="FFFFFF" w:sz="0"/>
              <w:bottom w:val="none" w:color="FFFFFF" w:sz="0"/>
              <w:right w:val="none" w:color="FFFFFF" w:sz="0"/>
            </w:tcBorders>
            <w:shd w:fill="EEF4FB" w:val="clear"/>
            <w:tcMar>
              <w:top w:type="dxa" w:w="80"/>
              <w:left w:type="dxa" w:w="80"/>
              <w:bottom w:type="dxa" w:w="80"/>
              <w:right w:type="dxa" w:w="160"/>
            </w:tcMar>
          </w:tcPr>
          <w:p>
            <w:r>
              <w:rPr>
                <w:rFonts w:ascii="Arial" w:cs="Arial" w:eastAsia="Arial" w:hAnsi="Arial"/>
                <w:color w:val="1A1A2E"/>
                <w:sz w:val="21"/>
                <w:szCs w:val="21"/>
              </w:rPr>
              <w:t xml:space="preserve">Launch Jio Brain for Energy Enterprises — offer RIL's internally perfected AI platform as a SaaS product to India's other oil and gas players (ONGC, IOCL, BPCL, city gas distributors), creating a new B2B revenue stream from energy AI.</w:t>
            </w:r>
          </w:p>
        </w:tc>
      </w:tr>
      <w:tr>
        <w:tc>
          <w:tcPr>
            <w:tcW w:type="dxa" w:w="40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B3A6B"/>
                <w:sz w:val="20"/>
                <w:szCs w:val="20"/>
              </w:rPr>
              <w:t xml:space="preserve">✔</w:t>
            </w:r>
          </w:p>
        </w:tc>
        <w:tc>
          <w:tcPr>
            <w:tcW w:type="dxa" w:w="8960"/>
            <w:tcBorders>
              <w:top w:val="none" w:color="FFFFFF" w:sz="0"/>
              <w:left w:val="none" w:color="FFFFFF" w:sz="0"/>
              <w:bottom w:val="none" w:color="FFFFFF" w:sz="0"/>
              <w:right w:val="none" w:color="FFFFFF" w:sz="0"/>
            </w:tcBorders>
            <w:shd w:fill="FFFFFF" w:val="clear"/>
            <w:tcMar>
              <w:top w:type="dxa" w:w="80"/>
              <w:left w:type="dxa" w:w="80"/>
              <w:bottom w:type="dxa" w:w="80"/>
              <w:right w:type="dxa" w:w="160"/>
            </w:tcMar>
          </w:tcPr>
          <w:p>
            <w:r>
              <w:rPr>
                <w:rFonts w:ascii="Arial" w:cs="Arial" w:eastAsia="Arial" w:hAnsi="Arial"/>
                <w:color w:val="1A1A2E"/>
                <w:sz w:val="21"/>
                <w:szCs w:val="21"/>
              </w:rPr>
              <w:t xml:space="preserve">AI-Powered Bioenergy Operations — apply ML to the 55+ CBG plant network (Reliance Bio Energy) for feedstock optimization, microbial fermentation control, and organic manure quality prediction.</w:t>
            </w:r>
          </w:p>
        </w:tc>
      </w:tr>
      <w:tr>
        <w:tc>
          <w:tcPr>
            <w:tcW w:type="dxa" w:w="400"/>
            <w:tcBorders>
              <w:top w:val="none" w:color="FFFFFF" w:sz="0"/>
              <w:left w:val="none" w:color="FFFFFF" w:sz="0"/>
              <w:bottom w:val="none" w:color="FFFFFF" w:sz="0"/>
              <w:right w:val="none" w:color="FFFFFF" w:sz="0"/>
            </w:tcBorders>
            <w:shd w:fill="EEF4FB" w:val="clear"/>
            <w:tcMar>
              <w:top w:type="dxa" w:w="80"/>
              <w:left w:type="dxa" w:w="160"/>
              <w:bottom w:type="dxa" w:w="80"/>
              <w:right w:type="dxa" w:w="80"/>
            </w:tcMar>
          </w:tcPr>
          <w:p>
            <w:r>
              <w:rPr>
                <w:rFonts w:ascii="Arial" w:cs="Arial" w:eastAsia="Arial" w:hAnsi="Arial"/>
                <w:b/>
                <w:bCs/>
                <w:color w:val="1B3A6B"/>
                <w:sz w:val="20"/>
                <w:szCs w:val="20"/>
              </w:rPr>
              <w:t xml:space="preserve">✔</w:t>
            </w:r>
          </w:p>
        </w:tc>
        <w:tc>
          <w:tcPr>
            <w:tcW w:type="dxa" w:w="8960"/>
            <w:tcBorders>
              <w:top w:val="none" w:color="FFFFFF" w:sz="0"/>
              <w:left w:val="none" w:color="FFFFFF" w:sz="0"/>
              <w:bottom w:val="none" w:color="FFFFFF" w:sz="0"/>
              <w:right w:val="none" w:color="FFFFFF" w:sz="0"/>
            </w:tcBorders>
            <w:shd w:fill="EEF4FB" w:val="clear"/>
            <w:tcMar>
              <w:top w:type="dxa" w:w="80"/>
              <w:left w:type="dxa" w:w="80"/>
              <w:bottom w:type="dxa" w:w="80"/>
              <w:right w:type="dxa" w:w="160"/>
            </w:tcMar>
          </w:tcPr>
          <w:p>
            <w:r>
              <w:rPr>
                <w:rFonts w:ascii="Arial" w:cs="Arial" w:eastAsia="Arial" w:hAnsi="Arial"/>
                <w:color w:val="1A1A2E"/>
                <w:sz w:val="21"/>
                <w:szCs w:val="21"/>
              </w:rPr>
              <w:t xml:space="preserve">Predictive Logistics &amp; Fleet Intelligence — deploy AI for Jio-bp's fuel logistics fleet, optimizing delivery scheduling, route planning, and predictive maintenance of tanker trucks.</w:t>
            </w:r>
          </w:p>
        </w:tc>
      </w:tr>
      <w:tr>
        <w:tc>
          <w:tcPr>
            <w:tcW w:type="dxa" w:w="40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B3A6B"/>
                <w:sz w:val="20"/>
                <w:szCs w:val="20"/>
              </w:rPr>
              <w:t xml:space="preserve">✔</w:t>
            </w:r>
          </w:p>
        </w:tc>
        <w:tc>
          <w:tcPr>
            <w:tcW w:type="dxa" w:w="8960"/>
            <w:tcBorders>
              <w:top w:val="none" w:color="FFFFFF" w:sz="0"/>
              <w:left w:val="none" w:color="FFFFFF" w:sz="0"/>
              <w:bottom w:val="none" w:color="FFFFFF" w:sz="0"/>
              <w:right w:val="none" w:color="FFFFFF" w:sz="0"/>
            </w:tcBorders>
            <w:shd w:fill="FFFFFF" w:val="clear"/>
            <w:tcMar>
              <w:top w:type="dxa" w:w="80"/>
              <w:left w:type="dxa" w:w="80"/>
              <w:bottom w:type="dxa" w:w="80"/>
              <w:right w:type="dxa" w:w="160"/>
            </w:tcMar>
          </w:tcPr>
          <w:p>
            <w:r>
              <w:rPr>
                <w:rFonts w:ascii="Arial" w:cs="Arial" w:eastAsia="Arial" w:hAnsi="Arial"/>
                <w:color w:val="1A1A2E"/>
                <w:sz w:val="21"/>
                <w:szCs w:val="21"/>
              </w:rPr>
              <w:t xml:space="preserve">Develop a Proprietary Energy Foundation Model — a large multimodal AI model trained on RIL's operational data (reservoir logs, refinery process data, seismic surveys) to serve as the intelligence backbone for all energy AI applications.</w:t>
            </w:r>
          </w:p>
        </w:tc>
      </w:tr>
    </w:tbl>
    <w:p>
      <w:pPr>
        <w:spacing w:before="300"/>
      </w:pPr>
    </w:p>
    <w:p>
      <w:pPr>
        <w:pStyle w:val="Heading2"/>
        <w:spacing w:after="160" w:before="360"/>
      </w:pPr>
      <w:r>
        <w:rPr>
          <w:rFonts w:ascii="Arial" w:cs="Arial" w:eastAsia="Arial" w:hAnsi="Arial"/>
          <w:b/>
          <w:bCs/>
          <w:color w:val="2E86AB"/>
          <w:sz w:val="28"/>
          <w:szCs w:val="28"/>
        </w:rPr>
        <w:t xml:space="preserve">3.4  Technology Stack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r>
              <w:rPr>
                <w:rFonts w:ascii="Arial" w:cs="Arial" w:eastAsia="Arial" w:hAnsi="Arial"/>
                <w:b/>
                <w:bCs/>
                <w:color w:val="FFFFFF"/>
                <w:sz w:val="21"/>
                <w:szCs w:val="21"/>
              </w:rPr>
              <w:t xml:space="preserve">Technology Layer</w:t>
            </w:r>
          </w:p>
        </w:tc>
        <w:tc>
          <w:tcPr>
            <w:tcW w:type="dxa" w:w="3780"/>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r>
              <w:rPr>
                <w:rFonts w:ascii="Arial" w:cs="Arial" w:eastAsia="Arial" w:hAnsi="Arial"/>
                <w:b/>
                <w:bCs/>
                <w:color w:val="FFFFFF"/>
                <w:sz w:val="21"/>
                <w:szCs w:val="21"/>
              </w:rPr>
              <w:t xml:space="preserve">Recommended Stack</w:t>
            </w:r>
          </w:p>
        </w:tc>
        <w:tc>
          <w:tcPr>
            <w:tcW w:type="dxa" w:w="3380"/>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r>
              <w:rPr>
                <w:rFonts w:ascii="Arial" w:cs="Arial" w:eastAsia="Arial" w:hAnsi="Arial"/>
                <w:b/>
                <w:bCs/>
                <w:color w:val="FFFFFF"/>
                <w:sz w:val="21"/>
                <w:szCs w:val="21"/>
              </w:rPr>
              <w:t xml:space="preserve">Application Domain</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AI/ML Platform</w:t>
            </w:r>
          </w:p>
        </w:tc>
        <w:tc>
          <w:tcPr>
            <w:tcW w:type="dxa" w:w="37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Jio Brain (proprietary) + NVIDIA AI Enterprise</w:t>
            </w:r>
          </w:p>
        </w:tc>
        <w:tc>
          <w:tcPr>
            <w:tcW w:type="dxa" w:w="33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Core AI lifecycle management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Compute Infrastructure</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Jamnagar 1GW Data Centre (NVIDIA Blackwell GPUs)</w:t>
            </w:r>
          </w:p>
        </w:tc>
        <w:tc>
          <w:tcPr>
            <w:tcW w:type="dxa" w:w="3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Training &amp; inference at scale</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Data Platform</w:t>
            </w:r>
          </w:p>
        </w:tc>
        <w:tc>
          <w:tcPr>
            <w:tcW w:type="dxa" w:w="37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Cloudera Hydrocarbons Data Lake (expanded)</w:t>
            </w:r>
          </w:p>
        </w:tc>
        <w:tc>
          <w:tcPr>
            <w:tcW w:type="dxa" w:w="33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Real-time data for all AI models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Digital Twin</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NVIDIA Omniverse / Siemens Xcelerator</w:t>
            </w:r>
          </w:p>
        </w:tc>
        <w:tc>
          <w:tcPr>
            <w:tcW w:type="dxa" w:w="3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Refinery &amp; field simulation</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Edge Computing</w:t>
            </w:r>
          </w:p>
        </w:tc>
        <w:tc>
          <w:tcPr>
            <w:tcW w:type="dxa" w:w="37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NVIDIA Jetson / AWS Outposts (5G-integrated)</w:t>
            </w:r>
          </w:p>
        </w:tc>
        <w:tc>
          <w:tcPr>
            <w:tcW w:type="dxa" w:w="33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Offshore &amp; remote operations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Reservoir AI</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Physics-Informed Neural Networks (PINNs)</w:t>
            </w:r>
          </w:p>
        </w:tc>
        <w:tc>
          <w:tcPr>
            <w:tcW w:type="dxa" w:w="3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Subsurface modelling</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Seismic AI</w:t>
            </w:r>
          </w:p>
        </w:tc>
        <w:tc>
          <w:tcPr>
            <w:tcW w:type="dxa" w:w="37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Deep Learning (CNN-based) Interpretation Tools</w:t>
            </w:r>
          </w:p>
        </w:tc>
        <w:tc>
          <w:tcPr>
            <w:tcW w:type="dxa" w:w="33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Exploration optimization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GenAI / LLM</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RIL's proprietary LLM (IIT-Bombay JV)</w:t>
            </w:r>
          </w:p>
        </w:tc>
        <w:tc>
          <w:tcPr>
            <w:tcW w:type="dxa" w:w="3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Engineering knowledge &amp; compliance</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IoT Integration</w:t>
            </w:r>
          </w:p>
        </w:tc>
        <w:tc>
          <w:tcPr>
            <w:tcW w:type="dxa" w:w="37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Jio 5G Private Networks + SCADA integration</w:t>
            </w:r>
          </w:p>
        </w:tc>
        <w:tc>
          <w:tcPr>
            <w:tcW w:type="dxa" w:w="33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Real-time sensor data ingestion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Safety AI</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Computer Vision (NVIDIA Metropolis framework)</w:t>
            </w:r>
          </w:p>
        </w:tc>
        <w:tc>
          <w:tcPr>
            <w:tcW w:type="dxa" w:w="3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Drone inspection &amp; hazard detection</w:t>
            </w:r>
          </w:p>
        </w:tc>
      </w:tr>
    </w:tbl>
    <w:p>
      <w:pPr>
        <w:spacing w:before="3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SECTION 04 — IMPACT ANALYSIS &amp; BUSINESS CASE</w:t>
            </w:r>
          </w:p>
        </w:tc>
      </w:tr>
    </w:tbl>
    <w:p>
      <w:pPr>
        <w:spacing w:before="200"/>
      </w:pPr>
    </w:p>
    <w:p>
      <w:pPr>
        <w:pStyle w:val="Heading1"/>
        <w:pBdr>
          <w:bottom w:val="single" w:color="E84C1E" w:sz="4" w:space="6"/>
        </w:pBdr>
        <w:spacing w:after="200" w:before="480"/>
      </w:pPr>
      <w:r>
        <w:rPr>
          <w:rFonts w:ascii="Arial" w:cs="Arial" w:eastAsia="Arial" w:hAnsi="Arial"/>
          <w:b/>
          <w:bCs/>
          <w:color w:val="1B3A6B"/>
          <w:sz w:val="36"/>
          <w:szCs w:val="36"/>
        </w:rPr>
        <w:t xml:space="preserve">Projected Impact: The Business Case for AI Transformation</w:t>
      </w:r>
    </w:p>
    <w:p>
      <w:pPr>
        <w:spacing w:after="80" w:before="80" w:line="340"/>
      </w:pPr>
      <w:r>
        <w:rPr>
          <w:rFonts w:ascii="Arial" w:cs="Arial" w:eastAsia="Arial" w:hAnsi="Arial"/>
          <w:color w:val="1A1A2E"/>
          <w:sz w:val="22"/>
          <w:szCs w:val="22"/>
        </w:rPr>
        <w:t xml:space="preserve">The global evidence is unambiguous: AI delivers transformational value in oil and gas. Saudi Aramco generated $4 billion in AI-driven technology gains in 2024 alone. ExxonMobil increased shale well output by more than 5% using AI. Shell's predictive maintenance AI has reduced unplanned downtime across its refinery network. For RIL — with its unique scale, integrated data infrastructure, and Jio's 5G backbone — the opportunity is even greater.</w:t>
      </w:r>
    </w:p>
    <w:p>
      <w:pPr>
        <w:spacing w:before="100"/>
      </w:pPr>
    </w:p>
    <w:p>
      <w:pPr>
        <w:pStyle w:val="Heading2"/>
        <w:spacing w:after="160" w:before="360"/>
      </w:pPr>
      <w:r>
        <w:rPr>
          <w:rFonts w:ascii="Arial" w:cs="Arial" w:eastAsia="Arial" w:hAnsi="Arial"/>
          <w:b/>
          <w:bCs/>
          <w:color w:val="2E86AB"/>
          <w:sz w:val="28"/>
          <w:szCs w:val="28"/>
        </w:rPr>
        <w:t xml:space="preserve">4.1  Quantified Value Creation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c>
          <w:tcPr>
            <w:tcW w:type="dxa" w:w="2500"/>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r>
              <w:rPr>
                <w:rFonts w:ascii="Arial" w:cs="Arial" w:eastAsia="Arial" w:hAnsi="Arial"/>
                <w:b/>
                <w:bCs/>
                <w:color w:val="FFFFFF"/>
                <w:sz w:val="21"/>
                <w:szCs w:val="21"/>
              </w:rPr>
              <w:t xml:space="preserve">Impact Area</w:t>
            </w:r>
          </w:p>
        </w:tc>
        <w:tc>
          <w:tcPr>
            <w:tcW w:type="dxa" w:w="3800"/>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r>
              <w:rPr>
                <w:rFonts w:ascii="Arial" w:cs="Arial" w:eastAsia="Arial" w:hAnsi="Arial"/>
                <w:b/>
                <w:bCs/>
                <w:color w:val="FFFFFF"/>
                <w:sz w:val="21"/>
                <w:szCs w:val="21"/>
              </w:rPr>
              <w:t xml:space="preserve">Mechanism</w:t>
            </w:r>
          </w:p>
        </w:tc>
        <w:tc>
          <w:tcPr>
            <w:tcW w:type="dxa" w:w="3060"/>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r>
              <w:rPr>
                <w:rFonts w:ascii="Arial" w:cs="Arial" w:eastAsia="Arial" w:hAnsi="Arial"/>
                <w:b/>
                <w:bCs/>
                <w:color w:val="FFFFFF"/>
                <w:sz w:val="21"/>
                <w:szCs w:val="21"/>
              </w:rPr>
              <w:t xml:space="preserve">Estimated Annual Value</w:t>
            </w:r>
          </w:p>
        </w:tc>
      </w:tr>
      <w:tr>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Refinery Margin Improvement</w:t>
            </w:r>
          </w:p>
        </w:tc>
        <w:tc>
          <w:tcPr>
            <w:tcW w:type="dxa" w:w="3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2–4% uplift in O2C margins through process AI optimization</w:t>
            </w:r>
          </w:p>
        </w:tc>
        <w:tc>
          <w:tcPr>
            <w:tcW w:type="dxa" w:w="30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₹3,000–6,000 Crore annually</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Predictive Maintenance Savings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30–40% reduction in unplanned maintenance costs and downtime</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₹800–1,500 Crore annually</w:t>
            </w:r>
          </w:p>
        </w:tc>
      </w:tr>
      <w:tr>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Energy Efficiency (O2C)</w:t>
            </w:r>
          </w:p>
        </w:tc>
        <w:tc>
          <w:tcPr>
            <w:tcW w:type="dxa" w:w="3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5–8% reduction in refinery energy intensity</w:t>
            </w:r>
          </w:p>
        </w:tc>
        <w:tc>
          <w:tcPr>
            <w:tcW w:type="dxa" w:w="30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₹600–1,200 Crore annually</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Upstream Production Optimization</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3–7% increase in KG-D6 and CBM production through AI-guided well management</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₹400–900 Crore annually</w:t>
            </w:r>
          </w:p>
        </w:tc>
      </w:tr>
      <w:tr>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Supply Chain &amp; Logistics AI</w:t>
            </w:r>
          </w:p>
        </w:tc>
        <w:tc>
          <w:tcPr>
            <w:tcW w:type="dxa" w:w="3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10–15% reduction in feedstock procurement and logistics costs</w:t>
            </w:r>
          </w:p>
        </w:tc>
        <w:tc>
          <w:tcPr>
            <w:tcW w:type="dxa" w:w="30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₹500–900 Crore annually</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Jio Brain Monetization (External)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Offering AI platform to ONGC, IOCL, BPCL etc. as SaaS</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₹500–2,000 Crore by Year 5</w:t>
            </w:r>
          </w:p>
        </w:tc>
      </w:tr>
      <w:tr>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Safety Incident Reduction</w:t>
            </w:r>
          </w:p>
        </w:tc>
        <w:tc>
          <w:tcPr>
            <w:tcW w:type="dxa" w:w="3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40–60% reduction in process safety incidents; reduced insurance &amp; liability costs</w:t>
            </w:r>
          </w:p>
        </w:tc>
        <w:tc>
          <w:tcPr>
            <w:tcW w:type="dxa" w:w="30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₹200–400 Crore annually</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Exploration Efficiency</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30–50% reduction in seismic interpretation and well-planning time</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Competitive advantage in OALP rounds</w:t>
            </w:r>
          </w:p>
        </w:tc>
      </w:tr>
    </w:tbl>
    <w:p>
      <w:pPr>
        <w:spacing w:before="200"/>
      </w:pPr>
    </w:p>
    <w:p>
      <w:pPr>
        <w:pStyle w:val="Heading2"/>
        <w:spacing w:after="160" w:before="360"/>
      </w:pPr>
      <w:r>
        <w:rPr>
          <w:rFonts w:ascii="Arial" w:cs="Arial" w:eastAsia="Arial" w:hAnsi="Arial"/>
          <w:b/>
          <w:bCs/>
          <w:color w:val="2E86AB"/>
          <w:sz w:val="28"/>
          <w:szCs w:val="28"/>
        </w:rPr>
        <w:t xml:space="preserve">4.2  Total Value Creation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EEF4FB" w:val="clear"/>
            <w:tcMar>
              <w:top w:type="dxa" w:w="120"/>
              <w:left w:type="dxa" w:w="120"/>
              <w:bottom w:type="dxa" w:w="120"/>
              <w:right w:type="dxa" w:w="120"/>
            </w:tcMar>
            <w:vAlign w:val="center"/>
          </w:tcPr>
          <w:p>
            <w:pPr>
              <w:jc w:val="center"/>
            </w:pPr>
            <w:r>
              <w:rPr>
                <w:rFonts w:ascii="Arial" w:cs="Arial" w:eastAsia="Arial" w:hAnsi="Arial"/>
                <w:b/>
                <w:bCs/>
                <w:color w:val="E84C1E"/>
                <w:sz w:val="40"/>
                <w:szCs w:val="40"/>
              </w:rPr>
              <w:t xml:space="preserve">₹6,000+</w:t>
            </w:r>
          </w:p>
          <w:p>
            <w:pPr>
              <w:spacing w:before="40"/>
              <w:jc w:val="center"/>
            </w:pPr>
            <w:r>
              <w:rPr>
                <w:rFonts w:ascii="Arial" w:cs="Arial" w:eastAsia="Arial" w:hAnsi="Arial"/>
                <w:color w:val="6B7280"/>
                <w:sz w:val="18"/>
                <w:szCs w:val="18"/>
              </w:rPr>
              <w:t xml:space="preserve">Crore per year</w:t>
            </w:r>
          </w:p>
          <w:p>
            <w:pPr>
              <w:spacing w:before="60"/>
              <w:jc w:val="center"/>
            </w:pPr>
            <w:r>
              <w:rPr>
                <w:rFonts w:ascii="Arial" w:cs="Arial" w:eastAsia="Arial" w:hAnsi="Arial"/>
                <w:b/>
                <w:bCs/>
                <w:color w:val="1B3A6B"/>
                <w:sz w:val="20"/>
                <w:szCs w:val="20"/>
              </w:rPr>
              <w:t xml:space="preserve">Annual Value (Steady State by Year 4)</w:t>
            </w:r>
          </w:p>
        </w:tc>
        <w:tc>
          <w:tcPr>
            <w:tcW w:type="dxa" w:w="2340"/>
            <w:tcBorders>
              <w:top w:val="single" w:color="D1D5DB" w:sz="1"/>
              <w:left w:val="single" w:color="D1D5DB" w:sz="1"/>
              <w:bottom w:val="single" w:color="D1D5DB" w:sz="1"/>
              <w:right w:val="single" w:color="D1D5DB" w:sz="1"/>
            </w:tcBorders>
            <w:shd w:fill="EEF4FB" w:val="clear"/>
            <w:tcMar>
              <w:top w:type="dxa" w:w="120"/>
              <w:left w:type="dxa" w:w="120"/>
              <w:bottom w:type="dxa" w:w="120"/>
              <w:right w:type="dxa" w:w="120"/>
            </w:tcMar>
            <w:vAlign w:val="center"/>
          </w:tcPr>
          <w:p>
            <w:pPr>
              <w:jc w:val="center"/>
            </w:pPr>
            <w:r>
              <w:rPr>
                <w:rFonts w:ascii="Arial" w:cs="Arial" w:eastAsia="Arial" w:hAnsi="Arial"/>
                <w:b/>
                <w:bCs/>
                <w:color w:val="E84C1E"/>
                <w:sz w:val="40"/>
                <w:szCs w:val="40"/>
              </w:rPr>
              <w:t xml:space="preserve">₹4,300–6,400</w:t>
            </w:r>
          </w:p>
          <w:p>
            <w:pPr>
              <w:spacing w:before="40"/>
              <w:jc w:val="center"/>
            </w:pPr>
            <w:r>
              <w:rPr>
                <w:rFonts w:ascii="Arial" w:cs="Arial" w:eastAsia="Arial" w:hAnsi="Arial"/>
                <w:color w:val="6B7280"/>
                <w:sz w:val="18"/>
                <w:szCs w:val="18"/>
              </w:rPr>
              <w:t xml:space="preserve">Crore total</w:t>
            </w:r>
          </w:p>
          <w:p>
            <w:pPr>
              <w:spacing w:before="60"/>
              <w:jc w:val="center"/>
            </w:pPr>
            <w:r>
              <w:rPr>
                <w:rFonts w:ascii="Arial" w:cs="Arial" w:eastAsia="Arial" w:hAnsi="Arial"/>
                <w:b/>
                <w:bCs/>
                <w:color w:val="1B3A6B"/>
                <w:sz w:val="20"/>
                <w:szCs w:val="20"/>
              </w:rPr>
              <w:t xml:space="preserve">3-Year Implementation Investment</w:t>
            </w:r>
          </w:p>
        </w:tc>
        <w:tc>
          <w:tcPr>
            <w:tcW w:type="dxa" w:w="2340"/>
            <w:tcBorders>
              <w:top w:val="single" w:color="D1D5DB" w:sz="1"/>
              <w:left w:val="single" w:color="D1D5DB" w:sz="1"/>
              <w:bottom w:val="single" w:color="D1D5DB" w:sz="1"/>
              <w:right w:val="single" w:color="D1D5DB" w:sz="1"/>
            </w:tcBorders>
            <w:shd w:fill="EEF4FB" w:val="clear"/>
            <w:tcMar>
              <w:top w:type="dxa" w:w="120"/>
              <w:left w:type="dxa" w:w="120"/>
              <w:bottom w:type="dxa" w:w="120"/>
              <w:right w:type="dxa" w:w="120"/>
            </w:tcMar>
            <w:vAlign w:val="center"/>
          </w:tcPr>
          <w:p>
            <w:pPr>
              <w:jc w:val="center"/>
            </w:pPr>
            <w:r>
              <w:rPr>
                <w:rFonts w:ascii="Arial" w:cs="Arial" w:eastAsia="Arial" w:hAnsi="Arial"/>
                <w:b/>
                <w:bCs/>
                <w:color w:val="E84C1E"/>
                <w:sz w:val="40"/>
                <w:szCs w:val="40"/>
              </w:rPr>
              <w:t xml:space="preserve">18–24</w:t>
            </w:r>
          </w:p>
          <w:p>
            <w:pPr>
              <w:spacing w:before="40"/>
              <w:jc w:val="center"/>
            </w:pPr>
            <w:r>
              <w:rPr>
                <w:rFonts w:ascii="Arial" w:cs="Arial" w:eastAsia="Arial" w:hAnsi="Arial"/>
                <w:color w:val="6B7280"/>
                <w:sz w:val="18"/>
                <w:szCs w:val="18"/>
              </w:rPr>
              <w:t xml:space="preserve">Months</w:t>
            </w:r>
          </w:p>
          <w:p>
            <w:pPr>
              <w:spacing w:before="60"/>
              <w:jc w:val="center"/>
            </w:pPr>
            <w:r>
              <w:rPr>
                <w:rFonts w:ascii="Arial" w:cs="Arial" w:eastAsia="Arial" w:hAnsi="Arial"/>
                <w:b/>
                <w:bCs/>
                <w:color w:val="1B3A6B"/>
                <w:sz w:val="20"/>
                <w:szCs w:val="20"/>
              </w:rPr>
              <w:t xml:space="preserve">Payback Period</w:t>
            </w:r>
          </w:p>
        </w:tc>
        <w:tc>
          <w:tcPr>
            <w:tcW w:type="dxa" w:w="2340"/>
            <w:tcBorders>
              <w:top w:val="single" w:color="D1D5DB" w:sz="1"/>
              <w:left w:val="single" w:color="D1D5DB" w:sz="1"/>
              <w:bottom w:val="single" w:color="D1D5DB" w:sz="1"/>
              <w:right w:val="single" w:color="D1D5DB" w:sz="1"/>
            </w:tcBorders>
            <w:shd w:fill="EEF4FB" w:val="clear"/>
            <w:tcMar>
              <w:top w:type="dxa" w:w="120"/>
              <w:left w:type="dxa" w:w="120"/>
              <w:bottom w:type="dxa" w:w="120"/>
              <w:right w:type="dxa" w:w="120"/>
            </w:tcMar>
            <w:vAlign w:val="center"/>
          </w:tcPr>
          <w:p>
            <w:pPr>
              <w:jc w:val="center"/>
            </w:pPr>
            <w:r>
              <w:rPr>
                <w:rFonts w:ascii="Arial" w:cs="Arial" w:eastAsia="Arial" w:hAnsi="Arial"/>
                <w:b/>
                <w:bCs/>
                <w:color w:val="E84C1E"/>
                <w:sz w:val="40"/>
                <w:szCs w:val="40"/>
              </w:rPr>
              <w:t xml:space="preserve">3.5x–5x</w:t>
            </w:r>
          </w:p>
          <w:p>
            <w:pPr>
              <w:spacing w:before="40"/>
              <w:jc w:val="center"/>
            </w:pPr>
            <w:r>
              <w:rPr>
                <w:rFonts w:ascii="Arial" w:cs="Arial" w:eastAsia="Arial" w:hAnsi="Arial"/>
                <w:color w:val="6B7280"/>
                <w:sz w:val="18"/>
                <w:szCs w:val="18"/>
              </w:rPr>
              <w:t xml:space="preserve">Return on investment</w:t>
            </w:r>
          </w:p>
          <w:p>
            <w:pPr>
              <w:spacing w:before="60"/>
              <w:jc w:val="center"/>
            </w:pPr>
            <w:r>
              <w:rPr>
                <w:rFonts w:ascii="Arial" w:cs="Arial" w:eastAsia="Arial" w:hAnsi="Arial"/>
                <w:b/>
                <w:bCs/>
                <w:color w:val="1B3A6B"/>
                <w:sz w:val="20"/>
                <w:szCs w:val="20"/>
              </w:rPr>
              <w:t xml:space="preserve">5-Year Cumulative ROI</w:t>
            </w:r>
          </w:p>
        </w:tc>
      </w:tr>
    </w:tbl>
    <w:p>
      <w:pPr>
        <w:spacing w:before="200"/>
      </w:pPr>
    </w:p>
    <w:p>
      <w:pPr>
        <w:pStyle w:val="Heading2"/>
        <w:spacing w:after="160" w:before="360"/>
      </w:pPr>
      <w:r>
        <w:rPr>
          <w:rFonts w:ascii="Arial" w:cs="Arial" w:eastAsia="Arial" w:hAnsi="Arial"/>
          <w:b/>
          <w:bCs/>
          <w:color w:val="2E86AB"/>
          <w:sz w:val="28"/>
          <w:szCs w:val="28"/>
        </w:rPr>
        <w:t xml:space="preserve">4.3  Strategic &amp; Competitive Benefits</w:t>
      </w:r>
    </w:p>
    <w:p>
      <w:pPr>
        <w:spacing w:after="80" w:before="80" w:line="340"/>
      </w:pPr>
      <w:r>
        <w:rPr>
          <w:rFonts w:ascii="Arial" w:cs="Arial" w:eastAsia="Arial" w:hAnsi="Arial"/>
          <w:color w:val="1A1A2E"/>
          <w:sz w:val="22"/>
          <w:szCs w:val="22"/>
        </w:rPr>
        <w:t xml:space="preserve">Beyond direct financial returns, the AI transformation delivers strategic benefits that are harder to quantify but equally significant:</w:t>
      </w:r>
    </w:p>
    <w:p>
      <w:pPr>
        <w:spacing w:before="80"/>
      </w:pPr>
    </w:p>
    <w:p>
      <w:pPr>
        <w:pStyle w:val="ListParagraph"/>
        <w:numPr>
          <w:ilvl w:val="0"/>
          <w:numId w:val="2"/>
        </w:numPr>
        <w:spacing w:after="60" w:before="60" w:line="300"/>
      </w:pPr>
      <w:r>
        <w:rPr>
          <w:rFonts w:ascii="Arial" w:cs="Arial" w:eastAsia="Arial" w:hAnsi="Arial"/>
          <w:b/>
          <w:bCs/>
          <w:color w:val="1B3A6B"/>
          <w:sz w:val="22"/>
          <w:szCs w:val="22"/>
        </w:rPr>
        <w:t xml:space="preserve">AI-optimized production from KG-D6 and CBM blocks directly strengthens India's energy security — a powerful lever for regulatory goodwill, preferential block awards under OALP rounds, and government partnerships. </w:t>
      </w:r>
      <w:r>
        <w:rPr>
          <w:rFonts w:ascii="Arial" w:cs="Arial" w:eastAsia="Arial" w:hAnsi="Arial"/>
          <w:color w:val="1A1A2E"/>
          <w:sz w:val="22"/>
          <w:szCs w:val="22"/>
        </w:rPr>
        <w:t xml:space="preserve">National Energy Security Positioning:</w:t>
      </w:r>
    </w:p>
    <w:p>
      <w:pPr>
        <w:pStyle w:val="ListParagraph"/>
        <w:numPr>
          <w:ilvl w:val="0"/>
          <w:numId w:val="2"/>
        </w:numPr>
        <w:spacing w:after="60" w:before="60" w:line="300"/>
      </w:pPr>
      <w:r>
        <w:rPr>
          <w:rFonts w:ascii="Arial" w:cs="Arial" w:eastAsia="Arial" w:hAnsi="Arial"/>
          <w:b/>
          <w:bCs/>
          <w:color w:val="1B3A6B"/>
          <w:sz w:val="22"/>
          <w:szCs w:val="22"/>
        </w:rPr>
        <w:t xml:space="preserve">AI-driven energy efficiency, flare reduction, and carbon tracking position RIL as India's most credible oil-to-clean-energy transition leader, critical for ESG investor confidence as the company's green energy vision matures. </w:t>
      </w:r>
      <w:r>
        <w:rPr>
          <w:rFonts w:ascii="Arial" w:cs="Arial" w:eastAsia="Arial" w:hAnsi="Arial"/>
          <w:color w:val="1A1A2E"/>
          <w:sz w:val="22"/>
          <w:szCs w:val="22"/>
        </w:rPr>
        <w:t xml:space="preserve">ESG &amp; Decarbonization Leadership:</w:t>
      </w:r>
    </w:p>
    <w:p>
      <w:pPr>
        <w:pStyle w:val="ListParagraph"/>
        <w:numPr>
          <w:ilvl w:val="0"/>
          <w:numId w:val="2"/>
        </w:numPr>
        <w:spacing w:after="60" w:before="60" w:line="300"/>
      </w:pPr>
      <w:r>
        <w:rPr>
          <w:rFonts w:ascii="Arial" w:cs="Arial" w:eastAsia="Arial" w:hAnsi="Arial"/>
          <w:b/>
          <w:bCs/>
          <w:color w:val="1B3A6B"/>
          <w:sz w:val="22"/>
          <w:szCs w:val="22"/>
        </w:rPr>
        <w:t xml:space="preserve">A world-class AI infrastructure attracts India's top engineering talent, reducing dependence on expensive international technical expertise for deepwater operations. </w:t>
      </w:r>
      <w:r>
        <w:rPr>
          <w:rFonts w:ascii="Arial" w:cs="Arial" w:eastAsia="Arial" w:hAnsi="Arial"/>
          <w:color w:val="1A1A2E"/>
          <w:sz w:val="22"/>
          <w:szCs w:val="22"/>
        </w:rPr>
        <w:t xml:space="preserve">Talent Magnetism:</w:t>
      </w:r>
    </w:p>
    <w:p>
      <w:pPr>
        <w:pStyle w:val="ListParagraph"/>
        <w:numPr>
          <w:ilvl w:val="0"/>
          <w:numId w:val="2"/>
        </w:numPr>
        <w:spacing w:after="60" w:before="60" w:line="300"/>
      </w:pPr>
      <w:r>
        <w:rPr>
          <w:rFonts w:ascii="Arial" w:cs="Arial" w:eastAsia="Arial" w:hAnsi="Arial"/>
          <w:b/>
          <w:bCs/>
          <w:color w:val="1B3A6B"/>
          <w:sz w:val="22"/>
          <w:szCs w:val="22"/>
        </w:rPr>
        <w:t xml:space="preserve">NLP and GenAI tools for compliance documentation free up thousands of engineering hours annually and reduce the risk of regulatory penalties. </w:t>
      </w:r>
      <w:r>
        <w:rPr>
          <w:rFonts w:ascii="Arial" w:cs="Arial" w:eastAsia="Arial" w:hAnsi="Arial"/>
          <w:color w:val="1A1A2E"/>
          <w:sz w:val="22"/>
          <w:szCs w:val="22"/>
        </w:rPr>
        <w:t xml:space="preserve">Regulatory Compliance Automation:</w:t>
      </w:r>
    </w:p>
    <w:p>
      <w:pPr>
        <w:pStyle w:val="ListParagraph"/>
        <w:numPr>
          <w:ilvl w:val="0"/>
          <w:numId w:val="2"/>
        </w:numPr>
        <w:spacing w:after="60" w:before="60" w:line="300"/>
      </w:pPr>
      <w:r>
        <w:rPr>
          <w:rFonts w:ascii="Arial" w:cs="Arial" w:eastAsia="Arial" w:hAnsi="Arial"/>
          <w:b/>
          <w:bCs/>
          <w:color w:val="1B3A6B"/>
          <w:sz w:val="22"/>
          <w:szCs w:val="22"/>
        </w:rPr>
        <w:t xml:space="preserve">As global O2C margin pressure intensifies from Chinese competition, AI-driven operational excellence becomes the primary margin defense mechanism available to RIL. </w:t>
      </w:r>
      <w:r>
        <w:rPr>
          <w:rFonts w:ascii="Arial" w:cs="Arial" w:eastAsia="Arial" w:hAnsi="Arial"/>
          <w:color w:val="1A1A2E"/>
          <w:sz w:val="22"/>
          <w:szCs w:val="22"/>
        </w:rPr>
        <w:t xml:space="preserve">Future-Proofing O2C:</w:t>
      </w:r>
    </w:p>
    <w:p>
      <w:pPr>
        <w:spacing w:before="200"/>
      </w:pPr>
    </w:p>
    <w:p>
      <w:pPr>
        <w:pStyle w:val="Heading2"/>
        <w:spacing w:after="160" w:before="360"/>
      </w:pPr>
      <w:r>
        <w:rPr>
          <w:rFonts w:ascii="Arial" w:cs="Arial" w:eastAsia="Arial" w:hAnsi="Arial"/>
          <w:b/>
          <w:bCs/>
          <w:color w:val="2E86AB"/>
          <w:sz w:val="28"/>
          <w:szCs w:val="28"/>
        </w:rPr>
        <w:t xml:space="preserve">4.4  Risk Assessment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Risk</w:t>
            </w:r>
          </w:p>
        </w:tc>
        <w:tc>
          <w:tcPr>
            <w:tcW w:type="dxa" w:w="616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Mitigation Strategy</w:t>
            </w:r>
          </w:p>
        </w:tc>
      </w:tr>
      <w:tr>
        <w:tc>
          <w:tcPr>
            <w:tcW w:type="dxa" w:w="3200"/>
            <w:tcBorders>
              <w:top w:val="single" w:color="D1D5DB" w:sz="1"/>
              <w:left w:val="single" w:color="D1D5DB" w:sz="1"/>
              <w:bottom w:val="single" w:color="D1D5DB" w:sz="1"/>
              <w:right w:val="single" w:color="D1D5DB" w:sz="1"/>
            </w:tcBorders>
            <w:shd w:fill="F2F7FC" w:val="clear"/>
            <w:tcMar>
              <w:top w:type="dxa" w:w="80"/>
              <w:left w:type="dxa" w:w="140"/>
              <w:bottom w:type="dxa" w:w="80"/>
              <w:right w:type="dxa" w:w="140"/>
            </w:tcMar>
          </w:tcPr>
          <w:p>
            <w:r>
              <w:rPr>
                <w:rFonts w:ascii="Arial" w:cs="Arial" w:eastAsia="Arial" w:hAnsi="Arial"/>
                <w:b/>
                <w:bCs/>
                <w:color w:val="1B3A6B"/>
                <w:sz w:val="21"/>
                <w:szCs w:val="21"/>
              </w:rPr>
              <w:t xml:space="preserve">Data Quality &amp; Silos</w:t>
            </w:r>
          </w:p>
        </w:tc>
        <w:tc>
          <w:tcPr>
            <w:tcW w:type="dxa" w:w="6160"/>
            <w:tcBorders>
              <w:top w:val="single" w:color="D1D5DB" w:sz="1"/>
              <w:left w:val="single" w:color="D1D5DB" w:sz="1"/>
              <w:bottom w:val="single" w:color="D1D5DB" w:sz="1"/>
              <w:right w:val="single" w:color="D1D5DB" w:sz="1"/>
            </w:tcBorders>
            <w:shd w:fill="F2F7FC" w:val="clear"/>
            <w:tcMar>
              <w:top w:type="dxa" w:w="80"/>
              <w:left w:type="dxa" w:w="140"/>
              <w:bottom w:type="dxa" w:w="80"/>
              <w:right w:type="dxa" w:w="140"/>
            </w:tcMar>
          </w:tcPr>
          <w:p>
            <w:r>
              <w:rPr>
                <w:rFonts w:ascii="Arial" w:cs="Arial" w:eastAsia="Arial" w:hAnsi="Arial"/>
                <w:color w:val="1A1A2E"/>
                <w:sz w:val="21"/>
                <w:szCs w:val="21"/>
              </w:rPr>
              <w:t xml:space="preserve">RIL's existing Hydrocarbons Data Lake (Cloudera) provides a solid foundation. Phase 1 includes dedicated data quality initiatives across all E&amp;P and O2C data streams.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B3A6B"/>
                <w:sz w:val="21"/>
                <w:szCs w:val="21"/>
              </w:rPr>
              <w:t xml:space="preserve">Change Management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Phased rollout with co-creation workshops involving domain experts (reservoir engineers, refinery operators). Jio Brain's intuitive interface reduces adoption barriers.</w:t>
            </w:r>
          </w:p>
        </w:tc>
      </w:tr>
      <w:tr>
        <w:tc>
          <w:tcPr>
            <w:tcW w:type="dxa" w:w="3200"/>
            <w:tcBorders>
              <w:top w:val="single" w:color="D1D5DB" w:sz="1"/>
              <w:left w:val="single" w:color="D1D5DB" w:sz="1"/>
              <w:bottom w:val="single" w:color="D1D5DB" w:sz="1"/>
              <w:right w:val="single" w:color="D1D5DB" w:sz="1"/>
            </w:tcBorders>
            <w:shd w:fill="F2F7FC" w:val="clear"/>
            <w:tcMar>
              <w:top w:type="dxa" w:w="80"/>
              <w:left w:type="dxa" w:w="140"/>
              <w:bottom w:type="dxa" w:w="80"/>
              <w:right w:type="dxa" w:w="140"/>
            </w:tcMar>
          </w:tcPr>
          <w:p>
            <w:r>
              <w:rPr>
                <w:rFonts w:ascii="Arial" w:cs="Arial" w:eastAsia="Arial" w:hAnsi="Arial"/>
                <w:b/>
                <w:bCs/>
                <w:color w:val="1B3A6B"/>
                <w:sz w:val="21"/>
                <w:szCs w:val="21"/>
              </w:rPr>
              <w:t xml:space="preserve">Cyber Security</w:t>
            </w:r>
          </w:p>
        </w:tc>
        <w:tc>
          <w:tcPr>
            <w:tcW w:type="dxa" w:w="6160"/>
            <w:tcBorders>
              <w:top w:val="single" w:color="D1D5DB" w:sz="1"/>
              <w:left w:val="single" w:color="D1D5DB" w:sz="1"/>
              <w:bottom w:val="single" w:color="D1D5DB" w:sz="1"/>
              <w:right w:val="single" w:color="D1D5DB" w:sz="1"/>
            </w:tcBorders>
            <w:shd w:fill="F2F7FC" w:val="clear"/>
            <w:tcMar>
              <w:top w:type="dxa" w:w="80"/>
              <w:left w:type="dxa" w:w="140"/>
              <w:bottom w:type="dxa" w:w="80"/>
              <w:right w:type="dxa" w:w="140"/>
            </w:tcMar>
          </w:tcPr>
          <w:p>
            <w:r>
              <w:rPr>
                <w:rFonts w:ascii="Arial" w:cs="Arial" w:eastAsia="Arial" w:hAnsi="Arial"/>
                <w:color w:val="1A1A2E"/>
                <w:sz w:val="21"/>
                <w:szCs w:val="21"/>
              </w:rPr>
              <w:t xml:space="preserve">AI systems increase the cyber attack surface. Jio's private 5G network architecture and Jamnagar data centre must implement zero-trust security frameworks.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B3A6B"/>
                <w:sz w:val="21"/>
                <w:szCs w:val="21"/>
              </w:rPr>
              <w:t xml:space="preserve">AI Model Reliability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Physics-informed neural networks (PINNs) for reservoir modelling are grounded in first principles, reducing pure data-driven model risk in safety-critical applications.</w:t>
            </w:r>
          </w:p>
        </w:tc>
      </w:tr>
      <w:tr>
        <w:tc>
          <w:tcPr>
            <w:tcW w:type="dxa" w:w="3200"/>
            <w:tcBorders>
              <w:top w:val="single" w:color="D1D5DB" w:sz="1"/>
              <w:left w:val="single" w:color="D1D5DB" w:sz="1"/>
              <w:bottom w:val="single" w:color="D1D5DB" w:sz="1"/>
              <w:right w:val="single" w:color="D1D5DB" w:sz="1"/>
            </w:tcBorders>
            <w:shd w:fill="F2F7FC" w:val="clear"/>
            <w:tcMar>
              <w:top w:type="dxa" w:w="80"/>
              <w:left w:type="dxa" w:w="140"/>
              <w:bottom w:type="dxa" w:w="80"/>
              <w:right w:type="dxa" w:w="140"/>
            </w:tcMar>
          </w:tcPr>
          <w:p>
            <w:r>
              <w:rPr>
                <w:rFonts w:ascii="Arial" w:cs="Arial" w:eastAsia="Arial" w:hAnsi="Arial"/>
                <w:b/>
                <w:bCs/>
                <w:color w:val="1B3A6B"/>
                <w:sz w:val="21"/>
                <w:szCs w:val="21"/>
              </w:rPr>
              <w:t xml:space="preserve">Regulatory Compliance</w:t>
            </w:r>
          </w:p>
        </w:tc>
        <w:tc>
          <w:tcPr>
            <w:tcW w:type="dxa" w:w="6160"/>
            <w:tcBorders>
              <w:top w:val="single" w:color="D1D5DB" w:sz="1"/>
              <w:left w:val="single" w:color="D1D5DB" w:sz="1"/>
              <w:bottom w:val="single" w:color="D1D5DB" w:sz="1"/>
              <w:right w:val="single" w:color="D1D5DB" w:sz="1"/>
            </w:tcBorders>
            <w:shd w:fill="F2F7FC" w:val="clear"/>
            <w:tcMar>
              <w:top w:type="dxa" w:w="80"/>
              <w:left w:type="dxa" w:w="140"/>
              <w:bottom w:type="dxa" w:w="80"/>
              <w:right w:type="dxa" w:w="140"/>
            </w:tcMar>
          </w:tcPr>
          <w:p>
            <w:r>
              <w:rPr>
                <w:rFonts w:ascii="Arial" w:cs="Arial" w:eastAsia="Arial" w:hAnsi="Arial"/>
                <w:color w:val="1A1A2E"/>
                <w:sz w:val="21"/>
                <w:szCs w:val="21"/>
              </w:rPr>
              <w:t xml:space="preserve">India's Petroleum &amp; Natural Gas Regulatory Board (PNGRB) and DGH oversight requires human-in-the-loop for all safety-critical AI decisions. Our roadmap embeds human oversight throughout.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B3A6B"/>
                <w:sz w:val="21"/>
                <w:szCs w:val="21"/>
              </w:rPr>
              <w:t xml:space="preserve">Talent Availability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RIL's IIT-Bombay partnership and NVIDIA collaboration provide access to cutting-edge AI talent pipelines. Internal upskilling program for 5,000+ engineers is recommended in Phase 1.</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CONCLUSION — THE AI IMPERATIVE</w:t>
            </w:r>
          </w:p>
        </w:tc>
      </w:tr>
    </w:tbl>
    <w:p>
      <w:pPr>
        <w:spacing w:before="200"/>
      </w:pPr>
    </w:p>
    <w:p>
      <w:pPr>
        <w:pStyle w:val="Heading1"/>
        <w:pBdr>
          <w:bottom w:val="single" w:color="E84C1E" w:sz="4" w:space="6"/>
        </w:pBdr>
        <w:spacing w:after="200" w:before="480"/>
      </w:pPr>
      <w:r>
        <w:rPr>
          <w:rFonts w:ascii="Arial" w:cs="Arial" w:eastAsia="Arial" w:hAnsi="Arial"/>
          <w:b/>
          <w:bCs/>
          <w:color w:val="1B3A6B"/>
          <w:sz w:val="36"/>
          <w:szCs w:val="36"/>
        </w:rPr>
        <w:t xml:space="preserve">Conclusion: From Energy Giant to AI-Powered Energy Leader</w:t>
      </w:r>
    </w:p>
    <w:p>
      <w:pPr>
        <w:spacing w:after="80" w:before="80" w:line="340"/>
      </w:pPr>
      <w:r>
        <w:rPr>
          <w:rFonts w:ascii="Arial" w:cs="Arial" w:eastAsia="Arial" w:hAnsi="Arial"/>
          <w:color w:val="1A1A2E"/>
          <w:sz w:val="22"/>
          <w:szCs w:val="22"/>
        </w:rPr>
        <w:t xml:space="preserve">Reliance Industries Limited's oil and gas division stands at an extraordinary inflection point. The foundations are already in place: a world-class Hydrocarbons Data Lake, the Jio Brain enterprise AI platform, a landmark NVIDIA partnership, a gigawatt AI data centre under construction, and the unmatched competitive moat of the world's largest refinery complex. The building blocks of India's most powerful energy AI ecosystem exist today within RIL's own walls.</w:t>
      </w:r>
    </w:p>
    <w:p>
      <w:pPr>
        <w:spacing w:before="100"/>
      </w:pPr>
    </w:p>
    <w:p>
      <w:pPr>
        <w:spacing w:after="80" w:before="80" w:line="340"/>
      </w:pPr>
      <w:r>
        <w:rPr>
          <w:rFonts w:ascii="Arial" w:cs="Arial" w:eastAsia="Arial" w:hAnsi="Arial"/>
          <w:color w:val="1A1A2E"/>
          <w:sz w:val="22"/>
          <w:szCs w:val="22"/>
        </w:rPr>
        <w:t xml:space="preserve">What remains is the bold, decisive act of connecting these assets into a unified, end-to-end AI intelligence layer — one that transforms refinery yield optimization from human intuition to algorithmic precision, turns upstream exploration from geological guesswork to seismic deep learning, and converts safety management from reactive incident response to predictive intervention.</w:t>
      </w:r>
    </w:p>
    <w:p>
      <w:pPr>
        <w:spacing w:before="100"/>
      </w:pPr>
    </w:p>
    <w:p>
      <w:pPr>
        <w:spacing w:after="80" w:before="80" w:line="340"/>
      </w:pPr>
      <w:r>
        <w:rPr>
          <w:rFonts w:ascii="Arial" w:cs="Arial" w:eastAsia="Arial" w:hAnsi="Arial"/>
          <w:color w:val="1A1A2E"/>
          <w:sz w:val="22"/>
          <w:szCs w:val="22"/>
        </w:rPr>
        <w:t xml:space="preserve">The global AI-in-oil-and-gas market is projected to reach between $7 billion and $25 billion by 2030. Companies that scale AI across all operations could see EBIT improvements of up to 50% in upstream and refining segments. For RIL — with its unique combination of scale, data richness, 5G infrastructure, and AI platform ownership — the potential return is not incremental. It is transformational.</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E84C1E" w:val="clear"/>
            <w:tcMar>
              <w:top w:type="dxa" w:w="120"/>
              <w:left w:type="dxa" w:w="160"/>
              <w:bottom w:type="dxa" w:w="120"/>
              <w:right w:type="dxa" w:w="160"/>
            </w:tcMar>
          </w:tcPr>
          <w:p>
            <w:r>
              <w:rPr>
                <w:rFonts w:ascii="Arial" w:cs="Arial" w:eastAsia="Arial" w:hAnsi="Arial"/>
                <w:b/>
                <w:bCs/>
                <w:color w:val="FFFFFF"/>
                <w:sz w:val="24"/>
                <w:szCs w:val="24"/>
              </w:rPr>
              <w:t xml:space="preserve">🚀  The Reliance AI Vision: A Call to Action</w:t>
            </w:r>
          </w:p>
        </w:tc>
      </w:tr>
      <w:tr>
        <w:tc>
          <w:tcPr>
            <w:tcW w:type="dxa" w:w="9360"/>
            <w:tcBorders>
              <w:top w:val="none" w:color="FFFFFF" w:sz="0"/>
              <w:left w:val="none" w:color="FFFFFF" w:sz="0"/>
              <w:bottom w:val="none" w:color="FFFFFF" w:sz="0"/>
              <w:right w:val="none" w:color="FFFFFF" w:sz="0"/>
            </w:tcBorders>
            <w:shd w:fill="FEF0EC" w:val="clear"/>
            <w:tcMar>
              <w:top w:type="dxa" w:w="140"/>
              <w:left w:type="dxa" w:w="180"/>
              <w:bottom w:type="dxa" w:w="140"/>
              <w:right w:type="dxa" w:w="180"/>
            </w:tcMar>
          </w:tcPr>
          <w:p>
            <w:pPr>
              <w:spacing w:after="60" w:before="60" w:line="300"/>
            </w:pPr>
            <w:r>
              <w:rPr>
                <w:rFonts w:ascii="Arial" w:cs="Arial" w:eastAsia="Arial" w:hAnsi="Arial"/>
                <w:color w:val="1A1A2E"/>
                <w:sz w:val="21"/>
                <w:szCs w:val="21"/>
              </w:rPr>
              <w:t xml:space="preserve">Chairman Mukesh Ambani has declared that Reliance's mission is to deliver 'AI to Everyone' in India. For the oil and gas division, this vision translates into a singular mandate:</w:t>
            </w:r>
          </w:p>
          <w:p>
            <w:pPr>
              <w:spacing w:after="60" w:before="60" w:line="300"/>
            </w:pPr>
            <w:r>
              <w:rPr>
                <w:rFonts w:ascii="Arial" w:cs="Arial" w:eastAsia="Arial" w:hAnsi="Arial"/>
                <w:color w:val="1A1A2E"/>
                <w:sz w:val="21"/>
                <w:szCs w:val="21"/>
              </w:rPr>
              <w:t xml:space="preserve"/>
            </w:r>
          </w:p>
          <w:p>
            <w:pPr>
              <w:spacing w:after="60" w:before="60" w:line="300"/>
            </w:pPr>
            <w:r>
              <w:rPr>
                <w:rFonts w:ascii="Arial" w:cs="Arial" w:eastAsia="Arial" w:hAnsi="Arial"/>
                <w:color w:val="1A1A2E"/>
                <w:sz w:val="21"/>
                <w:szCs w:val="21"/>
              </w:rPr>
              <w:t xml:space="preserve">Build the world's most intelligent integrated energy operation — where every well, every distillation column, every pipeline, and every fuel outlet is guided by real-time AI intelligence.</w:t>
            </w:r>
          </w:p>
          <w:p>
            <w:pPr>
              <w:spacing w:after="60" w:before="60" w:line="300"/>
            </w:pPr>
            <w:r>
              <w:rPr>
                <w:rFonts w:ascii="Arial" w:cs="Arial" w:eastAsia="Arial" w:hAnsi="Arial"/>
                <w:color w:val="1A1A2E"/>
                <w:sz w:val="21"/>
                <w:szCs w:val="21"/>
              </w:rPr>
              <w:t xml:space="preserve"/>
            </w:r>
          </w:p>
          <w:p>
            <w:pPr>
              <w:spacing w:after="60" w:before="60" w:line="300"/>
            </w:pPr>
            <w:r>
              <w:rPr>
                <w:rFonts w:ascii="Arial" w:cs="Arial" w:eastAsia="Arial" w:hAnsi="Arial"/>
                <w:color w:val="1A1A2E"/>
                <w:sz w:val="21"/>
                <w:szCs w:val="21"/>
              </w:rPr>
              <w:t xml:space="preserve">The roadmap in this report is RIL's path from energy powerhouse to AI-powered energy leader. The investment is significant. The returns — financial, strategic, and national — are transformational.</w:t>
            </w:r>
          </w:p>
          <w:p>
            <w:pPr>
              <w:spacing w:after="60" w:before="60" w:line="300"/>
            </w:pPr>
            <w:r>
              <w:rPr>
                <w:rFonts w:ascii="Arial" w:cs="Arial" w:eastAsia="Arial" w:hAnsi="Arial"/>
                <w:color w:val="1A1A2E"/>
                <w:sz w:val="21"/>
                <w:szCs w:val="21"/>
              </w:rPr>
              <w:t xml:space="preserve"/>
            </w:r>
          </w:p>
          <w:p>
            <w:pPr>
              <w:spacing w:after="60" w:before="60" w:line="300"/>
            </w:pPr>
            <w:r>
              <w:rPr>
                <w:rFonts w:ascii="Arial" w:cs="Arial" w:eastAsia="Arial" w:hAnsi="Arial"/>
                <w:color w:val="1A1A2E"/>
                <w:sz w:val="21"/>
                <w:szCs w:val="21"/>
              </w:rPr>
              <w:t xml:space="preserve">The only question is: how fast will Reliance move?</w:t>
            </w:r>
          </w:p>
        </w:tc>
      </w:tr>
    </w:tbl>
    <w:p>
      <w:pPr>
        <w:spacing w:before="200"/>
      </w:pPr>
    </w:p>
    <w:p>
      <w:pPr>
        <w:spacing w:after="100" w:before="200"/>
        <w:jc w:val="center"/>
      </w:pPr>
      <w:r>
        <w:rPr>
          <w:rFonts w:ascii="Arial" w:cs="Arial" w:eastAsia="Arial" w:hAnsi="Arial"/>
          <w:color w:val="E84C1E"/>
          <w:sz w:val="20"/>
          <w:szCs w:val="20"/>
        </w:rPr>
        <w:t xml:space="preserve">━━━━━━━━━━━━━━━━━━━━━━━━━━━━━━━━━━━━━━━━━━━━━━━━━━</w:t>
      </w:r>
    </w:p>
    <w:p>
      <w:pPr>
        <w:jc w:val="center"/>
      </w:pPr>
      <w:r>
        <w:rPr>
          <w:rFonts w:ascii="Arial" w:cs="Arial" w:eastAsia="Arial" w:hAnsi="Arial"/>
          <w:i/>
          <w:iCs/>
          <w:color w:val="6B7280"/>
          <w:sz w:val="18"/>
          <w:szCs w:val="18"/>
        </w:rPr>
        <w:t xml:space="preserve">Prepared by Strategic Technology &amp; Innovation Advisory  |  April 2026</w:t>
      </w:r>
    </w:p>
    <w:p>
      <w:pPr>
        <w:spacing w:before="40"/>
        <w:jc w:val="center"/>
      </w:pPr>
      <w:r>
        <w:rPr>
          <w:rFonts w:ascii="Arial" w:cs="Arial" w:eastAsia="Arial" w:hAnsi="Arial"/>
          <w:color w:val="6B7280"/>
          <w:sz w:val="18"/>
          <w:szCs w:val="18"/>
        </w:rPr>
        <w:t xml:space="preserve">Reliance Industries Limited — Oil &amp; Gas Division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tabs>
        <w:tab w:val="right" w:pos="9026"/>
      </w:tabs>
      <w:spacing w:before="80"/>
    </w:pPr>
    <w:r>
      <w:rPr>
        <w:rFonts w:ascii="Arial" w:cs="Arial" w:eastAsia="Arial" w:hAnsi="Arial"/>
        <w:color w:val="6B7280"/>
        <w:sz w:val="17"/>
        <w:szCs w:val="17"/>
      </w:rPr>
      <w:t xml:space="preserve">© 2026 Strategic AI Report — Reliance Industries Limited — Oil &amp; Gas</w:t>
    </w:r>
    <w:r>
      <w:rPr>
        <w:rFonts w:ascii="Arial" w:cs="Arial" w:eastAsia="Arial" w:hAnsi="Arial"/>
        <w:color w:val="6B7280"/>
        <w:sz w:val="17"/>
        <w:szCs w:val="17"/>
      </w:rPr>
      <w:t xml:space="preserve">	Page </w:t>
    </w:r>
    <w:fldSimple w:instr="PAGE">
      <w:r>
        <w:rPr>
          <w:rFonts w:ascii="Arial" w:cs="Arial" w:eastAsia="Arial" w:hAnsi="Arial"/>
          <w:color w:val="6B7280"/>
          <w:sz w:val="17"/>
          <w:szCs w:val="17"/>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6720"/>
      <w:gridCol w:w="3000"/>
    </w:tblGrid>
    <w:tr>
      <w:tc>
        <w:tcPr>
          <w:tcBorders>
            <w:top w:val="none" w:color="FFFFFF" w:sz="0"/>
            <w:left w:val="none" w:color="FFFFFF" w:sz="0"/>
            <w:bottom w:val="none" w:color="FFFFFF" w:sz="0"/>
            <w:right w:val="none" w:color="FFFFFF" w:sz="0"/>
          </w:tcBorders>
        </w:tcPr>
        <w:p>
          <w:r>
            <w:rPr>
              <w:rFonts w:ascii="Arial" w:cs="Arial" w:eastAsia="Arial" w:hAnsi="Arial"/>
              <w:b/>
              <w:bCs/>
              <w:color w:val="1B3A6B"/>
              <w:sz w:val="18"/>
              <w:szCs w:val="18"/>
            </w:rPr>
            <w:t xml:space="preserve">RELIANCE INDUSTRIES LIMITED</w:t>
          </w:r>
          <w:r>
            <w:rPr>
              <w:rFonts w:ascii="Arial" w:cs="Arial" w:eastAsia="Arial" w:hAnsi="Arial"/>
              <w:color w:val="6B7280"/>
              <w:sz w:val="18"/>
              <w:szCs w:val="18"/>
            </w:rPr>
            <w:t xml:space="preserve">  |  Oil &amp; Gas Division — AI/ML Strategy Report</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6B7280"/>
              <w:sz w:val="18"/>
              <w:szCs w:val="18"/>
            </w:rPr>
            <w:t xml:space="preserve">Confidential  |  April 2026</w:t>
          </w:r>
        </w:p>
      </w:tc>
    </w:tr>
  </w:tbl>
  <w:p>
    <w:pPr>
      <w:pBdr>
        <w:bottom w:val="single" w:color="E84C1E" w:sz="4" w:space="4"/>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86A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2026-04-16T09:38:17.407Z</dcterms:created>
  <dcterms:modified xsi:type="dcterms:W3CDTF">2026-04-16T09:38:17.408Z</dcterms:modified>
</cp:coreProperties>
</file>

<file path=docProps/custom.xml><?xml version="1.0" encoding="utf-8"?>
<Properties xmlns="http://schemas.openxmlformats.org/officeDocument/2006/custom-properties" xmlns:vt="http://schemas.openxmlformats.org/officeDocument/2006/docPropsVTypes"/>
</file>