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C"/>
          <w:sz w:val="36"/>
          <w:szCs w:val="36"/>
        </w:rPr>
        <w:t xml:space="preserve">ledger_repair</w:t>
      </w:r>
    </w:p>
    <w:p>
      <w:pPr>
        <w:spacing w:after="200"/>
      </w:pPr>
      <w:r>
        <w:rPr>
          <w:i/>
          <w:iCs/>
          <w:color w:val="555555"/>
          <w:sz w:val="22"/>
          <w:szCs w:val="22"/>
        </w:rPr>
        <w:t xml:space="preserve">A long-horizon stateful debugging RL environment — reasoning &amp; evidence</w:t>
      </w:r>
    </w:p>
    <w:p>
      <w:pPr>
        <w:spacing w:after="120" w:line="276"/>
      </w:pPr>
      <w:r>
        <w:t xml:space="preserve">Submitted for the Tensium RL-environment trial. Everything described here runs; every number regenerates from the commands in the README. The environment, the buggy engine, the oracle, and the cheat battery are all original work written for this submission — not ported from any prior client or public repository.</w:t>
      </w:r>
    </w:p>
    <w:p>
      <w:pPr>
        <w:pStyle w:val="Heading1"/>
        <w:spacing w:after="120" w:before="240"/>
      </w:pPr>
      <w:r>
        <w:rPr>
          <w:b/>
          <w:bCs/>
          <w:color w:val="1F4E5C"/>
        </w:rPr>
        <w:t xml:space="preserve">1. Short bio</w:t>
      </w:r>
    </w:p>
    <w:p>
      <w:pPr>
        <w:spacing w:after="120" w:line="276"/>
      </w:pPr>
      <w:r>
        <w:t xml:space="preserve">I have worked on RL environments and evaluation tasks across a few forms: Python task and benchmark building for AI evaluation, terminal- and repository-based agent tasks, and data collection for model training. That range has given me a working feel for the whole pipeline — task design, verifiers, and packaging — and I am now deepening it by building complete environments end to end, of which this submission is one.</w:t>
      </w:r>
    </w:p>
    <w:p>
      <w:pPr>
        <w:spacing w:after="120" w:line="276"/>
      </w:pPr>
      <w:r>
        <w:rPr>
          <w:b/>
          <w:bCs/>
        </w:rPr>
        <w:t xml:space="preserve">What I can do now: </w:t>
      </w:r>
      <w:r>
        <w:t xml:space="preserve">I can design a task around a named model weakness, write a verifier and genuinely try to break it, package to the verifiers format, and produce the receipts that show the reward is trustworthy — this submission demonstrates each of those. I am still building confidence across the full stack rather than claiming mastery of all of it, and I learn fastest by building real environments like this one.</w:t>
      </w:r>
    </w:p>
    <w:p>
      <w:pPr>
        <w:spacing w:after="120" w:line="276"/>
      </w:pPr>
      <w:r>
        <w:rPr>
          <w:b/>
          <w:bCs/>
        </w:rPr>
        <w:t xml:space="preserve">What I would need to learn: </w:t>
      </w:r>
      <w:r>
        <w:t xml:space="preserve">the thing I most need to learn is running environments against live models at scale — a real multi-model leaderboard across production harnesses and provider endpoints, and the operational side of doing that reliably and cheaply. I have designed this environment so that step slots in without a redesign (the vf-eval harness path already works), but I would be learning that operational layer rather than claiming it. Naming it honestly matters more to me than papering over it.</w:t>
      </w:r>
    </w:p>
    <w:p>
      <w:pPr>
        <w:pStyle w:val="Heading1"/>
        <w:spacing w:after="120" w:before="240"/>
      </w:pPr>
      <w:r>
        <w:rPr>
          <w:b/>
          <w:bCs/>
          <w:color w:val="1F4E5C"/>
        </w:rPr>
        <w:t xml:space="preserve">2. Which role, and why</w:t>
      </w:r>
    </w:p>
    <w:p>
      <w:pPr>
        <w:spacing w:after="120" w:line="276"/>
      </w:pPr>
      <w:r>
        <w:t xml:space="preserve">I am applying to build environments. What I want to get right is the judgment underneath a good environment: deciding what weakness is worth measuring, and proving the reward actually measures it rather than something a model can satisfy without doing the work. This submission is deliberately one environment reasoned through properly rather than several built on instinct, because that is the bar the brief sets and the way I want to work. I would rather show that depth on a single sound environment, and grow from there, than send a stack of thin ones.</w:t>
      </w:r>
    </w:p>
    <w:p>
      <w:pPr>
        <w:pStyle w:val="Heading1"/>
        <w:spacing w:after="120" w:before="240"/>
      </w:pPr>
      <w:r>
        <w:rPr>
          <w:b/>
          <w:bCs/>
          <w:color w:val="1F4E5C"/>
        </w:rPr>
        <w:t xml:space="preserve">3. Why this work — the named weakness</w:t>
      </w:r>
    </w:p>
    <w:p>
      <w:pPr>
        <w:spacing w:after="120" w:line="276"/>
      </w:pPr>
      <w:r>
        <w:rPr>
          <w:b/>
          <w:bCs/>
        </w:rPr>
        <w:t xml:space="preserve">Target: long-horizon stateful debugging. </w:t>
      </w:r>
      <w:r>
        <w:t xml:space="preserve">Frontier coding models are strong at localized bug-fixing — a single function with a visible stack trace. They degrade sharply when the bug requires maintaining a model of accumulated state across many steps and the symptom is far from the cause. This environment targets exactly that gap.</w:t>
      </w:r>
    </w:p>
    <w:p>
      <w:pPr>
        <w:spacing w:after="120" w:line="276"/>
      </w:pPr>
      <w:r>
        <w:t xml:space="preserve">The engine has three interacting bugs that only manifest once transactions cross accounting-period boundaries:</w:t>
      </w:r>
    </w:p>
    <w:p>
      <w:pPr>
        <w:pStyle w:val="ListParagraph"/>
        <w:numPr>
          <w:ilvl w:val="0"/>
          <w:numId w:val="1"/>
        </w:numPr>
        <w:spacing w:after="60" w:line="264"/>
      </w:pPr>
      <w:r>
        <w:rPr>
          <w:b w:val="false"/>
          <w:bCs w:val="false"/>
        </w:rPr>
        <w:t xml:space="preserve"/>
      </w:r>
      <w:r>
        <w:rPr>
          <w:b/>
          <w:bCs/>
        </w:rPr>
        <w:t xml:space="preserve">Rollover off-by-one</w:t>
      </w:r>
      <w:r>
        <w:rPr>
          <w:b w:val="false"/>
          <w:bCs w:val="false"/>
        </w:rPr>
        <w:t xml:space="preserve"> — the period closes one transaction late.</w:t>
      </w:r>
    </w:p>
    <w:p>
      <w:pPr>
        <w:pStyle w:val="ListParagraph"/>
        <w:numPr>
          <w:ilvl w:val="0"/>
          <w:numId w:val="1"/>
        </w:numPr>
        <w:spacing w:after="60" w:line="264"/>
      </w:pPr>
      <w:r>
        <w:rPr>
          <w:b w:val="false"/>
          <w:bCs w:val="false"/>
        </w:rPr>
        <w:t xml:space="preserve"/>
      </w:r>
      <w:r>
        <w:rPr>
          <w:b/>
          <w:bCs/>
        </w:rPr>
        <w:t xml:space="preserve">Post-rollover sign flip</w:t>
      </w:r>
      <w:r>
        <w:rPr>
          <w:b w:val="false"/>
          <w:bCs w:val="false"/>
        </w:rPr>
        <w:t xml:space="preserve"> — settle transactions invert sign after the first period boundary, because the author keyed the sign off the period index.</w:t>
      </w:r>
    </w:p>
    <w:p>
      <w:pPr>
        <w:pStyle w:val="ListParagraph"/>
        <w:numPr>
          <w:ilvl w:val="0"/>
          <w:numId w:val="1"/>
        </w:numPr>
        <w:spacing w:after="60" w:line="264"/>
      </w:pPr>
      <w:r>
        <w:rPr>
          <w:b w:val="false"/>
          <w:bCs w:val="false"/>
        </w:rPr>
        <w:t xml:space="preserve"/>
      </w:r>
      <w:r>
        <w:rPr>
          <w:b/>
          <w:bCs/>
        </w:rPr>
        <w:t xml:space="preserve">Masked rounding accumulation</w:t>
      </w:r>
      <w:r>
        <w:rPr>
          <w:b w:val="false"/>
          <w:bCs w:val="false"/>
        </w:rPr>
        <w:t xml:space="preserve"> — accrual interest is floored rather than banker's-rounded; invisible on one transaction, it accumulates across a period and only shows in the retained carry.</w:t>
      </w:r>
    </w:p>
    <w:p>
      <w:pPr>
        <w:spacing w:after="120" w:line="276"/>
      </w:pPr>
      <w:r>
        <w:rPr>
          <w:b/>
          <w:bCs/>
        </w:rPr>
        <w:t xml:space="preserve">Why this is a real gap and not a guess: </w:t>
      </w:r>
      <w:r>
        <w:t xml:space="preserve">none of the three is visible from reading a single function. Reproduction itself requires posting a specific ordered sequence across a boundary, then observing the retained carry — the kind of multi-step, state-dependent investigation where models that one-shot local fixes fall down. A partial fix changes which scenarios now fail, forcing the model to detect its incomplete repair and continue.</w:t>
      </w:r>
    </w:p>
    <w:p>
      <w:pPr>
        <w:pStyle w:val="Heading1"/>
        <w:spacing w:after="120" w:before="240"/>
      </w:pPr>
      <w:r>
        <w:rPr>
          <w:b/>
          <w:bCs/>
          <w:color w:val="1F4E5C"/>
        </w:rPr>
        <w:t xml:space="preserve">4. Why it is long-horizon (all four conditions)</w:t>
      </w:r>
    </w:p>
    <w:p>
      <w:pPr>
        <w:spacing w:after="120" w:line="276"/>
      </w:pPr>
      <w:r>
        <w:t xml:space="preserve">The template requires all four conditions to hold before a task may be called long-horizon. They do: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4E5C" w:color="auto" w:val="clear"/>
            <w:tcMar>
              <w:top w:type="dxa" w:w="60"/>
              <w:left w:type="dxa" w:w="100"/>
              <w:bottom w:type="dxa" w:w="60"/>
              <w:right w:type="dxa" w:w="100"/>
            </w:tcMar>
          </w:tcPr>
          <w:p>
            <w:r>
              <w:rPr>
                <w:b/>
                <w:bCs/>
                <w:color w:val="FFFFFF"/>
              </w:rPr>
              <w:t xml:space="preserve">Condition</w:t>
            </w:r>
          </w:p>
        </w:tc>
        <w:tc>
          <w:tcPr>
            <w:tcW w:type="dxa" w:w="6200"/>
            <w:shd w:fill="1F4E5C" w:color="auto" w:val="clear"/>
            <w:tcMar>
              <w:top w:type="dxa" w:w="60"/>
              <w:left w:type="dxa" w:w="100"/>
              <w:bottom w:type="dxa" w:w="60"/>
              <w:right w:type="dxa" w:w="100"/>
            </w:tcMar>
          </w:tcPr>
          <w:p>
            <w:r>
              <w:rPr>
                <w:b/>
                <w:bCs/>
                <w:color w:val="FFFFFF"/>
              </w:rPr>
              <w:t xml:space="preserve">How this environment meets it</w:t>
            </w:r>
          </w:p>
        </w:tc>
      </w:tr>
      <w:tr>
        <w:tc>
          <w:tcPr>
            <w:tcW w:type="dxa" w:w="2600"/>
            <w:tcMar>
              <w:top w:type="dxa" w:w="60"/>
              <w:left w:type="dxa" w:w="100"/>
              <w:bottom w:type="dxa" w:w="60"/>
              <w:right w:type="dxa" w:w="100"/>
            </w:tcMar>
          </w:tcPr>
          <w:p>
            <w:r>
              <w:rPr>
                <w:b w:val="false"/>
                <w:bCs w:val="false"/>
              </w:rPr>
              <w:t xml:space="preserve">Minimum step depth enforced</w:t>
            </w:r>
          </w:p>
        </w:tc>
        <w:tc>
          <w:tcPr>
            <w:tcW w:type="dxa" w:w="6200"/>
            <w:tcMar>
              <w:top w:type="dxa" w:w="60"/>
              <w:left w:type="dxa" w:w="100"/>
              <w:bottom w:type="dxa" w:w="60"/>
              <w:right w:type="dxa" w:w="100"/>
            </w:tcMar>
          </w:tcPr>
          <w:p>
            <w:r>
              <w:rPr>
                <w:b w:val="false"/>
                <w:bCs w:val="false"/>
              </w:rPr>
              <w:t xml:space="preserve">Reproducing needs a multi-period scenario; fixing needs read → hypothesize → patch → re-run → observe, repeated. A single reasoning block cannot solve it.</w:t>
            </w:r>
          </w:p>
        </w:tc>
      </w:tr>
      <w:tr>
        <w:tc>
          <w:tcPr>
            <w:tcW w:type="dxa" w:w="2600"/>
            <w:tcMar>
              <w:top w:type="dxa" w:w="60"/>
              <w:left w:type="dxa" w:w="100"/>
              <w:bottom w:type="dxa" w:w="60"/>
              <w:right w:type="dxa" w:w="100"/>
            </w:tcMar>
          </w:tcPr>
          <w:p>
            <w:r>
              <w:rPr>
                <w:b w:val="false"/>
                <w:bCs w:val="false"/>
              </w:rPr>
              <w:t xml:space="preserve">Multiple non-interchangeable tool calls</w:t>
            </w:r>
          </w:p>
        </w:tc>
        <w:tc>
          <w:tcPr>
            <w:tcW w:type="dxa" w:w="6200"/>
            <w:tcMar>
              <w:top w:type="dxa" w:w="60"/>
              <w:left w:type="dxa" w:w="100"/>
              <w:bottom w:type="dxa" w:w="60"/>
              <w:right w:type="dxa" w:w="100"/>
            </w:tcMar>
          </w:tcPr>
          <w:p>
            <w:r>
              <w:rPr>
                <w:b w:val="false"/>
                <w:bCs w:val="false"/>
              </w:rPr>
              <w:t xml:space="preserve">read_file (query), run_ledger (execute &amp; observe state), write_file (mutate) — heterogeneous across query, analysis, and validation.</w:t>
            </w:r>
          </w:p>
        </w:tc>
      </w:tr>
      <w:tr>
        <w:tc>
          <w:tcPr>
            <w:tcW w:type="dxa" w:w="2600"/>
            <w:tcMar>
              <w:top w:type="dxa" w:w="60"/>
              <w:left w:type="dxa" w:w="100"/>
              <w:bottom w:type="dxa" w:w="60"/>
              <w:right w:type="dxa" w:w="100"/>
            </w:tcMar>
          </w:tcPr>
          <w:p>
            <w:r>
              <w:rPr>
                <w:b w:val="false"/>
                <w:bCs w:val="false"/>
              </w:rPr>
              <w:t xml:space="preserve">State transitions constrain future actions</w:t>
            </w:r>
          </w:p>
        </w:tc>
        <w:tc>
          <w:tcPr>
            <w:tcW w:type="dxa" w:w="6200"/>
            <w:tcMar>
              <w:top w:type="dxa" w:w="60"/>
              <w:left w:type="dxa" w:w="100"/>
              <w:bottom w:type="dxa" w:w="60"/>
              <w:right w:type="dxa" w:w="100"/>
            </w:tcMar>
          </w:tcPr>
          <w:p>
            <w:r>
              <w:rPr>
                <w:b w:val="false"/>
                <w:bCs w:val="false"/>
              </w:rPr>
              <w:t xml:space="preserve">Each write_file changes the module the next run_ledger executes; a wrong patch changes which scenarios fail, redirecting the search.</w:t>
            </w:r>
          </w:p>
        </w:tc>
      </w:tr>
      <w:tr>
        <w:tc>
          <w:tcPr>
            <w:tcW w:type="dxa" w:w="2600"/>
            <w:tcMar>
              <w:top w:type="dxa" w:w="60"/>
              <w:left w:type="dxa" w:w="100"/>
              <w:bottom w:type="dxa" w:w="60"/>
              <w:right w:type="dxa" w:w="100"/>
            </w:tcMar>
          </w:tcPr>
          <w:p>
            <w:r>
              <w:rPr>
                <w:b w:val="false"/>
                <w:bCs w:val="false"/>
              </w:rPr>
              <w:t xml:space="preserve">Failure recovery required</w:t>
            </w:r>
          </w:p>
        </w:tc>
        <w:tc>
          <w:tcPr>
            <w:tcW w:type="dxa" w:w="6200"/>
            <w:tcMar>
              <w:top w:type="dxa" w:w="60"/>
              <w:left w:type="dxa" w:w="100"/>
              <w:bottom w:type="dxa" w:w="60"/>
              <w:right w:type="dxa" w:w="100"/>
            </w:tcMar>
          </w:tcPr>
          <w:p>
            <w:r>
              <w:rPr>
                <w:b w:val="false"/>
                <w:bCs w:val="false"/>
              </w:rPr>
              <w:t xml:space="preserve">Fixing one bug leaves the battery failing; the model must detect the incomplete fix and continue. One wrong hypothesis is effectively guaranteed.</w:t>
            </w:r>
          </w:p>
        </w:tc>
      </w:tr>
    </w:tbl>
    <w:p>
      <w:pPr>
        <w:pStyle w:val="Heading1"/>
        <w:spacing w:after="120" w:before="240"/>
      </w:pPr>
      <w:r>
        <w:rPr>
          <w:b/>
          <w:bCs/>
          <w:color w:val="1F4E5C"/>
        </w:rPr>
        <w:t xml:space="preserve">5. Why it is not contaminated</w:t>
      </w:r>
    </w:p>
    <w:p>
      <w:pPr>
        <w:spacing w:after="120" w:line="276"/>
      </w:pPr>
      <w:r>
        <w:rPr>
          <w:b/>
          <w:bCs/>
        </w:rPr>
        <w:t xml:space="preserve">Source: </w:t>
      </w:r>
      <w:r>
        <w:t xml:space="preserve">original code written for this environment. The engine, the oracle, the scenario generator, and the cheat battery were all authored here. The specific bug combination — rollover off-by-one × post-rollover sign flip × masked rounding accumulation — is bespoke and does not correspond to any canonical public exercise.</w:t>
      </w:r>
    </w:p>
    <w:p>
      <w:pPr>
        <w:spacing w:after="120" w:line="276"/>
      </w:pPr>
      <w:r>
        <w:rPr>
          <w:b/>
          <w:bCs/>
        </w:rPr>
        <w:t xml:space="preserve">Argument to a sceptic: </w:t>
      </w:r>
      <w:r>
        <w:t xml:space="preserve">there is no public solution text to memorize, because the artifact did not exist publicly before this submission. It is not derived from Mercor, Surge, Scale, or any prior client work. The grading signal is final numeric ledger state computed by an independent oracle, so even a model that had seen similar ledger code could not shortcut the state-dependent reproduction. The README documents an n-gram check as the next hardening step against the specific corpora a lab cares about.</w:t>
      </w:r>
    </w:p>
    <w:p>
      <w:pPr>
        <w:pStyle w:val="Heading1"/>
        <w:spacing w:after="120" w:before="240"/>
      </w:pPr>
      <w:r>
        <w:rPr>
          <w:b/>
          <w:bCs/>
          <w:color w:val="1F4E5C"/>
        </w:rPr>
        <w:t xml:space="preserve">6. How I tried to break it — soundness</w:t>
      </w:r>
    </w:p>
    <w:p>
      <w:pPr>
        <w:spacing w:after="120" w:line="276"/>
      </w:pPr>
      <w:r>
        <w:t xml:space="preserve">The verifier computes its verdict from ground truth only. It re-runs a held-out battery of 40 scenarios against the agent's patched module in a fresh subprocess and compares final balances to the oracle. It never reads the agent's stdout, self-reported success, or test results. I threw five classes of cheat at it plus honest controls: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900"/>
        <w:gridCol w:w="4900"/>
      </w:tblGrid>
      <w:tr>
        <w:trPr>
          <w:tblHeader/>
        </w:trPr>
        <w:tc>
          <w:tcPr>
            <w:tcW w:type="dxa" w:w="3900"/>
            <w:shd w:fill="1F4E5C" w:color="auto" w:val="clear"/>
            <w:tcMar>
              <w:top w:type="dxa" w:w="60"/>
              <w:left w:type="dxa" w:w="100"/>
              <w:bottom w:type="dxa" w:w="60"/>
              <w:right w:type="dxa" w:w="100"/>
            </w:tcMar>
          </w:tcPr>
          <w:p>
            <w:r>
              <w:rPr>
                <w:b/>
                <w:bCs/>
                <w:color w:val="FFFFFF"/>
              </w:rPr>
              <w:t xml:space="preserve">Cheat class</w:t>
            </w:r>
          </w:p>
        </w:tc>
        <w:tc>
          <w:tcPr>
            <w:tcW w:type="dxa" w:w="4900"/>
            <w:shd w:fill="1F4E5C" w:color="auto" w:val="clear"/>
            <w:tcMar>
              <w:top w:type="dxa" w:w="60"/>
              <w:left w:type="dxa" w:w="100"/>
              <w:bottom w:type="dxa" w:w="60"/>
              <w:right w:type="dxa" w:w="100"/>
            </w:tcMar>
          </w:tcPr>
          <w:p>
            <w:r>
              <w:rPr>
                <w:b/>
                <w:bCs/>
                <w:color w:val="FFFFFF"/>
              </w:rPr>
              <w:t xml:space="preserve">Result</w:t>
            </w:r>
          </w:p>
        </w:tc>
      </w:tr>
      <w:tr>
        <w:tc>
          <w:tcPr>
            <w:tcW w:type="dxa" w:w="3900"/>
            <w:tcMar>
              <w:top w:type="dxa" w:w="60"/>
              <w:left w:type="dxa" w:w="100"/>
              <w:bottom w:type="dxa" w:w="60"/>
              <w:right w:type="dxa" w:w="100"/>
            </w:tcMar>
          </w:tcPr>
          <w:p>
            <w:r>
              <w:rPr>
                <w:b w:val="false"/>
                <w:bCs w:val="false"/>
              </w:rPr>
              <w:t xml:space="preserve">Hardcoded / memorised answer</w:t>
            </w:r>
          </w:p>
        </w:tc>
        <w:tc>
          <w:tcPr>
            <w:tcW w:type="dxa" w:w="4900"/>
            <w:tcMar>
              <w:top w:type="dxa" w:w="60"/>
              <w:left w:type="dxa" w:w="100"/>
              <w:bottom w:type="dxa" w:w="60"/>
              <w:right w:type="dxa" w:w="100"/>
            </w:tcMar>
          </w:tcPr>
          <w:p>
            <w:r>
              <w:rPr>
                <w:b w:val="false"/>
                <w:bCs w:val="false"/>
              </w:rPr>
              <w:t xml:space="preserve">Rejected — graded 0.029, strict 0.000</w:t>
            </w:r>
          </w:p>
        </w:tc>
      </w:tr>
      <w:tr>
        <w:tc>
          <w:tcPr>
            <w:tcW w:type="dxa" w:w="3900"/>
            <w:tcMar>
              <w:top w:type="dxa" w:w="60"/>
              <w:left w:type="dxa" w:w="100"/>
              <w:bottom w:type="dxa" w:w="60"/>
              <w:right w:type="dxa" w:w="100"/>
            </w:tcMar>
          </w:tcPr>
          <w:p>
            <w:r>
              <w:rPr>
                <w:b w:val="false"/>
                <w:bCs w:val="false"/>
              </w:rPr>
              <w:t xml:space="preserve">Constant output</w:t>
            </w:r>
          </w:p>
        </w:tc>
        <w:tc>
          <w:tcPr>
            <w:tcW w:type="dxa" w:w="4900"/>
            <w:tcMar>
              <w:top w:type="dxa" w:w="60"/>
              <w:left w:type="dxa" w:w="100"/>
              <w:bottom w:type="dxa" w:w="60"/>
              <w:right w:type="dxa" w:w="100"/>
            </w:tcMar>
          </w:tcPr>
          <w:p>
            <w:r>
              <w:rPr>
                <w:b w:val="false"/>
                <w:bCs w:val="false"/>
              </w:rPr>
              <w:t xml:space="preserve">Rejected — graded 0.000</w:t>
            </w:r>
          </w:p>
        </w:tc>
      </w:tr>
      <w:tr>
        <w:tc>
          <w:tcPr>
            <w:tcW w:type="dxa" w:w="3900"/>
            <w:tcMar>
              <w:top w:type="dxa" w:w="60"/>
              <w:left w:type="dxa" w:w="100"/>
              <w:bottom w:type="dxa" w:w="60"/>
              <w:right w:type="dxa" w:w="100"/>
            </w:tcMar>
          </w:tcPr>
          <w:p>
            <w:r>
              <w:rPr>
                <w:b w:val="false"/>
                <w:bCs w:val="false"/>
              </w:rPr>
              <w:t xml:space="preserve">Output-shape forgery (right keys, wrong numbers)</w:t>
            </w:r>
          </w:p>
        </w:tc>
        <w:tc>
          <w:tcPr>
            <w:tcW w:type="dxa" w:w="4900"/>
            <w:tcMar>
              <w:top w:type="dxa" w:w="60"/>
              <w:left w:type="dxa" w:w="100"/>
              <w:bottom w:type="dxa" w:w="60"/>
              <w:right w:type="dxa" w:w="100"/>
            </w:tcMar>
          </w:tcPr>
          <w:p>
            <w:r>
              <w:rPr>
                <w:b w:val="false"/>
                <w:bCs w:val="false"/>
              </w:rPr>
              <w:t xml:space="preserve">Rejected — graded 0.000</w:t>
            </w:r>
          </w:p>
        </w:tc>
      </w:tr>
      <w:tr>
        <w:tc>
          <w:tcPr>
            <w:tcW w:type="dxa" w:w="3900"/>
            <w:tcMar>
              <w:top w:type="dxa" w:w="60"/>
              <w:left w:type="dxa" w:w="100"/>
              <w:bottom w:type="dxa" w:w="60"/>
              <w:right w:type="dxa" w:w="100"/>
            </w:tcMar>
          </w:tcPr>
          <w:p>
            <w:r>
              <w:rPr>
                <w:b w:val="false"/>
                <w:bCs w:val="false"/>
              </w:rPr>
              <w:t xml:space="preserve">Oracle read (import/read the reference)</w:t>
            </w:r>
          </w:p>
        </w:tc>
        <w:tc>
          <w:tcPr>
            <w:tcW w:type="dxa" w:w="4900"/>
            <w:tcMar>
              <w:top w:type="dxa" w:w="60"/>
              <w:left w:type="dxa" w:w="100"/>
              <w:bottom w:type="dxa" w:w="60"/>
              <w:right w:type="dxa" w:w="100"/>
            </w:tcMar>
          </w:tcPr>
          <w:p>
            <w:r>
              <w:rPr>
                <w:b w:val="false"/>
                <w:bCs w:val="false"/>
              </w:rPr>
              <w:t xml:space="preserve">Rejected — oracle provably unreachable from the sandbox; graded 0.000</w:t>
            </w:r>
          </w:p>
        </w:tc>
      </w:tr>
      <w:tr>
        <w:tc>
          <w:tcPr>
            <w:tcW w:type="dxa" w:w="3900"/>
            <w:tcMar>
              <w:top w:type="dxa" w:w="60"/>
              <w:left w:type="dxa" w:w="100"/>
              <w:bottom w:type="dxa" w:w="60"/>
              <w:right w:type="dxa" w:w="100"/>
            </w:tcMar>
          </w:tcPr>
          <w:p>
            <w:r>
              <w:rPr>
                <w:b w:val="false"/>
                <w:bCs w:val="false"/>
              </w:rPr>
              <w:t xml:space="preserve">Reward-report forgery (print “ALL TESTS PASSED”)</w:t>
            </w:r>
          </w:p>
        </w:tc>
        <w:tc>
          <w:tcPr>
            <w:tcW w:type="dxa" w:w="4900"/>
            <w:tcMar>
              <w:top w:type="dxa" w:w="60"/>
              <w:left w:type="dxa" w:w="100"/>
              <w:bottom w:type="dxa" w:w="60"/>
              <w:right w:type="dxa" w:w="100"/>
            </w:tcMar>
          </w:tcPr>
          <w:p>
            <w:r>
              <w:rPr>
                <w:b w:val="false"/>
                <w:bCs w:val="false"/>
              </w:rPr>
              <w:t xml:space="preserve">Rejected — grader ignores agent stdout; graded 0.000</w:t>
            </w:r>
          </w:p>
        </w:tc>
      </w:tr>
      <w:tr>
        <w:tc>
          <w:tcPr>
            <w:tcW w:type="dxa" w:w="3900"/>
            <w:tcMar>
              <w:top w:type="dxa" w:w="60"/>
              <w:left w:type="dxa" w:w="100"/>
              <w:bottom w:type="dxa" w:w="60"/>
              <w:right w:type="dxa" w:w="100"/>
            </w:tcMar>
          </w:tcPr>
          <w:p>
            <w:r>
              <w:rPr>
                <w:b w:val="false"/>
                <w:bCs w:val="false"/>
              </w:rPr>
              <w:t xml:space="preserve">Honest gold + alternative correct impl</w:t>
            </w:r>
          </w:p>
        </w:tc>
        <w:tc>
          <w:tcPr>
            <w:tcW w:type="dxa" w:w="4900"/>
            <w:tcMar>
              <w:top w:type="dxa" w:w="60"/>
              <w:left w:type="dxa" w:w="100"/>
              <w:bottom w:type="dxa" w:w="60"/>
              <w:right w:type="dxa" w:w="100"/>
            </w:tcMar>
          </w:tcPr>
          <w:p>
            <w:r>
              <w:rPr>
                <w:b w:val="false"/>
                <w:bCs w:val="false"/>
              </w:rPr>
              <w:t xml:space="preserve">Both accepted — graded 1.000</w:t>
            </w:r>
          </w:p>
        </w:tc>
      </w:tr>
    </w:tbl>
    <w:p>
      <w:pPr>
        <w:spacing w:after="120" w:line="276"/>
      </w:pPr>
      <w:r>
        <w:rPr>
          <w:b/>
          <w:bCs/>
        </w:rPr>
        <w:t xml:space="preserve">Receipt: </w:t>
      </w:r>
      <w:r>
        <w:t xml:space="preserve">false-accept rate 0/5 (Wilson 95% CI [0.000, 0.434]); false-reject rate 0/2 (Wilson 95% CI [0.000, 0.658]). With zero observed failures I report the interval upper bound rather than a bare 0%, per the template. An isolation test proves the agent cannot read or import the oracle or the battery.</w:t>
      </w:r>
    </w:p>
    <w:p>
      <w:pPr>
        <w:pStyle w:val="Heading1"/>
        <w:spacing w:after="120" w:before="240"/>
      </w:pPr>
      <w:r>
        <w:rPr>
          <w:b/>
          <w:bCs/>
          <w:color w:val="1F4E5C"/>
        </w:rPr>
        <w:t xml:space="preserve">7. One thing I got wrong</w:t>
      </w:r>
    </w:p>
    <w:p>
      <w:pPr>
        <w:spacing w:after="120" w:line="276"/>
      </w:pPr>
      <w:r>
        <w:t xml:space="preserve">My first reward was binary per scenario: pass only if all balances matched. Across the battery that gave 0.00 → 0.05 → 0.10 → 1.00 as bugs were fixed incrementally — a near-degenerate signal that only rewards the complete fix, exactly the flat reward the template warns against. I caught it when the ladder failed to separate the middle rungs, and switched to a graded reward (mean per-account correctness). That produced a monotonic, separated ladder — 0.160 → 0.264 → 0.471 → 1.000 — with a usable gradient.</w:t>
      </w:r>
    </w:p>
    <w:p>
      <w:pPr>
        <w:spacing w:after="120" w:line="276"/>
      </w:pPr>
      <w:r>
        <w:rPr>
          <w:b/>
          <w:bCs/>
        </w:rPr>
        <w:t xml:space="preserve">Two smaller bugs surfaced while attacking the verifier: </w:t>
      </w:r>
      <w:r>
        <w:t xml:space="preserve">the oracle-read cheat hung the grader with a filesystem-wide glob (a denial-of-service on the grader), and the reward-report-forgery cheat corrupted the result channel by printing to the same stdout the grader wrote its JSON to. Both are now fixed — the grader runs with a wall-clock timeout and isolates the agent module's stdout — and both are the kind of failure that would have silently mis-scored a real training run.</w:t>
      </w:r>
    </w:p>
    <w:p>
      <w:pPr>
        <w:pStyle w:val="Heading1"/>
        <w:spacing w:after="120" w:before="240"/>
      </w:pPr>
      <w:r>
        <w:rPr>
          <w:b/>
          <w:bCs/>
          <w:color w:val="1F4E5C"/>
        </w:rPr>
        <w:t xml:space="preserve">8. Comments on the template</w:t>
      </w:r>
    </w:p>
    <w:p>
      <w:pPr>
        <w:pStyle w:val="ListParagraph"/>
        <w:numPr>
          <w:ilvl w:val="0"/>
          <w:numId w:val="1"/>
        </w:numPr>
        <w:spacing w:after="60" w:line="264"/>
      </w:pPr>
      <w:r>
        <w:rPr>
          <w:b w:val="false"/>
          <w:bCs w:val="false"/>
        </w:rPr>
        <w:t xml:space="preserve"/>
      </w:r>
      <w:r>
        <w:rPr>
          <w:b/>
          <w:bCs/>
        </w:rPr>
        <w:t xml:space="preserve">The template is strong on soundness and statistics but light on grader robustness as an attack surface.</w:t>
      </w:r>
      <w:r>
        <w:rPr>
          <w:b w:val="false"/>
          <w:bCs w:val="false"/>
        </w:rPr>
        <w:t xml:space="preserve"> Two of my worst bugs were in the grader itself (DoS via unbounded glob, stdout pollution), not in the reward logic. I would add an explicit line to Tier 1: the grader must be timeout-bounded and must isolate the candidate's stdout/stderr from its result channel. A cheat that hangs or corrupts the grader is a soundness failure even if the reward maths is perfect.</w:t>
      </w:r>
    </w:p>
    <w:p>
      <w:pPr>
        <w:pStyle w:val="ListParagraph"/>
        <w:numPr>
          <w:ilvl w:val="0"/>
          <w:numId w:val="1"/>
        </w:numPr>
        <w:spacing w:after="60" w:line="264"/>
      </w:pPr>
      <w:r>
        <w:rPr>
          <w:b w:val="false"/>
          <w:bCs w:val="false"/>
        </w:rPr>
        <w:t xml:space="preserve"/>
      </w:r>
      <w:r>
        <w:rPr>
          <w:b/>
          <w:bCs/>
        </w:rPr>
        <w:t xml:space="preserve">“Capability-only leaderboard” assumes live multi-model access.</w:t>
      </w:r>
      <w:r>
        <w:rPr>
          <w:b w:val="false"/>
          <w:bCs w:val="false"/>
        </w:rPr>
        <w:t xml:space="preserve"> For a trial produced without provider keys, it would help to state explicitly what a defensible stand-in looks like (here, synthetic rung-solutions that demonstrate separation) versus what genuinely needs keys — so candidates are judged on the reasoning, not on whether they happened to have API budget.</w:t>
      </w:r>
    </w:p>
    <w:p>
      <w:pPr>
        <w:pStyle w:val="Heading1"/>
        <w:spacing w:after="120" w:before="240"/>
      </w:pPr>
      <w:r>
        <w:rPr>
          <w:b/>
          <w:bCs/>
          <w:color w:val="1F4E5C"/>
        </w:rPr>
        <w:t xml:space="preserve">9. What is included</w:t>
      </w:r>
    </w:p>
    <w:p>
      <w:pPr>
        <w:spacing w:after="120" w:line="276"/>
      </w:pPr>
      <w:r>
        <w:t xml:space="preserve">A complete, installable verifiers-format environment (builds to a wheel, installs and runs load_environment in a clean venv with zero adaptation); the buggy engine, independent oracle, and held-out battery; the sound verifier; the cheat battery and honest controls; the capability ladder; the isolation tests; a README with exact commands; and a regenerated receipts file. Headline numbers above all reproduce from the README commands without an API key.</w:t>
      </w:r>
    </w:p>
    <w:p>
      <w:pPr>
        <w:spacing w:after="120" w:line="276"/>
      </w:pPr>
      <w:r>
        <w:rPr>
          <w:i/>
          <w:iCs/>
          <w:color w:val="555555"/>
        </w:rPr>
        <w:t xml:space="preserve">Honest gap: the capability panel uses synthetic rung-solutions rather than live models, because this was built without model API keys. The vf-eval harness path for real models works; real base-model pass rates and a multi-model leaderboard are the first thing I would add.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2026-07-16T16:50:13.315Z</dcterms:created>
  <dcterms:modified xsi:type="dcterms:W3CDTF">2026-07-16T16:50:13.323Z</dcterms:modified>
</cp:coreProperties>
</file>

<file path=docProps/custom.xml><?xml version="1.0" encoding="utf-8"?>
<Properties xmlns="http://schemas.openxmlformats.org/officeDocument/2006/custom-properties" xmlns:vt="http://schemas.openxmlformats.org/officeDocument/2006/docPropsVTypes"/>
</file>