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27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ID: RH-2026</w:t>
            </w:r>
          </w:p>
        </w:tc>
        <w:tc>
          <w:tcPr>
            <w:tcW w:w="4508" w:type="dxa"/>
          </w:tcPr>
          <w:p>
            <w:r>
              <w:t>RH-2026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Name: RentalHouse</w:t>
            </w:r>
          </w:p>
        </w:tc>
        <w:tc>
          <w:tcPr>
            <w:tcW w:w="4508" w:type="dxa"/>
          </w:tcPr>
          <w:p>
            <w:r>
              <w:t>RentalHouse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t>RentalHouse System Architecture Diagram (Light Theme):</w:t>
      </w:r>
      <w:r>
        <w:t xml:space="preserve">
</w:t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System Architecture and Data Flow of the RentalHouse Platform</w:t>
      </w:r>
    </w:p>
    <w:p w14:paraId="4E909796" w14:textId="77777777" w:rsidR="00E370AF" w:rsidRDefault="00000000">
      <w:pPr>
        <w:rPr>
          <w:b/>
        </w:rPr>
      </w:pPr>
      <w:r>
        <w:t>Reference: Local MERN Stack Architecture Specifications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