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NeuAlto Technologies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EastEnd ,Jayanagar 9th Block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/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Name: Nirmata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/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b w:val="0"/>
          <w:color w:val="404040"/>
          <w:sz w:val="24"/>
          <w:szCs w:val="24"/>
          <w:shd w:fill="fcfcfc" w:val="clear"/>
        </w:rPr>
      </w:pPr>
      <w:bookmarkStart w:colFirst="0" w:colLast="0" w:name="_89ij3sxzs8yh" w:id="2"/>
      <w:bookmarkEnd w:id="2"/>
      <w:r w:rsidDel="00000000" w:rsidR="00000000" w:rsidRPr="00000000">
        <w:rPr>
          <w:rFonts w:ascii="Arial" w:cs="Arial" w:eastAsia="Arial" w:hAnsi="Arial"/>
          <w:b w:val="0"/>
          <w:color w:val="404040"/>
          <w:sz w:val="24"/>
          <w:szCs w:val="24"/>
          <w:shd w:fill="fcfcfc" w:val="clear"/>
          <w:rtl w:val="0"/>
        </w:rPr>
        <w:t xml:space="preserve">The Nirmata platform is designed ground-up for cloud-native applications. Nirmata supports open container technologies and 100% upstream OSS Kuberenetes for scalable and efficient application management on any public or private cloud, and even bare-metal servers.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Proxima Nova" w:cs="Proxima Nova" w:eastAsia="Proxima Nova" w:hAnsi="Proxima Nova"/>
        </w:rPr>
      </w:pPr>
      <w:bookmarkStart w:colFirst="0" w:colLast="0" w:name="_j6fz21ypmhq5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"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Single management and control plane across multiple Kubernetes clusters and across cloud providers.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Automated Kubernetes cluster installation, upgrades, and operations on any cloud. Nirmata can also discover existing Kubernetes clusters, for complete visibility and management.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Arial" w:cs="Arial" w:eastAsia="Arial" w:hAnsi="Arial"/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Elastic cluster sizing based on usage and custom metrics.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color w:val="000000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My Roles and Responsibilities: </w:t>
      </w:r>
      <w:r w:rsidDel="00000000" w:rsidR="00000000" w:rsidRPr="00000000">
        <w:rPr>
          <w:b w:val="0"/>
          <w:rtl w:val="0"/>
        </w:rPr>
        <w:t xml:space="preserve">I have worked in developing Cluster AutoScaler Feature for AWS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Cluster AutoScaler: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The cluster autoscaler adds nodes to a cluster whenever it detects pending pods that could not be scheduled due to resource shortages.Removes nodes from a cluster, whenever the utilization of a node falls below a certain threshold defined by the cluster administrator.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The cluster autoscaler on AWS scales worker nodes within any specified autoscaling group. It will run as a Deployment in cluster.</w:t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highlight w:val="white"/>
            <w:u w:val="single"/>
            <w:rtl w:val="0"/>
          </w:rPr>
          <w:t xml:space="preserve">https://eksworkshop.com/scaling/deploy_ca.files/cluster_autoscaler.yml </w:t>
        </w:r>
      </w:hyperlink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This link will provide a yaml file to deploy Cluster Autosacle(CA) for EKS.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" w:line="36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ksworkshop.com/scaling/deploy_ca.files/cluster_autoscaler.y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