
<file path=[Content_Types].xml><?xml version="1.0" encoding="utf-8"?>
<Types xmlns="http://schemas.openxmlformats.org/package/2006/content-types">
  <Default Extension="xml" ContentType="application/xml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CBA: Practice Problem Set 2</w:t>
      </w:r>
    </w:p>
    <w:p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Topics: Sampling Distributions and Central Limit Theorem</w:t>
      </w:r>
    </w:p>
    <w:p>
      <w:pPr>
        <w:spacing w:after="0"/>
        <w:jc w:val="center"/>
        <w:rPr>
          <w:b/>
          <w:bCs/>
        </w:rPr>
      </w:pPr>
    </w:p>
    <w:p>
      <w:pPr>
        <w:spacing w:after="0"/>
        <w:rPr>
          <w:bCs/>
          <w:i/>
          <w:iCs/>
        </w:rPr>
      </w:pPr>
    </w:p>
    <w:p>
      <w:pPr>
        <w:numPr>
          <w:ilvl w:val="0"/>
          <w:numId w:val="1"/>
        </w:numPr>
        <w:spacing w:after="0"/>
        <w:ind w:left="360"/>
        <w:rPr>
          <w:rFonts w:cs="BookAntiqua"/>
        </w:rPr>
      </w:pPr>
      <w:r>
        <w:rPr>
          <w:rFonts w:cs="BookAntiqua"/>
        </w:rPr>
        <w:t>Examine the following normal Quantile plots carefully. Which of these plots indicates that the data …</w:t>
      </w:r>
    </w:p>
    <w:p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Are nearly normal?</w:t>
      </w:r>
    </w:p>
    <w:p>
      <w:pPr>
        <w:numPr>
          <w:ilvl w:val="0"/>
          <w:numId w:val="0"/>
        </w:numPr>
        <w:spacing w:after="0"/>
        <w:ind w:left="720" w:leftChars="0"/>
        <w:rPr>
          <w:rFonts w:hint="default" w:cs="BookAntiqua"/>
          <w:highlight w:val="green"/>
          <w:lang w:val="en-US"/>
        </w:rPr>
      </w:pPr>
      <w:r>
        <w:rPr>
          <w:rFonts w:hint="default" w:cs="BookAntiqua"/>
          <w:highlight w:val="green"/>
          <w:lang w:val="en-US"/>
        </w:rPr>
        <w:t>Ans: C</w:t>
      </w:r>
    </w:p>
    <w:p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Have a bimodal distribution? (One way to recognize a bimodal shape is a “gap” in the spacing of adjacent data values.)</w:t>
      </w:r>
    </w:p>
    <w:p>
      <w:pPr>
        <w:numPr>
          <w:ilvl w:val="0"/>
          <w:numId w:val="0"/>
        </w:numPr>
        <w:spacing w:after="0"/>
        <w:ind w:left="720" w:leftChars="0"/>
        <w:rPr>
          <w:rFonts w:hint="default" w:cs="BookAntiqua"/>
          <w:highlight w:val="green"/>
          <w:lang w:val="en-US"/>
        </w:rPr>
      </w:pPr>
      <w:r>
        <w:rPr>
          <w:rFonts w:hint="default" w:cs="BookAntiqua"/>
          <w:highlight w:val="green"/>
          <w:lang w:val="en-US"/>
        </w:rPr>
        <w:t>Ans:B</w:t>
      </w:r>
    </w:p>
    <w:p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Are skewed (i.e. not symmetric) ?</w:t>
      </w:r>
    </w:p>
    <w:p>
      <w:pPr>
        <w:numPr>
          <w:ilvl w:val="0"/>
          <w:numId w:val="0"/>
        </w:numPr>
        <w:spacing w:after="0"/>
        <w:ind w:left="720" w:leftChars="0"/>
        <w:rPr>
          <w:rFonts w:hint="default" w:cs="BookAntiqua"/>
          <w:lang w:val="en-US"/>
        </w:rPr>
      </w:pPr>
      <w:r>
        <w:rPr>
          <w:rFonts w:hint="default" w:cs="BookAntiqua"/>
          <w:highlight w:val="green"/>
          <w:lang w:val="en-US"/>
        </w:rPr>
        <w:t>Ans:</w:t>
      </w:r>
      <w:r>
        <w:rPr>
          <w:rFonts w:hint="default" w:cs="BookAntiqua"/>
          <w:lang w:val="en-US"/>
        </w:rPr>
        <w:t>A,C,D</w:t>
      </w:r>
    </w:p>
    <w:p>
      <w:pPr>
        <w:numPr>
          <w:ilvl w:val="0"/>
          <w:numId w:val="2"/>
        </w:numPr>
        <w:spacing w:after="0"/>
        <w:rPr>
          <w:rFonts w:cs="BookAntiqua"/>
        </w:rPr>
      </w:pPr>
      <w:r>
        <w:rPr>
          <w:rFonts w:cs="BookAntiqua"/>
        </w:rPr>
        <w:t>Have outliers on both sides of the center?</w:t>
      </w:r>
    </w:p>
    <w:p>
      <w:pPr>
        <w:numPr>
          <w:ilvl w:val="0"/>
          <w:numId w:val="0"/>
        </w:numPr>
        <w:spacing w:after="0"/>
        <w:ind w:left="720" w:leftChars="0"/>
        <w:rPr>
          <w:rFonts w:hint="default" w:cs="BookAntiqua"/>
          <w:lang w:val="en-US"/>
        </w:rPr>
      </w:pPr>
      <w:r>
        <w:rPr>
          <w:rFonts w:hint="default" w:cs="BookAntiqua"/>
          <w:highlight w:val="green"/>
          <w:lang w:val="en-US"/>
        </w:rPr>
        <w:t xml:space="preserve">Ans:  </w:t>
      </w:r>
      <w:r>
        <w:rPr>
          <w:rFonts w:hint="default" w:cs="BookAntiqua"/>
          <w:lang w:val="en-US"/>
        </w:rPr>
        <w:t>A</w:t>
      </w:r>
    </w:p>
    <w:p>
      <w:pPr>
        <w:spacing w:after="0"/>
        <w:ind w:left="1080"/>
        <w:rPr>
          <w:rFonts w:cs="BookAntiqua"/>
        </w:rPr>
      </w:pPr>
    </w:p>
    <w:p>
      <w:pPr>
        <w:autoSpaceDE w:val="0"/>
        <w:autoSpaceDN w:val="0"/>
        <w:adjustRightInd w:val="0"/>
        <w:spacing w:after="0"/>
        <w:jc w:val="center"/>
        <w:rPr>
          <w:rFonts w:cs="BookAntiqua"/>
        </w:rPr>
      </w:pPr>
      <w:r>
        <w:rPr>
          <w:rFonts w:cs="BookAntiqua"/>
        </w:rPr>
        <w:drawing>
          <wp:inline distT="0" distB="0" distL="0" distR="0">
            <wp:extent cx="5480050" cy="16002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005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/>
        <w:rPr>
          <w:rFonts w:cs="BookAntiqua"/>
        </w:rPr>
      </w:pPr>
    </w:p>
    <w:p>
      <w:pPr>
        <w:autoSpaceDE w:val="0"/>
        <w:autoSpaceDN w:val="0"/>
        <w:adjustRightInd w:val="0"/>
        <w:spacing w:after="0"/>
        <w:rPr>
          <w:rFonts w:cs="BookAntiqua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 xml:space="preserve">For each of the following statements, indicate whether it is </w:t>
      </w:r>
      <w:r>
        <w:rPr>
          <w:rFonts w:cs="BookAntiqua"/>
          <w:bCs/>
          <w:u w:val="single"/>
        </w:rPr>
        <w:t>True/False</w:t>
      </w:r>
      <w:r>
        <w:rPr>
          <w:rFonts w:cs="BookAntiqua"/>
          <w:bCs/>
        </w:rPr>
        <w:t xml:space="preserve">. </w:t>
      </w:r>
      <w:r>
        <w:rPr>
          <w:rFonts w:cs="BookAntiqua"/>
        </w:rPr>
        <w:t>If false, explain why.</w:t>
      </w:r>
    </w:p>
    <w:p>
      <w:pPr>
        <w:autoSpaceDE w:val="0"/>
        <w:autoSpaceDN w:val="0"/>
        <w:adjustRightInd w:val="0"/>
        <w:spacing w:after="0"/>
        <w:rPr>
          <w:rFonts w:cs="BookAntiqua"/>
        </w:rPr>
      </w:pPr>
    </w:p>
    <w:p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 xml:space="preserve">The manager of a warehouse monitors the volume of shipments made by the delivery team. The automated tracking system tracks every package as it moves through the facility. A sample of 25 packages is selected and weighed every day. Based on current contracts with customers, the weights should have </w:t>
      </w:r>
      <w:r>
        <w:rPr>
          <w:rFonts w:cs="Symbol"/>
          <w:i/>
        </w:rPr>
        <w:t>μ</w:t>
      </w:r>
      <w:r>
        <w:rPr>
          <w:rFonts w:cs="Symbol"/>
        </w:rPr>
        <w:t xml:space="preserve"> </w:t>
      </w:r>
      <w:r>
        <w:rPr>
          <w:rFonts w:cs="BookAntiqua"/>
        </w:rPr>
        <w:t xml:space="preserve">= 22 lbs. and </w:t>
      </w:r>
      <w:r>
        <w:rPr>
          <w:rFonts w:cs="Symbol"/>
          <w:i/>
        </w:rPr>
        <w:t>σ</w:t>
      </w:r>
      <w:r>
        <w:rPr>
          <w:rFonts w:cs="Symbol"/>
        </w:rPr>
        <w:t xml:space="preserve"> </w:t>
      </w:r>
      <w:r>
        <w:rPr>
          <w:rFonts w:cs="BookAntiqua"/>
        </w:rPr>
        <w:t>= 5 lbs.</w:t>
      </w:r>
    </w:p>
    <w:p>
      <w:pPr>
        <w:spacing w:after="0"/>
        <w:ind w:left="360"/>
        <w:rPr>
          <w:rFonts w:cs="BookAntiqua"/>
        </w:rPr>
      </w:pP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>
        <w:rPr>
          <w:rFonts w:cs="BookAntiqua"/>
        </w:rPr>
        <w:t>Before using a normal model for the sampling distribution of the average package weights, the manager must confirm that weights of individual packages are normally distributed.</w:t>
      </w:r>
    </w:p>
    <w:p>
      <w:pPr>
        <w:pStyle w:val="8"/>
        <w:autoSpaceDE w:val="0"/>
        <w:autoSpaceDN w:val="0"/>
        <w:adjustRightInd w:val="0"/>
        <w:spacing w:after="0"/>
        <w:ind w:left="880" w:leftChars="0" w:hanging="880" w:hangingChars="400"/>
        <w:jc w:val="both"/>
        <w:rPr>
          <w:rFonts w:hint="default" w:cs="BookAntiqua" w:asciiTheme="minorAscii" w:hAnsiTheme="minorAscii"/>
          <w:color w:val="00B050"/>
          <w:sz w:val="22"/>
          <w:szCs w:val="22"/>
          <w:lang w:val="en-US"/>
        </w:rPr>
      </w:pPr>
      <w:r>
        <w:rPr>
          <w:rFonts w:hint="default" w:cs="BookAntiqua"/>
          <w:lang w:val="en-US"/>
        </w:rPr>
        <w:t xml:space="preserve">      </w:t>
      </w:r>
      <w:r>
        <w:rPr>
          <w:rFonts w:hint="default" w:cs="BookAntiqua"/>
          <w:color w:val="auto"/>
          <w:highlight w:val="green"/>
          <w:lang w:val="en-US"/>
        </w:rPr>
        <w:t xml:space="preserve"> Ans:</w:t>
      </w:r>
      <w:r>
        <w:rPr>
          <w:rFonts w:hint="default" w:cs="BookAntiqua"/>
          <w:color w:val="00B050"/>
          <w:lang w:val="en-US"/>
        </w:rPr>
        <w:t xml:space="preserve">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EFEFE"/>
        </w:rPr>
        <w:t>T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EFEFE"/>
          <w:lang w:val="en-US"/>
        </w:rPr>
        <w:t xml:space="preserve">rue as in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EFEFE"/>
        </w:rPr>
        <w:t xml:space="preserve"> this case, at least 30 sample packages must be selected and weighed everyday. Based on the central limit theorem, the sampling distribution of the sample mean approach normal distribution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EFEFE"/>
          <w:lang w:val="en-US"/>
        </w:rPr>
        <w:t xml:space="preserve">when </w:t>
      </w:r>
      <w:r>
        <w:rPr>
          <w:rFonts w:hint="default" w:eastAsia="Segoe UI" w:cs="Segoe UI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EFEFE"/>
        </w:rPr>
        <w:t xml:space="preserve"> the sample size become bigger (over 30).</w:t>
      </w:r>
    </w:p>
    <w:p>
      <w:pPr>
        <w:pStyle w:val="8"/>
        <w:numPr>
          <w:ilvl w:val="0"/>
          <w:numId w:val="3"/>
        </w:numPr>
        <w:autoSpaceDE w:val="0"/>
        <w:autoSpaceDN w:val="0"/>
        <w:adjustRightInd w:val="0"/>
        <w:spacing w:after="0"/>
        <w:ind w:left="900" w:hanging="540"/>
        <w:rPr>
          <w:rFonts w:cs="BookAntiqua"/>
        </w:rPr>
      </w:pPr>
      <w:r>
        <w:rPr>
          <w:rFonts w:cs="BookAntiqua"/>
        </w:rPr>
        <w:t>The standard error of the daily average SE(</w:t>
      </w:r>
      <m:oMath>
        <m:acc>
          <m:accPr>
            <m:chr m:val="̅"/>
            <m:ctrlPr>
              <w:rPr>
                <w:rFonts w:ascii="Cambria Math" w:hAnsi="Cambria Math" w:cs="BookAntiqua"/>
                <w:i/>
              </w:rPr>
            </m:ctrlPr>
          </m:accPr>
          <m:e>
            <m:r>
              <m:rPr/>
              <w:rPr>
                <w:rFonts w:ascii="Cambria Math" w:hAnsi="Cambria Math" w:cs="BookAntiqua"/>
              </w:rPr>
              <m:t>x</m:t>
            </m:r>
            <m:ctrlPr>
              <w:rPr>
                <w:rFonts w:ascii="Cambria Math" w:hAnsi="Cambria Math" w:cs="BookAntiqua"/>
                <w:i/>
              </w:rPr>
            </m:ctrlPr>
          </m:e>
        </m:acc>
      </m:oMath>
      <w:r>
        <w:rPr>
          <w:rFonts w:cs="BookAntiqua"/>
        </w:rPr>
        <w:t>) = 1.</w:t>
      </w:r>
    </w:p>
    <w:p>
      <w:pPr>
        <w:pStyle w:val="8"/>
        <w:numPr>
          <w:ilvl w:val="0"/>
          <w:numId w:val="0"/>
        </w:numPr>
        <w:autoSpaceDE w:val="0"/>
        <w:autoSpaceDN w:val="0"/>
        <w:adjustRightInd w:val="0"/>
        <w:spacing w:after="0"/>
        <w:ind w:left="360" w:leftChars="0"/>
        <w:rPr>
          <w:rFonts w:cs="Times New Roman"/>
        </w:rPr>
      </w:pPr>
      <w:r>
        <w:rPr>
          <w:rFonts w:hint="default" w:cs="BookAntiqua"/>
          <w:highlight w:val="green"/>
          <w:lang w:val="en-US"/>
        </w:rPr>
        <w:t>Ans:</w:t>
      </w:r>
      <w:r>
        <w:rPr>
          <w:rFonts w:hint="default" w:cs="BookAntiqua"/>
          <w:color w:val="00B050"/>
          <w:lang w:val="en-US"/>
        </w:rPr>
        <w:t xml:space="preserve"> True as SE = SD/sqrt(n) = 5/sqrt(25) = 1</w:t>
      </w:r>
    </w:p>
    <w:p>
      <w:pPr>
        <w:spacing w:after="0"/>
        <w:rPr>
          <w:rFonts w:cs="Times New Roman"/>
        </w:rPr>
      </w:pPr>
    </w:p>
    <w:p>
      <w:pPr>
        <w:spacing w:after="0"/>
        <w:rPr>
          <w:rFonts w:cs="Times New Roman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Auditors at a small community bank randomly sample 100 withdrawal transactions made during the week at an ATM machine located near the bank’s main branch. Over the past 2 years, the average withdrawal amount has been $50 with a standard deviation of $40. Since audit investigations are typically expensive, the auditors decide to not initiate further investigations if the mean transaction amount of the sample is between $45 and $55. What is the probability that in any given week, there will be an investigation?</w:t>
      </w:r>
    </w:p>
    <w:p>
      <w:pPr>
        <w:autoSpaceDE w:val="0"/>
        <w:autoSpaceDN w:val="0"/>
        <w:adjustRightInd w:val="0"/>
        <w:spacing w:after="0"/>
        <w:ind w:left="360"/>
        <w:rPr>
          <w:rFonts w:cs="BookAntiqua"/>
        </w:rPr>
      </w:pPr>
    </w:p>
    <w:p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1.25%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2.5%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10.55%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  <w:highlight w:val="green"/>
        </w:rPr>
      </w:pPr>
      <w:r>
        <w:rPr>
          <w:rFonts w:cs="BookAntiqua"/>
          <w:highlight w:val="green"/>
        </w:rPr>
        <w:t>21.1%</w:t>
      </w:r>
    </w:p>
    <w:p>
      <w:pPr>
        <w:numPr>
          <w:ilvl w:val="0"/>
          <w:numId w:val="4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50%</w:t>
      </w:r>
    </w:p>
    <w:p>
      <w:pPr>
        <w:autoSpaceDE w:val="0"/>
        <w:autoSpaceDN w:val="0"/>
        <w:adjustRightInd w:val="0"/>
        <w:spacing w:after="0"/>
        <w:rPr>
          <w:rFonts w:cs="BookAntiqua"/>
        </w:rPr>
      </w:pPr>
    </w:p>
    <w:p>
      <w:pPr>
        <w:autoSpaceDE w:val="0"/>
        <w:autoSpaceDN w:val="0"/>
        <w:adjustRightInd w:val="0"/>
        <w:spacing w:after="0"/>
        <w:jc w:val="both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Ans: given n = 100 </w:t>
      </w:r>
    </w:p>
    <w:p>
      <w:pPr>
        <w:autoSpaceDE w:val="0"/>
        <w:autoSpaceDN w:val="0"/>
        <w:adjustRightInd w:val="0"/>
        <w:spacing w:after="0"/>
        <w:jc w:val="both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                  Mu = $50  SD =$40</w:t>
      </w:r>
    </w:p>
    <w:p>
      <w:pPr>
        <w:autoSpaceDE w:val="0"/>
        <w:autoSpaceDN w:val="0"/>
        <w:adjustRightInd w:val="0"/>
        <w:spacing w:after="0"/>
        <w:ind w:firstLine="990" w:firstLineChars="450"/>
        <w:jc w:val="both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Sandard Error SE = SD/sqrt(n) = 40/sqrt(100) = 4</w:t>
      </w:r>
    </w:p>
    <w:p>
      <w:pPr>
        <w:pStyle w:val="5"/>
        <w:keepNext w:val="0"/>
        <w:keepLines w:val="0"/>
        <w:widowControl/>
        <w:suppressLineNumbers w:val="0"/>
        <w:ind w:firstLine="550" w:firstLineChars="250"/>
        <w:jc w:val="both"/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P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(45&lt;x&lt;55) : in python probability can be </w:t>
      </w:r>
      <w:r>
        <w:rPr>
          <w:rFonts w:hint="default" w:eastAsia="Helvetica" w:cs="Helvetica" w:asciiTheme="minorAscii" w:hAnsiTheme="minorAscii"/>
          <w:i w:val="0"/>
          <w:iCs w:val="0"/>
          <w:color w:val="000000"/>
          <w:spacing w:val="0"/>
          <w:sz w:val="22"/>
          <w:szCs w:val="22"/>
          <w:shd w:val="clear" w:fill="FFFFFF"/>
          <w:lang w:val="en-US"/>
        </w:rPr>
        <w:t>calculated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using stats.norm.cdf(x,mu,SE)</w:t>
      </w:r>
    </w:p>
    <w:p>
      <w:pPr>
        <w:pStyle w:val="5"/>
        <w:keepNext w:val="0"/>
        <w:keepLines w:val="0"/>
        <w:widowControl/>
        <w:suppressLineNumbers w:val="0"/>
        <w:ind w:firstLine="550" w:firstLineChars="250"/>
        <w:jc w:val="both"/>
        <w:rPr>
          <w:rFonts w:hint="default" w:asciiTheme="minorAscii" w:hAnsiTheme="minorAscii"/>
          <w:color w:val="00B050"/>
          <w:sz w:val="22"/>
          <w:szCs w:val="22"/>
        </w:rPr>
      </w:pPr>
      <w:r>
        <w:rPr>
          <w:rFonts w:hint="default" w:asciiTheme="minorAscii" w:hAnsiTheme="minorAscii"/>
          <w:color w:val="00B050"/>
          <w:sz w:val="22"/>
          <w:szCs w:val="22"/>
        </w:rPr>
        <w:t>probability of the mean transaction amount of sample mean in b/w 45, 55 is: 0.7887</w:t>
      </w:r>
    </w:p>
    <w:p>
      <w:pPr>
        <w:pStyle w:val="5"/>
        <w:keepNext w:val="0"/>
        <w:keepLines w:val="0"/>
        <w:widowControl/>
        <w:suppressLineNumbers w:val="0"/>
        <w:ind w:firstLine="550" w:firstLineChars="250"/>
        <w:jc w:val="both"/>
        <w:rPr>
          <w:rFonts w:hint="default" w:asciiTheme="minorAscii" w:hAnsiTheme="minorAscii"/>
          <w:color w:val="00B050"/>
          <w:sz w:val="22"/>
          <w:szCs w:val="22"/>
          <w:lang w:val="en-US"/>
        </w:rPr>
      </w:pP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>Probability of the mean transaction amount of sample mean not in b/w 45,55 is: 1- 0.7887</w:t>
      </w:r>
    </w:p>
    <w:p>
      <w:pPr>
        <w:pStyle w:val="5"/>
        <w:keepNext w:val="0"/>
        <w:keepLines w:val="0"/>
        <w:widowControl/>
        <w:suppressLineNumbers w:val="0"/>
        <w:ind w:firstLine="550" w:firstLineChars="250"/>
        <w:jc w:val="both"/>
        <w:rPr>
          <w:rFonts w:hint="default" w:asciiTheme="minorAscii" w:hAnsiTheme="minorAscii"/>
          <w:color w:val="00B050"/>
          <w:sz w:val="22"/>
          <w:szCs w:val="22"/>
          <w:lang w:val="en-US"/>
        </w:rPr>
      </w:pPr>
      <w:r>
        <w:rPr>
          <w:rFonts w:hint="default" w:asciiTheme="minorAscii" w:hAnsiTheme="minorAscii"/>
          <w:color w:val="00B050"/>
          <w:sz w:val="22"/>
          <w:szCs w:val="22"/>
          <w:lang w:val="en-US"/>
        </w:rPr>
        <w:t xml:space="preserve"> = 0.2113 = 21.13%</w:t>
      </w:r>
    </w:p>
    <w:p>
      <w:pPr>
        <w:pStyle w:val="6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20" w:afterAutospacing="0" w:line="360" w:lineRule="atLeast"/>
        <w:ind w:right="0" w:firstLine="550" w:firstLineChars="250"/>
        <w:rPr>
          <w:rFonts w:hint="default" w:eastAsia="Helvetica" w:cs="Helvetica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FFFFF"/>
          <w:lang w:val="en-US"/>
        </w:rPr>
      </w:pPr>
      <w:r>
        <w:rPr>
          <w:rFonts w:hint="default" w:eastAsia="Helvetica" w:cs="Helvetica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FFFFF"/>
          <w:lang w:val="en-US"/>
        </w:rPr>
        <w:t xml:space="preserve">I.e  probability of </w:t>
      </w:r>
      <w:r>
        <w:rPr>
          <w:rFonts w:hint="default" w:eastAsia="Helvetica" w:cs="Helvetica" w:asciiTheme="minorAscii" w:hAnsiTheme="minorAscii"/>
          <w:i w:val="0"/>
          <w:iCs w:val="0"/>
          <w:color w:val="00B050"/>
          <w:spacing w:val="0"/>
          <w:sz w:val="22"/>
          <w:szCs w:val="22"/>
          <w:shd w:val="clear" w:fill="FFFFFF"/>
          <w:lang w:val="en-US"/>
        </w:rPr>
        <w:t>investigation</w:t>
      </w:r>
      <w:r>
        <w:rPr>
          <w:rFonts w:hint="default" w:eastAsia="Helvetica" w:cs="Helvetica" w:asciiTheme="minorAscii" w:hAnsiTheme="minorAscii"/>
          <w:i w:val="0"/>
          <w:iCs w:val="0"/>
          <w:caps w:val="0"/>
          <w:color w:val="00B050"/>
          <w:spacing w:val="0"/>
          <w:sz w:val="22"/>
          <w:szCs w:val="22"/>
          <w:shd w:val="clear" w:fill="FFFFFF"/>
          <w:lang w:val="en-US"/>
        </w:rPr>
        <w:t xml:space="preserve"> is 21.13%</w:t>
      </w:r>
    </w:p>
    <w:p>
      <w:pPr>
        <w:autoSpaceDE w:val="0"/>
        <w:autoSpaceDN w:val="0"/>
        <w:adjustRightInd w:val="0"/>
        <w:spacing w:after="0"/>
        <w:rPr>
          <w:rFonts w:hint="default" w:cs="BookAntiqua" w:asciiTheme="minorAscii" w:hAnsiTheme="minorAscii"/>
          <w:sz w:val="22"/>
          <w:szCs w:val="22"/>
          <w:lang w:val="en-US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 xml:space="preserve">The auditors from the above example would like to maintain the probability of investigation to 5%. Which of the following represents the minimum number transactions that they should sample if </w:t>
      </w:r>
      <w:bookmarkStart w:id="0" w:name="_GoBack"/>
      <w:bookmarkEnd w:id="0"/>
      <w:r>
        <w:rPr>
          <w:rFonts w:cs="BookAntiqua"/>
        </w:rPr>
        <w:t>they do not want to change the thresholds of 45 and 55? Assume that the sample statistics remain unchanged.</w:t>
      </w:r>
    </w:p>
    <w:p>
      <w:pPr>
        <w:autoSpaceDE w:val="0"/>
        <w:autoSpaceDN w:val="0"/>
        <w:adjustRightInd w:val="0"/>
        <w:spacing w:after="0"/>
        <w:rPr>
          <w:rFonts w:cs="BookAntiqua"/>
        </w:rPr>
      </w:pPr>
    </w:p>
    <w:p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144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150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196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  <w:highlight w:val="green"/>
        </w:rPr>
      </w:pPr>
      <w:r>
        <w:rPr>
          <w:rFonts w:cs="BookAntiqua"/>
          <w:highlight w:val="green"/>
        </w:rPr>
        <w:t>250</w:t>
      </w:r>
    </w:p>
    <w:p>
      <w:pPr>
        <w:numPr>
          <w:ilvl w:val="0"/>
          <w:numId w:val="5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Not enough information</w:t>
      </w:r>
    </w:p>
    <w:p>
      <w:pPr>
        <w:autoSpaceDE w:val="0"/>
        <w:autoSpaceDN w:val="0"/>
        <w:adjustRightInd w:val="0"/>
        <w:spacing w:after="0"/>
        <w:rPr>
          <w:rFonts w:hint="default" w:cs="BookAntiqua"/>
          <w:highlight w:val="green"/>
          <w:lang w:val="en-US"/>
        </w:rPr>
      </w:pPr>
      <w:r>
        <w:rPr>
          <w:rFonts w:hint="default" w:cs="BookAntiqua"/>
          <w:highlight w:val="green"/>
          <w:lang w:val="en-US"/>
        </w:rPr>
        <w:t>Ans:</w:t>
      </w:r>
    </w:p>
    <w:p>
      <w:p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As we know mu = 50 SD = 40 , standard error changes when the no of transactions changes</w:t>
      </w:r>
    </w:p>
    <w:p>
      <w:p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Using trial and error method let us assume</w:t>
      </w:r>
    </w:p>
    <w:p>
      <w:pPr>
        <w:numPr>
          <w:ilvl w:val="0"/>
          <w:numId w:val="6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n = 144, SE = 40/sqrt(144) = 3.3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    P(45&lt;x&lt;55) = 87.03%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firstLine="220" w:firstLineChars="10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probability of investigation = 100- p(45&lt;x&lt;55) = 12.97 as it is greater than 5 n cannot be 144.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2  .n = 150, SE = 40/sqrt(144) = 3.3 (nearly)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    P(45&lt;x&lt;55) = 87.03%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firstLine="220" w:firstLineChars="10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probability of investigation = 100- p(45&lt;x&lt;55) = 12.97 as it is greater than 5 n cannot be 150.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firstLine="220" w:firstLineChars="100"/>
        <w:rPr>
          <w:rFonts w:hint="default" w:cs="BookAntiqua"/>
          <w:lang w:val="en-US"/>
        </w:rPr>
      </w:pP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3. n = 196, SE = 40/sqrt(144) = 2.8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    P(45&lt;x&lt;55) =92.59%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firstLine="220" w:firstLineChars="10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probability of investigation = 100- p(45&lt;x&lt;55) = 7.41 as it is greater than 5 n cannot be 150.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Chars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4.n = 250, SE = 40/sqrt(144) = 2.5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 xml:space="preserve">     P(45&lt;x&lt;55) =95.45% 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firstLine="110" w:firstLineChars="50"/>
        <w:rPr>
          <w:rFonts w:hint="default" w:cs="BookAntiqua"/>
          <w:highlight w:val="green"/>
          <w:lang w:val="en-US"/>
        </w:rPr>
      </w:pPr>
      <w:r>
        <w:rPr>
          <w:rFonts w:hint="default" w:cs="BookAntiqua"/>
          <w:highlight w:val="green"/>
          <w:lang w:val="en-US"/>
        </w:rPr>
        <w:t>probability of investigation = 100- p(45&lt;x&lt;55) = 4.5% as it is less than and nearly  5 n we can perform 250 experiments to maintain  probability of investigation to 5%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rPr>
          <w:rFonts w:hint="default" w:cs="BookAntiqua"/>
          <w:lang w:val="en-US"/>
        </w:rPr>
      </w:pPr>
    </w:p>
    <w:p>
      <w:pPr>
        <w:autoSpaceDE w:val="0"/>
        <w:autoSpaceDN w:val="0"/>
        <w:adjustRightInd w:val="0"/>
        <w:spacing w:after="0"/>
        <w:rPr>
          <w:rFonts w:cs="BookAntiqua"/>
        </w:rPr>
      </w:pPr>
    </w:p>
    <w:p>
      <w:pPr>
        <w:numPr>
          <w:ilvl w:val="0"/>
          <w:numId w:val="1"/>
        </w:numPr>
        <w:autoSpaceDE w:val="0"/>
        <w:autoSpaceDN w:val="0"/>
        <w:adjustRightInd w:val="0"/>
        <w:spacing w:after="0"/>
        <w:ind w:left="360"/>
        <w:rPr>
          <w:rFonts w:cs="BookAntiqua"/>
        </w:rPr>
      </w:pPr>
      <w:r>
        <w:rPr>
          <w:rFonts w:cs="BookAntiqua"/>
        </w:rPr>
        <w:t>An educational startup that helps MBA aspirants write their essays is targeting individuals who have taken GMAT in 2012 and have expressed interest in applying to FT top 20 b-schools. There are 40000 such individuals with an average GMAT score of 720 and a standard deviation of 120. The scores are distributed between 650 and 790 with a very long and thin tail towards the higher end resulting in substantial skewness. Which of the following is likely to be true for randomly chosen samples of aspirants?</w:t>
      </w:r>
    </w:p>
    <w:p>
      <w:pPr>
        <w:autoSpaceDE w:val="0"/>
        <w:autoSpaceDN w:val="0"/>
        <w:adjustRightInd w:val="0"/>
        <w:spacing w:after="0"/>
        <w:ind w:left="720"/>
        <w:rPr>
          <w:rFonts w:hint="default" w:cs="BookAntiqua"/>
          <w:lang w:val="en-US"/>
        </w:rPr>
      </w:pPr>
    </w:p>
    <w:p>
      <w:pPr>
        <w:autoSpaceDE w:val="0"/>
        <w:autoSpaceDN w:val="0"/>
        <w:adjustRightInd w:val="0"/>
        <w:spacing w:after="0"/>
        <w:ind w:left="720"/>
        <w:rPr>
          <w:rFonts w:hint="default" w:cs="BookAntiqua"/>
          <w:lang w:val="en-US"/>
        </w:rPr>
      </w:pPr>
      <w:r>
        <w:rPr>
          <w:rFonts w:hint="default" w:cs="BookAntiqua"/>
          <w:lang w:val="en-US"/>
        </w:rPr>
        <w:t>Ans: given mu = 720,  SD = 120, SEM = SD/sqrt(n) =0.6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standard deviation of the scores within any sample will be 120.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cs="BookAntiqua"/>
          <w:lang w:val="en-US"/>
        </w:rPr>
      </w:pPr>
      <w:r>
        <w:rPr>
          <w:rFonts w:hint="default" w:cs="BookAntiqua"/>
          <w:highlight w:val="green"/>
          <w:lang w:val="en-US"/>
        </w:rPr>
        <w:t>Ans:</w:t>
      </w:r>
      <w:r>
        <w:rPr>
          <w:rFonts w:hint="default" w:cs="BookAntiqua"/>
          <w:lang w:val="en-US"/>
        </w:rPr>
        <w:t xml:space="preserve"> False, Standard deviation of the scores within any sample will not be 120 as we don’t know the exact sample size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standard deviation of the mean of across several samples will be 120.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cs="BookAntiqua"/>
          <w:lang w:val="en-US"/>
        </w:rPr>
      </w:pPr>
      <w:r>
        <w:rPr>
          <w:rFonts w:hint="default" w:cs="BookAntiqua"/>
          <w:highlight w:val="green"/>
          <w:lang w:val="en-US"/>
        </w:rPr>
        <w:t>Ans:</w:t>
      </w:r>
      <w:r>
        <w:rPr>
          <w:rFonts w:hint="default" w:cs="BookAntiqua"/>
          <w:lang w:val="en-US"/>
        </w:rPr>
        <w:t>False,  SD of mean across several samples will not be 120, it will be probably around 0.6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mean score in any sample will be 720.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cs="BookAntiqua"/>
          <w:lang w:val="en-US"/>
        </w:rPr>
      </w:pPr>
      <w:r>
        <w:rPr>
          <w:rFonts w:hint="default" w:cs="BookAntiqua"/>
          <w:highlight w:val="green"/>
          <w:lang w:val="en-US"/>
        </w:rPr>
        <w:t>Ans:</w:t>
      </w:r>
      <w:r>
        <w:rPr>
          <w:rFonts w:hint="default" w:cs="BookAntiqua"/>
          <w:lang w:val="en-US"/>
        </w:rPr>
        <w:t xml:space="preserve"> False ,  It totally depends on the sample size and the data available in particular sample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average of the mean across several samples will be 720.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cs="BookAntiqua"/>
        </w:rPr>
      </w:pPr>
      <w:r>
        <w:rPr>
          <w:rFonts w:hint="default" w:cs="BookAntiqua"/>
          <w:highlight w:val="green"/>
          <w:lang w:val="en-US"/>
        </w:rPr>
        <w:t>Ans:</w:t>
      </w:r>
      <w:r>
        <w:rPr>
          <w:rFonts w:hint="default" w:cs="BookAntiqua"/>
          <w:lang w:val="en-US"/>
        </w:rPr>
        <w:t>It can be true but we should know the mean of all the samples within that sample size</w:t>
      </w:r>
    </w:p>
    <w:p>
      <w:pPr>
        <w:numPr>
          <w:ilvl w:val="0"/>
          <w:numId w:val="7"/>
        </w:numPr>
        <w:autoSpaceDE w:val="0"/>
        <w:autoSpaceDN w:val="0"/>
        <w:adjustRightInd w:val="0"/>
        <w:spacing w:after="0"/>
        <w:rPr>
          <w:rFonts w:cs="BookAntiqua"/>
        </w:rPr>
      </w:pPr>
      <w:r>
        <w:rPr>
          <w:rFonts w:cs="BookAntiqua"/>
        </w:rPr>
        <w:t>The standard deviation of the mean across several samples will be 0.60</w:t>
      </w:r>
    </w:p>
    <w:p>
      <w:pPr>
        <w:numPr>
          <w:ilvl w:val="0"/>
          <w:numId w:val="0"/>
        </w:numPr>
        <w:autoSpaceDE w:val="0"/>
        <w:autoSpaceDN w:val="0"/>
        <w:adjustRightInd w:val="0"/>
        <w:spacing w:after="0"/>
        <w:ind w:left="720" w:leftChars="0"/>
        <w:rPr>
          <w:rFonts w:hint="default" w:cs="BookAntiqua"/>
          <w:lang w:val="en-US"/>
        </w:rPr>
      </w:pPr>
      <w:r>
        <w:rPr>
          <w:rFonts w:hint="default" w:cs="BookAntiqua"/>
          <w:highlight w:val="green"/>
          <w:lang w:val="en-US"/>
        </w:rPr>
        <w:t>Ans</w:t>
      </w:r>
      <w:r>
        <w:rPr>
          <w:rFonts w:hint="default" w:cs="BookAntiqua"/>
          <w:lang w:val="en-US"/>
        </w:rPr>
        <w:t>:True - As the standard error is 0.6 and the standard error is known as the standard deviation of sample mean</w:t>
      </w: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BookAntiqua">
    <w:altName w:val="Times New Roman"/>
    <w:panose1 w:val="00000000000000000000"/>
    <w:charset w:val="00"/>
    <w:family w:val="swiss"/>
    <w:pitch w:val="default"/>
    <w:sig w:usb0="00000000" w:usb1="00000000" w:usb2="00000010" w:usb3="00000000" w:csb0="00020001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D1888B8"/>
    <w:multiLevelType w:val="singleLevel"/>
    <w:tmpl w:val="FD1888B8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0902416C"/>
    <w:multiLevelType w:val="multilevel"/>
    <w:tmpl w:val="0902416C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0C3B54EE"/>
    <w:multiLevelType w:val="multilevel"/>
    <w:tmpl w:val="0C3B54EE"/>
    <w:lvl w:ilvl="0" w:tentative="0">
      <w:start w:val="1"/>
      <w:numFmt w:val="upperRoman"/>
      <w:lvlText w:val="%1."/>
      <w:lvlJc w:val="left"/>
      <w:pPr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29BF4BDC"/>
    <w:multiLevelType w:val="multilevel"/>
    <w:tmpl w:val="29BF4BDC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>
    <w:nsid w:val="323E32C6"/>
    <w:multiLevelType w:val="multilevel"/>
    <w:tmpl w:val="323E32C6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>
    <w:nsid w:val="4A50144A"/>
    <w:multiLevelType w:val="multilevel"/>
    <w:tmpl w:val="4A50144A"/>
    <w:lvl w:ilvl="0" w:tentative="0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A875B02"/>
    <w:multiLevelType w:val="multilevel"/>
    <w:tmpl w:val="4A875B02"/>
    <w:lvl w:ilvl="0" w:tentative="0">
      <w:start w:val="1"/>
      <w:numFmt w:val="upperLetter"/>
      <w:lvlText w:val="%1."/>
      <w:lvlJc w:val="left"/>
      <w:pPr>
        <w:ind w:left="108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5"/>
  </w:num>
  <w:num w:numId="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4C7586"/>
    <w:rsid w:val="00160A95"/>
    <w:rsid w:val="002C3682"/>
    <w:rsid w:val="004C7586"/>
    <w:rsid w:val="00505D35"/>
    <w:rsid w:val="098C1E46"/>
    <w:rsid w:val="32B62FEF"/>
    <w:rsid w:val="6255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EastAsia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HTML Preformatted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6">
    <w:name w:val="Normal (Web)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8">
    <w:name w:val="List Paragraph"/>
    <w:basedOn w:val="1"/>
    <w:qFormat/>
    <w:uiPriority w:val="34"/>
    <w:pPr>
      <w:ind w:left="720"/>
      <w:contextualSpacing/>
    </w:pPr>
  </w:style>
  <w:style w:type="character" w:styleId="9">
    <w:name w:val="Placeholder Text"/>
    <w:basedOn w:val="2"/>
    <w:semiHidden/>
    <w:qFormat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415</Words>
  <Characters>2366</Characters>
  <Lines>19</Lines>
  <Paragraphs>5</Paragraphs>
  <TotalTime>45</TotalTime>
  <ScaleCrop>false</ScaleCrop>
  <LinksUpToDate>false</LinksUpToDate>
  <CharactersWithSpaces>2776</CharactersWithSpaces>
  <Application>WPS Office_11.2.0.10017_F1E327BC-269C-435d-A152-05C5408002CA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2013-09-23T10:20:00Z</dcterms:created>
  <dc:creator>30644</dc:creator>
  <cp:lastModifiedBy>Anusha polishetti</cp:lastModifiedBy>
  <dcterms:modified xsi:type="dcterms:W3CDTF">2021-03-16T09:20:16Z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1033-11.2.0.10017</vt:lpwstr>
  </property>
</Properties>
</file>