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6E949D4" w14:textId="77777777" w:rsidR="002172FB" w:rsidRDefault="006E56B0">
      <w:pPr>
        <w:spacing w:line="0" w:lineRule="atLeast"/>
        <w:rPr>
          <w:rFonts w:ascii="Arial" w:eastAsia="Arial" w:hAnsi="Arial"/>
          <w:color w:val="FFFFFF"/>
          <w:sz w:val="25"/>
        </w:rPr>
      </w:pPr>
      <w:bookmarkStart w:id="0" w:name="page1"/>
      <w:bookmarkEnd w:id="0"/>
      <w:r>
        <w:pict w14:anchorId="4FB8FE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alt="" style="position:absolute;margin-left:0;margin-top:0;width:612pt;height:175.9pt;z-index:-4;mso-wrap-edited:f;mso-width-percent:0;mso-height-percent:0;mso-position-horizontal-relative:page;mso-position-vertical-relative:page;mso-width-percent:0;mso-height-percent:0">
            <v:imagedata r:id="rId8" o:title=""/>
            <w10:wrap anchorx="page" anchory="page"/>
          </v:shape>
        </w:pict>
      </w:r>
      <w:r w:rsidR="002172FB">
        <w:rPr>
          <w:rFonts w:ascii="Arial" w:eastAsia="Arial" w:hAnsi="Arial"/>
          <w:b/>
          <w:color w:val="FFFFFF"/>
          <w:sz w:val="44"/>
        </w:rPr>
        <w:t xml:space="preserve">Ironstream </w:t>
      </w:r>
      <w:r w:rsidR="002172FB">
        <w:rPr>
          <w:rFonts w:ascii="Arial" w:eastAsia="Arial" w:hAnsi="Arial"/>
          <w:color w:val="FFFFFF"/>
          <w:sz w:val="44"/>
        </w:rPr>
        <w:t>for Splunk</w:t>
      </w:r>
      <w:r w:rsidR="002172FB">
        <w:rPr>
          <w:rFonts w:ascii="Arial" w:eastAsia="Arial" w:hAnsi="Arial"/>
          <w:color w:val="FFFFFF"/>
          <w:sz w:val="25"/>
        </w:rPr>
        <w:t>®</w:t>
      </w:r>
    </w:p>
    <w:p w14:paraId="2EC21B9D" w14:textId="77777777" w:rsidR="002172FB" w:rsidRDefault="002172FB">
      <w:pPr>
        <w:spacing w:line="100" w:lineRule="exact"/>
        <w:rPr>
          <w:rFonts w:ascii="Times New Roman" w:eastAsia="Times New Roman" w:hAnsi="Times New Roman"/>
          <w:sz w:val="24"/>
        </w:rPr>
      </w:pPr>
    </w:p>
    <w:p w14:paraId="67AA2874" w14:textId="77777777" w:rsidR="002172FB" w:rsidRDefault="002172FB">
      <w:pPr>
        <w:spacing w:line="0" w:lineRule="atLeast"/>
        <w:rPr>
          <w:rFonts w:ascii="Arial" w:eastAsia="Arial" w:hAnsi="Arial"/>
          <w:color w:val="FFFFFF"/>
          <w:sz w:val="18"/>
        </w:rPr>
      </w:pPr>
      <w:r>
        <w:rPr>
          <w:rFonts w:ascii="Arial" w:eastAsia="Arial" w:hAnsi="Arial"/>
          <w:color w:val="FFFFFF"/>
          <w:sz w:val="18"/>
        </w:rPr>
        <w:t>Integrating your critical security and operational machine</w:t>
      </w:r>
    </w:p>
    <w:p w14:paraId="05DEE2DB" w14:textId="77777777" w:rsidR="002172FB" w:rsidRDefault="002172FB">
      <w:pPr>
        <w:spacing w:line="9" w:lineRule="exact"/>
        <w:rPr>
          <w:rFonts w:ascii="Times New Roman" w:eastAsia="Times New Roman" w:hAnsi="Times New Roman"/>
          <w:sz w:val="24"/>
        </w:rPr>
      </w:pPr>
    </w:p>
    <w:p w14:paraId="52B19093" w14:textId="77777777" w:rsidR="002172FB" w:rsidRDefault="002172FB">
      <w:pPr>
        <w:spacing w:line="0" w:lineRule="atLeast"/>
        <w:rPr>
          <w:rFonts w:ascii="Arial" w:eastAsia="Arial" w:hAnsi="Arial"/>
          <w:color w:val="FFFFFF"/>
          <w:sz w:val="18"/>
        </w:rPr>
      </w:pPr>
      <w:r>
        <w:rPr>
          <w:rFonts w:ascii="Arial" w:eastAsia="Arial" w:hAnsi="Arial"/>
          <w:color w:val="FFFFFF"/>
          <w:sz w:val="18"/>
        </w:rPr>
        <w:t>data from IBM mainframe and IBM i systems into Splunk</w:t>
      </w:r>
    </w:p>
    <w:p w14:paraId="010426E8" w14:textId="77777777" w:rsidR="002172FB" w:rsidRDefault="002172FB">
      <w:pPr>
        <w:spacing w:line="9" w:lineRule="exact"/>
        <w:rPr>
          <w:rFonts w:ascii="Times New Roman" w:eastAsia="Times New Roman" w:hAnsi="Times New Roman"/>
          <w:sz w:val="24"/>
        </w:rPr>
      </w:pPr>
    </w:p>
    <w:p w14:paraId="17553B0C" w14:textId="77777777" w:rsidR="002172FB" w:rsidRDefault="002172FB">
      <w:pPr>
        <w:spacing w:line="0" w:lineRule="atLeast"/>
        <w:rPr>
          <w:rFonts w:ascii="Arial" w:eastAsia="Arial" w:hAnsi="Arial"/>
          <w:color w:val="FFFFFF"/>
          <w:sz w:val="18"/>
        </w:rPr>
      </w:pPr>
      <w:r>
        <w:rPr>
          <w:rFonts w:ascii="Arial" w:eastAsia="Arial" w:hAnsi="Arial"/>
          <w:color w:val="FFFFFF"/>
          <w:sz w:val="18"/>
        </w:rPr>
        <w:t>for a complete picture of your IT environment</w:t>
      </w:r>
    </w:p>
    <w:p w14:paraId="3BC6E7A5" w14:textId="77777777" w:rsidR="002172FB" w:rsidRDefault="002172FB">
      <w:pPr>
        <w:spacing w:line="0" w:lineRule="atLeast"/>
        <w:rPr>
          <w:rFonts w:ascii="Arial" w:eastAsia="Arial" w:hAnsi="Arial"/>
          <w:color w:val="FFFFFF"/>
          <w:sz w:val="18"/>
        </w:rPr>
        <w:sectPr w:rsidR="002172F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6838"/>
          <w:pgMar w:top="1238" w:right="780" w:bottom="0" w:left="800" w:header="0" w:footer="0" w:gutter="0"/>
          <w:cols w:space="0" w:equalWidth="0">
            <w:col w:w="10660"/>
          </w:cols>
          <w:docGrid w:linePitch="360"/>
        </w:sectPr>
      </w:pPr>
    </w:p>
    <w:p w14:paraId="58B17154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559782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A21099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63842A" w14:textId="28A2AFC8" w:rsidR="002172FB" w:rsidRDefault="00230555">
      <w:pPr>
        <w:spacing w:line="304" w:lineRule="auto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Ironstream was developed with Splunk to solve the challenge of making complex mainframe and IBM </w:t>
      </w:r>
      <w:r w:rsidR="001A7A19">
        <w:rPr>
          <w:rFonts w:ascii="Arial" w:eastAsia="Arial" w:hAnsi="Arial"/>
          <w:sz w:val="18"/>
        </w:rPr>
        <w:t>i</w:t>
      </w:r>
      <w:r>
        <w:rPr>
          <w:rFonts w:ascii="Arial" w:eastAsia="Arial" w:hAnsi="Arial"/>
          <w:sz w:val="18"/>
        </w:rPr>
        <w:t xml:space="preserve"> data available for true enterprise</w:t>
      </w:r>
      <w:r w:rsidR="0014457C">
        <w:rPr>
          <w:rFonts w:ascii="Arial" w:eastAsia="Arial" w:hAnsi="Arial"/>
          <w:sz w:val="18"/>
        </w:rPr>
        <w:t>-</w:t>
      </w:r>
      <w:r>
        <w:rPr>
          <w:rFonts w:ascii="Arial" w:eastAsia="Arial" w:hAnsi="Arial"/>
          <w:sz w:val="18"/>
        </w:rPr>
        <w:t xml:space="preserve">wide </w:t>
      </w:r>
      <w:r w:rsidR="00B1520C">
        <w:rPr>
          <w:rFonts w:ascii="Arial" w:eastAsia="Arial" w:hAnsi="Arial"/>
          <w:sz w:val="18"/>
        </w:rPr>
        <w:t>analytics.</w:t>
      </w:r>
      <w:r w:rsidR="002172FB">
        <w:rPr>
          <w:rFonts w:ascii="Arial" w:eastAsia="Arial" w:hAnsi="Arial"/>
          <w:sz w:val="18"/>
        </w:rPr>
        <w:t xml:space="preserve"> </w:t>
      </w:r>
      <w:r>
        <w:rPr>
          <w:rFonts w:ascii="Arial" w:eastAsia="Arial" w:hAnsi="Arial"/>
          <w:sz w:val="18"/>
        </w:rPr>
        <w:t>Splunk is the IT platform for monitoring, integrating, analyzing</w:t>
      </w:r>
      <w:r w:rsidR="00B1520C">
        <w:rPr>
          <w:rFonts w:ascii="Arial" w:eastAsia="Arial" w:hAnsi="Arial"/>
          <w:sz w:val="18"/>
        </w:rPr>
        <w:t xml:space="preserve">, </w:t>
      </w:r>
      <w:r>
        <w:rPr>
          <w:rFonts w:ascii="Arial" w:eastAsia="Arial" w:hAnsi="Arial"/>
          <w:sz w:val="18"/>
        </w:rPr>
        <w:t xml:space="preserve">and visualizing security data from across the enterprise. </w:t>
      </w:r>
      <w:r w:rsidR="00966163">
        <w:rPr>
          <w:rFonts w:ascii="Arial" w:eastAsia="Arial" w:hAnsi="Arial"/>
          <w:sz w:val="18"/>
        </w:rPr>
        <w:t>Ironstream for Splunk integrates critical secur</w:t>
      </w:r>
      <w:r w:rsidR="00DC07E5">
        <w:rPr>
          <w:rFonts w:ascii="Arial" w:eastAsia="Arial" w:hAnsi="Arial"/>
          <w:sz w:val="18"/>
        </w:rPr>
        <w:t xml:space="preserve">ity and operational machine data from IBM mainframe and IBM </w:t>
      </w:r>
      <w:r w:rsidR="007D48B5">
        <w:rPr>
          <w:rFonts w:ascii="Arial" w:eastAsia="Arial" w:hAnsi="Arial"/>
          <w:sz w:val="18"/>
        </w:rPr>
        <w:t xml:space="preserve">i </w:t>
      </w:r>
      <w:r w:rsidR="00DC07E5">
        <w:rPr>
          <w:rFonts w:ascii="Arial" w:eastAsia="Arial" w:hAnsi="Arial"/>
          <w:sz w:val="18"/>
        </w:rPr>
        <w:t>systems into Splunk for a complete picture of the IT environment</w:t>
      </w:r>
      <w:r w:rsidR="00FD4458">
        <w:rPr>
          <w:rFonts w:ascii="Arial" w:eastAsia="Arial" w:hAnsi="Arial"/>
          <w:sz w:val="18"/>
        </w:rPr>
        <w:t xml:space="preserve">. </w:t>
      </w:r>
      <w:r w:rsidR="00DC19BB">
        <w:rPr>
          <w:rFonts w:ascii="Arial" w:eastAsia="Arial" w:hAnsi="Arial"/>
          <w:sz w:val="18"/>
        </w:rPr>
        <w:t xml:space="preserve">It delivers real-time, total visibility to machine data without the need for redundant or specialized IBM mainframe or IBM </w:t>
      </w:r>
      <w:r w:rsidR="0014457C">
        <w:rPr>
          <w:rFonts w:ascii="Arial" w:eastAsia="Arial" w:hAnsi="Arial"/>
          <w:sz w:val="18"/>
        </w:rPr>
        <w:t>i</w:t>
      </w:r>
      <w:r w:rsidR="00DC19BB">
        <w:rPr>
          <w:rFonts w:ascii="Arial" w:eastAsia="Arial" w:hAnsi="Arial"/>
          <w:sz w:val="18"/>
        </w:rPr>
        <w:t xml:space="preserve"> expertise.</w:t>
      </w:r>
    </w:p>
    <w:p w14:paraId="08D21D26" w14:textId="77777777" w:rsidR="002172FB" w:rsidRDefault="006E56B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8"/>
        </w:rPr>
        <w:pict w14:anchorId="06182E5A">
          <v:shape id="_x0000_s1028" type="#_x0000_t75" alt="" style="position:absolute;margin-left:62.85pt;margin-top:62.3pt;width:162.5pt;height:60.1pt;z-index:-3;mso-wrap-edited:f;mso-width-percent:0;mso-height-percent:0;mso-width-percent:0;mso-height-percent:0">
            <v:imagedata r:id="rId15" o:title=""/>
          </v:shape>
        </w:pict>
      </w:r>
    </w:p>
    <w:p w14:paraId="7FB4DEC4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58D30C99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3972C1D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98428E7" w14:textId="77777777" w:rsidR="002172FB" w:rsidRDefault="00C53C4F">
      <w:pPr>
        <w:spacing w:line="304" w:lineRule="auto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Ironstream makes it </w:t>
      </w:r>
      <w:r w:rsidR="008C4E19">
        <w:rPr>
          <w:rFonts w:ascii="Arial" w:eastAsia="Arial" w:hAnsi="Arial"/>
          <w:sz w:val="18"/>
        </w:rPr>
        <w:t xml:space="preserve">simple to securely collect, transform and forward log data from traditional IBM systems to Splunk where its merged with machine data from across the IT </w:t>
      </w:r>
      <w:r w:rsidR="00C51AAA">
        <w:rPr>
          <w:rFonts w:ascii="Arial" w:eastAsia="Arial" w:hAnsi="Arial"/>
          <w:sz w:val="18"/>
        </w:rPr>
        <w:t>infrastructure</w:t>
      </w:r>
      <w:r w:rsidR="008C4E19">
        <w:rPr>
          <w:rFonts w:ascii="Arial" w:eastAsia="Arial" w:hAnsi="Arial"/>
          <w:sz w:val="18"/>
        </w:rPr>
        <w:t xml:space="preserve">. It is </w:t>
      </w:r>
      <w:r w:rsidR="002172FB">
        <w:rPr>
          <w:rFonts w:ascii="Arial" w:eastAsia="Arial" w:hAnsi="Arial"/>
          <w:sz w:val="18"/>
        </w:rPr>
        <w:t xml:space="preserve">the industry’s leading automatic forwarder of z/OS mainframe log data and IBM i machine data to Splunk Enterprise. </w:t>
      </w:r>
      <w:r w:rsidR="00C51AAA">
        <w:rPr>
          <w:rFonts w:ascii="Arial" w:eastAsia="Arial" w:hAnsi="Arial"/>
          <w:sz w:val="18"/>
        </w:rPr>
        <w:t xml:space="preserve">It </w:t>
      </w:r>
      <w:r w:rsidR="008C4E19">
        <w:rPr>
          <w:rFonts w:ascii="Arial" w:eastAsia="Arial" w:hAnsi="Arial"/>
          <w:sz w:val="18"/>
        </w:rPr>
        <w:t xml:space="preserve">seamlessly integrates all critical IBM mainframe and IBM </w:t>
      </w:r>
      <w:r w:rsidR="00C51AAA">
        <w:rPr>
          <w:rFonts w:ascii="Arial" w:eastAsia="Arial" w:hAnsi="Arial"/>
          <w:sz w:val="18"/>
        </w:rPr>
        <w:t xml:space="preserve">i </w:t>
      </w:r>
      <w:r w:rsidR="008C4E19">
        <w:rPr>
          <w:rFonts w:ascii="Arial" w:eastAsia="Arial" w:hAnsi="Arial"/>
          <w:sz w:val="18"/>
        </w:rPr>
        <w:t xml:space="preserve">data sources into Splunk to support strategic enterprise-wide initiatives </w:t>
      </w:r>
      <w:r w:rsidR="00C51AAA">
        <w:rPr>
          <w:rFonts w:ascii="Arial" w:eastAsia="Arial" w:hAnsi="Arial"/>
          <w:sz w:val="18"/>
        </w:rPr>
        <w:t>such as</w:t>
      </w:r>
      <w:r w:rsidR="008C4E19">
        <w:rPr>
          <w:rFonts w:ascii="Arial" w:eastAsia="Arial" w:hAnsi="Arial"/>
          <w:sz w:val="18"/>
        </w:rPr>
        <w:t xml:space="preserve"> Security Information and Event Management</w:t>
      </w:r>
      <w:r w:rsidR="00C51AAA">
        <w:rPr>
          <w:rFonts w:ascii="Arial" w:eastAsia="Arial" w:hAnsi="Arial"/>
          <w:sz w:val="18"/>
        </w:rPr>
        <w:t xml:space="preserve"> </w:t>
      </w:r>
      <w:r w:rsidR="008C4E19">
        <w:rPr>
          <w:rFonts w:ascii="Arial" w:eastAsia="Arial" w:hAnsi="Arial"/>
          <w:sz w:val="18"/>
        </w:rPr>
        <w:t>(SIEM), IT Operations Analytics</w:t>
      </w:r>
      <w:r w:rsidR="00C51AAA">
        <w:rPr>
          <w:rFonts w:ascii="Arial" w:eastAsia="Arial" w:hAnsi="Arial"/>
          <w:sz w:val="18"/>
        </w:rPr>
        <w:t xml:space="preserve"> </w:t>
      </w:r>
      <w:r w:rsidR="008C4E19">
        <w:rPr>
          <w:rFonts w:ascii="Arial" w:eastAsia="Arial" w:hAnsi="Arial"/>
          <w:sz w:val="18"/>
        </w:rPr>
        <w:t xml:space="preserve">(ITOA), </w:t>
      </w:r>
      <w:r w:rsidR="00C51AAA">
        <w:rPr>
          <w:rFonts w:ascii="Arial" w:eastAsia="Arial" w:hAnsi="Arial"/>
          <w:sz w:val="18"/>
        </w:rPr>
        <w:t>and IT Service Intelligence (ITSI).</w:t>
      </w:r>
    </w:p>
    <w:p w14:paraId="6E2213FC" w14:textId="77777777" w:rsidR="002172FB" w:rsidRDefault="002172FB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C65A43B" w14:textId="77777777" w:rsidR="002172FB" w:rsidRDefault="002172FB">
      <w:pPr>
        <w:spacing w:line="20" w:lineRule="exact"/>
        <w:rPr>
          <w:rFonts w:ascii="Times New Roman" w:eastAsia="Times New Roman" w:hAnsi="Times New Roman"/>
          <w:sz w:val="24"/>
        </w:rPr>
        <w:sectPr w:rsidR="002172FB">
          <w:type w:val="continuous"/>
          <w:pgSz w:w="12240" w:h="16838"/>
          <w:pgMar w:top="1238" w:right="780" w:bottom="0" w:left="800" w:header="0" w:footer="0" w:gutter="0"/>
          <w:cols w:num="2" w:space="0" w:equalWidth="0">
            <w:col w:w="5000" w:space="600"/>
            <w:col w:w="5060"/>
          </w:cols>
          <w:docGrid w:linePitch="360"/>
        </w:sectPr>
      </w:pPr>
    </w:p>
    <w:p w14:paraId="525A44AC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096122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E04FB6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5EC46C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A22BC4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75D172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EF0FB0C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DBE647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1E39C9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9BC7EF" w14:textId="77777777" w:rsidR="002172FB" w:rsidRDefault="006E56B0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18"/>
        </w:rPr>
        <w:pict w14:anchorId="4B1EFDDD">
          <v:shape id="_x0000_s1027" type="#_x0000_t75" alt="" style="position:absolute;margin-left:62.1pt;margin-top:5pt;width:456.6pt;height:293.3pt;z-index:-2;mso-wrap-edited:f;mso-width-percent:0;mso-height-percent:0;mso-width-percent:0;mso-height-percent:0">
            <v:imagedata r:id="rId16" o:title=""/>
          </v:shape>
        </w:pict>
      </w:r>
    </w:p>
    <w:p w14:paraId="0551F5AB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44A4C6E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62F15A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D1D7EB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55447C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313B77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1C305CA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C2141E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8A6E6E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BB6042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96885D8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9E355FC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6665F5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6257CD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CF073F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55E96F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E91E9E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485E53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578892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1F0A9A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9E68D50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C807F6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E6304C" w14:textId="77777777" w:rsidR="002172FB" w:rsidRDefault="002172F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9D7BBD5" w14:textId="77777777" w:rsidR="002172FB" w:rsidRDefault="002172FB">
      <w:pPr>
        <w:spacing w:line="230" w:lineRule="exact"/>
        <w:rPr>
          <w:rFonts w:ascii="Times New Roman" w:eastAsia="Times New Roman" w:hAnsi="Times New Roman"/>
          <w:sz w:val="24"/>
        </w:rPr>
      </w:pPr>
    </w:p>
    <w:p w14:paraId="644DCD9E" w14:textId="77777777" w:rsidR="00E33B96" w:rsidRDefault="00E33B96">
      <w:pPr>
        <w:spacing w:line="230" w:lineRule="exact"/>
        <w:rPr>
          <w:rFonts w:ascii="Times New Roman" w:eastAsia="Times New Roman" w:hAnsi="Times New Roman"/>
          <w:sz w:val="24"/>
        </w:rPr>
      </w:pPr>
    </w:p>
    <w:p w14:paraId="17D60E54" w14:textId="77777777" w:rsidR="00E33B96" w:rsidRDefault="00E33B96">
      <w:pPr>
        <w:spacing w:line="230" w:lineRule="exact"/>
        <w:rPr>
          <w:rFonts w:ascii="Times New Roman" w:eastAsia="Times New Roman" w:hAnsi="Times New Roman"/>
          <w:sz w:val="24"/>
        </w:rPr>
      </w:pPr>
    </w:p>
    <w:p w14:paraId="09F05D86" w14:textId="77777777" w:rsidR="002172FB" w:rsidRDefault="002172FB">
      <w:pPr>
        <w:spacing w:line="20" w:lineRule="exact"/>
        <w:rPr>
          <w:rFonts w:ascii="Times New Roman" w:eastAsia="Times New Roman" w:hAnsi="Times New Roman"/>
          <w:sz w:val="24"/>
        </w:rPr>
        <w:sectPr w:rsidR="002172FB">
          <w:type w:val="continuous"/>
          <w:pgSz w:w="12240" w:h="16838"/>
          <w:pgMar w:top="1238" w:right="780" w:bottom="0" w:left="800" w:header="0" w:footer="0" w:gutter="0"/>
          <w:cols w:space="0" w:equalWidth="0">
            <w:col w:w="10660"/>
          </w:cols>
          <w:docGrid w:linePitch="360"/>
        </w:sectPr>
      </w:pPr>
    </w:p>
    <w:p w14:paraId="65408936" w14:textId="77777777" w:rsidR="0075452C" w:rsidRPr="009D01EA" w:rsidRDefault="002A431D" w:rsidP="009D01EA">
      <w:pPr>
        <w:spacing w:line="276" w:lineRule="auto"/>
        <w:rPr>
          <w:rFonts w:ascii="Arial" w:eastAsia="Arial" w:hAnsi="Arial"/>
          <w:b/>
          <w:color w:val="39006B"/>
          <w:sz w:val="24"/>
          <w:szCs w:val="24"/>
        </w:rPr>
      </w:pPr>
      <w:r w:rsidRPr="009D01EA">
        <w:rPr>
          <w:rFonts w:ascii="Arial" w:eastAsia="Arial" w:hAnsi="Arial"/>
          <w:b/>
          <w:color w:val="39006B"/>
          <w:sz w:val="24"/>
          <w:szCs w:val="24"/>
        </w:rPr>
        <w:lastRenderedPageBreak/>
        <w:t>Key Features</w:t>
      </w:r>
    </w:p>
    <w:p w14:paraId="77DCCAE9" w14:textId="77777777" w:rsidR="00140408" w:rsidRPr="00140408" w:rsidRDefault="00140408" w:rsidP="00140408">
      <w:pPr>
        <w:spacing w:line="0" w:lineRule="atLeast"/>
        <w:rPr>
          <w:rFonts w:ascii="Arial" w:eastAsia="Arial" w:hAnsi="Arial"/>
          <w:b/>
          <w:color w:val="39006B"/>
          <w:sz w:val="18"/>
        </w:rPr>
      </w:pPr>
      <w:r w:rsidRPr="00140408">
        <w:rPr>
          <w:rFonts w:ascii="Arial" w:eastAsia="Arial" w:hAnsi="Arial"/>
          <w:b/>
          <w:color w:val="39006B"/>
          <w:sz w:val="18"/>
        </w:rPr>
        <w:t>Support</w:t>
      </w:r>
      <w:r w:rsidR="00114EFD">
        <w:rPr>
          <w:rFonts w:ascii="Arial" w:eastAsia="Arial" w:hAnsi="Arial"/>
          <w:b/>
          <w:color w:val="39006B"/>
          <w:sz w:val="18"/>
        </w:rPr>
        <w:t xml:space="preserve"> </w:t>
      </w:r>
      <w:r w:rsidRPr="00140408">
        <w:rPr>
          <w:rFonts w:ascii="Arial" w:eastAsia="Arial" w:hAnsi="Arial"/>
          <w:b/>
          <w:color w:val="39006B"/>
          <w:sz w:val="18"/>
        </w:rPr>
        <w:t>data model for mainframes</w:t>
      </w:r>
    </w:p>
    <w:p w14:paraId="6C6134DE" w14:textId="77777777" w:rsidR="00140408" w:rsidRPr="00140408" w:rsidRDefault="00140408" w:rsidP="00140408">
      <w:pPr>
        <w:numPr>
          <w:ilvl w:val="0"/>
          <w:numId w:val="3"/>
        </w:numPr>
        <w:tabs>
          <w:tab w:val="left" w:pos="240"/>
        </w:tabs>
        <w:spacing w:before="60" w:after="0" w:line="360" w:lineRule="auto"/>
        <w:ind w:left="230" w:hanging="230"/>
        <w:rPr>
          <w:rFonts w:ascii="Arial" w:eastAsia="Arial" w:hAnsi="Arial"/>
          <w:sz w:val="18"/>
        </w:rPr>
      </w:pPr>
      <w:r w:rsidRPr="00140408">
        <w:rPr>
          <w:rFonts w:ascii="Arial" w:eastAsia="Arial" w:hAnsi="Arial"/>
          <w:sz w:val="18"/>
        </w:rPr>
        <w:t>Splunk Macros help locate data</w:t>
      </w:r>
    </w:p>
    <w:p w14:paraId="68361BF6" w14:textId="77777777" w:rsidR="00140408" w:rsidRPr="00140408" w:rsidRDefault="00140408" w:rsidP="00140408">
      <w:pPr>
        <w:numPr>
          <w:ilvl w:val="0"/>
          <w:numId w:val="3"/>
        </w:numPr>
        <w:tabs>
          <w:tab w:val="left" w:pos="240"/>
        </w:tabs>
        <w:spacing w:before="60" w:after="0" w:line="360" w:lineRule="auto"/>
        <w:ind w:left="230" w:hanging="230"/>
        <w:rPr>
          <w:rFonts w:ascii="Arial" w:eastAsia="Arial" w:hAnsi="Arial"/>
          <w:sz w:val="18"/>
        </w:rPr>
      </w:pPr>
      <w:r w:rsidRPr="00140408">
        <w:rPr>
          <w:rFonts w:ascii="Arial" w:eastAsia="Arial" w:hAnsi="Arial"/>
          <w:sz w:val="18"/>
        </w:rPr>
        <w:t xml:space="preserve">Splunk Event Types </w:t>
      </w:r>
      <w:r w:rsidR="00793B08">
        <w:rPr>
          <w:rFonts w:ascii="Arial" w:eastAsia="Arial" w:hAnsi="Arial"/>
          <w:sz w:val="18"/>
        </w:rPr>
        <w:t xml:space="preserve">can </w:t>
      </w:r>
      <w:r w:rsidRPr="00140408">
        <w:rPr>
          <w:rFonts w:ascii="Arial" w:eastAsia="Arial" w:hAnsi="Arial"/>
          <w:sz w:val="18"/>
        </w:rPr>
        <w:t>categorize data</w:t>
      </w:r>
    </w:p>
    <w:p w14:paraId="7EDB9B2F" w14:textId="77777777" w:rsidR="00140408" w:rsidRPr="00140408" w:rsidRDefault="00140408" w:rsidP="00140408">
      <w:pPr>
        <w:numPr>
          <w:ilvl w:val="0"/>
          <w:numId w:val="3"/>
        </w:numPr>
        <w:tabs>
          <w:tab w:val="left" w:pos="240"/>
        </w:tabs>
        <w:spacing w:before="60" w:after="0" w:line="360" w:lineRule="auto"/>
        <w:ind w:left="230" w:hanging="230"/>
        <w:rPr>
          <w:rFonts w:ascii="Arial" w:eastAsia="Arial" w:hAnsi="Arial"/>
          <w:sz w:val="18"/>
        </w:rPr>
      </w:pPr>
      <w:r w:rsidRPr="00140408">
        <w:rPr>
          <w:rFonts w:ascii="Arial" w:eastAsia="Arial" w:hAnsi="Arial"/>
          <w:sz w:val="18"/>
        </w:rPr>
        <w:t>Security information from ACF2, RACF, and Top Secret</w:t>
      </w:r>
    </w:p>
    <w:p w14:paraId="49DD4CB7" w14:textId="77777777" w:rsidR="00140408" w:rsidRDefault="00C25DC4" w:rsidP="00140408">
      <w:pPr>
        <w:numPr>
          <w:ilvl w:val="0"/>
          <w:numId w:val="3"/>
        </w:numPr>
        <w:tabs>
          <w:tab w:val="left" w:pos="240"/>
        </w:tabs>
        <w:spacing w:before="60" w:after="0" w:line="360" w:lineRule="auto"/>
        <w:ind w:left="230" w:hanging="23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‘</w:t>
      </w:r>
      <w:r w:rsidR="00140408" w:rsidRPr="00140408">
        <w:rPr>
          <w:rFonts w:ascii="Arial" w:eastAsia="Arial" w:hAnsi="Arial"/>
          <w:sz w:val="18"/>
        </w:rPr>
        <w:t>Bakes-in</w:t>
      </w:r>
      <w:r>
        <w:rPr>
          <w:rFonts w:ascii="Arial" w:eastAsia="Arial" w:hAnsi="Arial"/>
          <w:sz w:val="18"/>
        </w:rPr>
        <w:t>’</w:t>
      </w:r>
      <w:r w:rsidR="00140408" w:rsidRPr="00140408">
        <w:rPr>
          <w:rFonts w:ascii="Arial" w:eastAsia="Arial" w:hAnsi="Arial"/>
          <w:sz w:val="18"/>
        </w:rPr>
        <w:t xml:space="preserve"> SME knowledge</w:t>
      </w:r>
    </w:p>
    <w:p w14:paraId="49D4DF06" w14:textId="77777777" w:rsidR="00140408" w:rsidRDefault="00140408" w:rsidP="00140408">
      <w:pPr>
        <w:spacing w:line="306" w:lineRule="auto"/>
        <w:ind w:right="80"/>
        <w:rPr>
          <w:rFonts w:ascii="Arial" w:eastAsia="Arial" w:hAnsi="Arial"/>
          <w:sz w:val="18"/>
        </w:rPr>
      </w:pPr>
    </w:p>
    <w:p w14:paraId="067CBB28" w14:textId="77777777" w:rsidR="00140408" w:rsidRPr="00C25DC4" w:rsidRDefault="00C25DC4" w:rsidP="00C25DC4">
      <w:pPr>
        <w:spacing w:line="0" w:lineRule="atLeast"/>
        <w:rPr>
          <w:rFonts w:ascii="Arial" w:eastAsia="Arial" w:hAnsi="Arial"/>
          <w:b/>
          <w:color w:val="39006B"/>
          <w:sz w:val="18"/>
        </w:rPr>
      </w:pPr>
      <w:r w:rsidRPr="00C25DC4">
        <w:rPr>
          <w:rFonts w:ascii="Arial" w:eastAsia="Arial" w:hAnsi="Arial"/>
          <w:b/>
          <w:color w:val="39006B"/>
          <w:sz w:val="18"/>
        </w:rPr>
        <w:t>Maintai</w:t>
      </w:r>
      <w:r w:rsidR="00386142">
        <w:rPr>
          <w:rFonts w:ascii="Arial" w:eastAsia="Arial" w:hAnsi="Arial"/>
          <w:b/>
          <w:color w:val="39006B"/>
          <w:sz w:val="18"/>
        </w:rPr>
        <w:t>n</w:t>
      </w:r>
      <w:r w:rsidR="00114EFD">
        <w:rPr>
          <w:rFonts w:ascii="Arial" w:eastAsia="Arial" w:hAnsi="Arial"/>
          <w:b/>
          <w:color w:val="39006B"/>
          <w:sz w:val="18"/>
        </w:rPr>
        <w:t xml:space="preserve"> </w:t>
      </w:r>
      <w:r w:rsidR="00D62B4C" w:rsidRPr="00C25DC4">
        <w:rPr>
          <w:rFonts w:ascii="Arial" w:eastAsia="Arial" w:hAnsi="Arial"/>
          <w:b/>
          <w:color w:val="39006B"/>
          <w:sz w:val="18"/>
        </w:rPr>
        <w:t>valuable</w:t>
      </w:r>
      <w:r w:rsidRPr="00C25DC4">
        <w:rPr>
          <w:rFonts w:ascii="Arial" w:eastAsia="Arial" w:hAnsi="Arial"/>
          <w:b/>
          <w:color w:val="39006B"/>
          <w:sz w:val="18"/>
        </w:rPr>
        <w:t xml:space="preserve"> data</w:t>
      </w:r>
      <w:r w:rsidR="00FF2F48">
        <w:rPr>
          <w:rFonts w:ascii="Arial" w:eastAsia="Arial" w:hAnsi="Arial"/>
          <w:b/>
          <w:color w:val="39006B"/>
          <w:sz w:val="18"/>
        </w:rPr>
        <w:t xml:space="preserve"> with S</w:t>
      </w:r>
      <w:r w:rsidRPr="00C25DC4">
        <w:rPr>
          <w:rFonts w:ascii="Arial" w:eastAsia="Arial" w:hAnsi="Arial"/>
          <w:b/>
          <w:color w:val="39006B"/>
          <w:sz w:val="18"/>
        </w:rPr>
        <w:t>plunk</w:t>
      </w:r>
      <w:r w:rsidR="00FF2F48">
        <w:rPr>
          <w:rFonts w:ascii="Arial" w:eastAsia="Arial" w:hAnsi="Arial"/>
          <w:b/>
          <w:color w:val="39006B"/>
          <w:sz w:val="18"/>
        </w:rPr>
        <w:t xml:space="preserve"> </w:t>
      </w:r>
      <w:r w:rsidR="00386142">
        <w:rPr>
          <w:rFonts w:ascii="Arial" w:eastAsia="Arial" w:hAnsi="Arial"/>
          <w:b/>
          <w:color w:val="39006B"/>
          <w:sz w:val="18"/>
        </w:rPr>
        <w:t>applications</w:t>
      </w:r>
    </w:p>
    <w:p w14:paraId="7A249610" w14:textId="77777777" w:rsidR="00C25DC4" w:rsidRDefault="00C25DC4" w:rsidP="00C25DC4">
      <w:pPr>
        <w:pStyle w:val="Bullet"/>
      </w:pPr>
      <w:r>
        <w:t>Splunk Cloud and Splunk Enterprise</w:t>
      </w:r>
      <w:r w:rsidR="00114EFD">
        <w:t xml:space="preserve"> </w:t>
      </w:r>
      <w:r>
        <w:t>help collect envision as well as report</w:t>
      </w:r>
      <w:r w:rsidR="003506EB">
        <w:t xml:space="preserve">s </w:t>
      </w:r>
      <w:r>
        <w:t>o</w:t>
      </w:r>
      <w:r w:rsidR="003506EB">
        <w:t>f</w:t>
      </w:r>
      <w:r>
        <w:t xml:space="preserve"> log data</w:t>
      </w:r>
    </w:p>
    <w:p w14:paraId="689DEE47" w14:textId="77777777" w:rsidR="00C25DC4" w:rsidRDefault="00C25DC4" w:rsidP="00C25DC4">
      <w:pPr>
        <w:pStyle w:val="Bullet"/>
      </w:pPr>
      <w:r>
        <w:t>z/OS log files such as WebSphere, Log4j, Syslog</w:t>
      </w:r>
    </w:p>
    <w:p w14:paraId="0DCB0D69" w14:textId="77777777" w:rsidR="005A2ABA" w:rsidRDefault="005A2ABA" w:rsidP="005A2ABA"/>
    <w:p w14:paraId="41CE3309" w14:textId="77777777" w:rsidR="005A2ABA" w:rsidRPr="00E675C7" w:rsidRDefault="00E675C7" w:rsidP="00E675C7">
      <w:pPr>
        <w:spacing w:line="0" w:lineRule="atLeast"/>
        <w:rPr>
          <w:rFonts w:ascii="Arial" w:eastAsia="Arial" w:hAnsi="Arial"/>
          <w:b/>
          <w:color w:val="39006B"/>
          <w:sz w:val="18"/>
        </w:rPr>
      </w:pPr>
      <w:r w:rsidRPr="00E675C7">
        <w:rPr>
          <w:rFonts w:ascii="Arial" w:eastAsia="Arial" w:hAnsi="Arial"/>
          <w:b/>
          <w:color w:val="39006B"/>
          <w:sz w:val="18"/>
        </w:rPr>
        <w:t>Support enterprise security for organizations</w:t>
      </w:r>
    </w:p>
    <w:p w14:paraId="1E88BB76" w14:textId="77777777" w:rsidR="00E675C7" w:rsidRDefault="00E675C7" w:rsidP="00D76EBE">
      <w:pPr>
        <w:pStyle w:val="Bullet"/>
      </w:pPr>
      <w:r>
        <w:t>Protect data against security breac</w:t>
      </w:r>
      <w:r w:rsidR="00D76EBE">
        <w:t>h</w:t>
      </w:r>
    </w:p>
    <w:p w14:paraId="7E8C5383" w14:textId="77777777" w:rsidR="00FF2F48" w:rsidRDefault="009300F0" w:rsidP="005A2ABA">
      <w:pPr>
        <w:pStyle w:val="Bullet"/>
      </w:pPr>
      <w:r>
        <w:t>Allow</w:t>
      </w:r>
      <w:r w:rsidR="00114EFD">
        <w:t xml:space="preserve"> </w:t>
      </w:r>
      <w:r w:rsidR="00432337">
        <w:t>users’</w:t>
      </w:r>
      <w:r w:rsidR="00A06FC5">
        <w:t xml:space="preserve"> complete access to security alerts and risks on systems</w:t>
      </w:r>
    </w:p>
    <w:p w14:paraId="686CCAE3" w14:textId="77777777" w:rsidR="00545872" w:rsidRDefault="00545872" w:rsidP="005A2ABA">
      <w:pPr>
        <w:pStyle w:val="Bullet"/>
      </w:pPr>
      <w:r>
        <w:t>Splunk Enterprise Security application gives total visibility to threat indicators such as unusual movement of data</w:t>
      </w:r>
    </w:p>
    <w:p w14:paraId="30B061DF" w14:textId="77777777" w:rsidR="00AA3BBC" w:rsidRDefault="00AA3BBC" w:rsidP="00AA3BBC">
      <w:pPr>
        <w:pStyle w:val="Bullet"/>
      </w:pPr>
      <w:r>
        <w:t>Organizations can see, analyze, and correlate all relevant data including SMF records from RACF</w:t>
      </w:r>
    </w:p>
    <w:p w14:paraId="79A78811" w14:textId="77777777" w:rsidR="00C57D7E" w:rsidRDefault="00C57D7E" w:rsidP="00C57D7E"/>
    <w:p w14:paraId="2B1BEF22" w14:textId="77777777" w:rsidR="00816F40" w:rsidRPr="00C57D7E" w:rsidRDefault="00C57D7E" w:rsidP="00C57D7E">
      <w:pPr>
        <w:spacing w:line="0" w:lineRule="atLeast"/>
        <w:rPr>
          <w:rFonts w:ascii="Arial" w:eastAsia="Arial" w:hAnsi="Arial"/>
          <w:b/>
          <w:color w:val="39006B"/>
          <w:sz w:val="18"/>
        </w:rPr>
      </w:pPr>
      <w:r w:rsidRPr="00C57D7E">
        <w:rPr>
          <w:rFonts w:ascii="Arial" w:eastAsia="Arial" w:hAnsi="Arial"/>
          <w:b/>
          <w:color w:val="39006B"/>
          <w:sz w:val="18"/>
        </w:rPr>
        <w:t>Support for a</w:t>
      </w:r>
      <w:r>
        <w:rPr>
          <w:rFonts w:ascii="Arial" w:eastAsia="Arial" w:hAnsi="Arial"/>
          <w:b/>
          <w:color w:val="39006B"/>
          <w:sz w:val="18"/>
        </w:rPr>
        <w:t>ll</w:t>
      </w:r>
      <w:r w:rsidRPr="00C57D7E">
        <w:rPr>
          <w:rFonts w:ascii="Arial" w:eastAsia="Arial" w:hAnsi="Arial"/>
          <w:b/>
          <w:color w:val="39006B"/>
          <w:sz w:val="18"/>
        </w:rPr>
        <w:t xml:space="preserve"> critical IBM mainframe z/OS data sources</w:t>
      </w:r>
    </w:p>
    <w:p w14:paraId="69B1C809" w14:textId="77777777" w:rsidR="00C57D7E" w:rsidRPr="00C57D7E" w:rsidRDefault="00C57D7E" w:rsidP="00C57D7E">
      <w:pPr>
        <w:pStyle w:val="Bullet"/>
      </w:pPr>
      <w:r w:rsidRPr="00C57D7E">
        <w:t>IMS log data</w:t>
      </w:r>
    </w:p>
    <w:p w14:paraId="6453F58E" w14:textId="77777777" w:rsidR="00C57D7E" w:rsidRPr="00C57D7E" w:rsidRDefault="00C57D7E" w:rsidP="00C57D7E">
      <w:pPr>
        <w:pStyle w:val="Bullet"/>
      </w:pPr>
      <w:r w:rsidRPr="00C57D7E">
        <w:t>SMF and Syslog records</w:t>
      </w:r>
    </w:p>
    <w:p w14:paraId="04004532" w14:textId="77777777" w:rsidR="005A2ABA" w:rsidRDefault="00C57D7E" w:rsidP="00C57D7E">
      <w:pPr>
        <w:pStyle w:val="Bullet"/>
      </w:pPr>
      <w:r>
        <w:t>Security information from RACF, ACF2, and Top Secret</w:t>
      </w:r>
    </w:p>
    <w:p w14:paraId="196B4544" w14:textId="77777777" w:rsidR="00DE537E" w:rsidRDefault="00DE537E" w:rsidP="00DE537E"/>
    <w:p w14:paraId="434CFAB9" w14:textId="77777777" w:rsidR="00DE537E" w:rsidRPr="00DE537E" w:rsidRDefault="00DE537E" w:rsidP="00DE537E">
      <w:pPr>
        <w:spacing w:line="0" w:lineRule="atLeast"/>
        <w:rPr>
          <w:rFonts w:ascii="Arial" w:eastAsia="Arial" w:hAnsi="Arial"/>
          <w:b/>
          <w:color w:val="39006B"/>
          <w:sz w:val="18"/>
        </w:rPr>
      </w:pPr>
      <w:r w:rsidRPr="00DE537E">
        <w:rPr>
          <w:rFonts w:ascii="Arial" w:eastAsia="Arial" w:hAnsi="Arial"/>
          <w:b/>
          <w:color w:val="39006B"/>
          <w:sz w:val="18"/>
        </w:rPr>
        <w:t>Support for all critical IBM i data sources</w:t>
      </w:r>
    </w:p>
    <w:p w14:paraId="7B3B6DCF" w14:textId="77777777" w:rsidR="00DE537E" w:rsidRDefault="00DE537E" w:rsidP="00C57D7E">
      <w:pPr>
        <w:pStyle w:val="Bullet"/>
      </w:pPr>
      <w:r>
        <w:t>Operating System</w:t>
      </w:r>
    </w:p>
    <w:p w14:paraId="31F09FE7" w14:textId="77777777" w:rsidR="00DE537E" w:rsidRDefault="00B545EF" w:rsidP="00C57D7E">
      <w:pPr>
        <w:pStyle w:val="Bullet"/>
      </w:pPr>
      <w:r>
        <w:t>Message Queue Data</w:t>
      </w:r>
    </w:p>
    <w:p w14:paraId="77332493" w14:textId="77777777" w:rsidR="00DE537E" w:rsidRDefault="00DE537E" w:rsidP="00C57D7E">
      <w:pPr>
        <w:pStyle w:val="Bullet"/>
      </w:pPr>
      <w:r>
        <w:t>History Log</w:t>
      </w:r>
    </w:p>
    <w:p w14:paraId="000F1C6F" w14:textId="77777777" w:rsidR="00DE537E" w:rsidRDefault="00DE537E" w:rsidP="00C57D7E">
      <w:pPr>
        <w:pStyle w:val="Bullet"/>
      </w:pPr>
      <w:r>
        <w:t>System Performance</w:t>
      </w:r>
    </w:p>
    <w:p w14:paraId="5EC279B5" w14:textId="77777777" w:rsidR="00DE537E" w:rsidRDefault="00DE537E" w:rsidP="00C57D7E">
      <w:pPr>
        <w:pStyle w:val="Bullet"/>
      </w:pPr>
      <w:r>
        <w:t>Custom Data</w:t>
      </w:r>
    </w:p>
    <w:p w14:paraId="65C3F51C" w14:textId="77777777" w:rsidR="00C57D7E" w:rsidRDefault="00C57D7E" w:rsidP="00C57D7E"/>
    <w:p w14:paraId="299F3147" w14:textId="77777777" w:rsidR="00FF2F48" w:rsidRPr="00FF2F48" w:rsidRDefault="00FF2F48" w:rsidP="00FF2F48">
      <w:pPr>
        <w:spacing w:line="0" w:lineRule="atLeast"/>
        <w:rPr>
          <w:rFonts w:ascii="Arial" w:eastAsia="Arial" w:hAnsi="Arial"/>
          <w:b/>
          <w:color w:val="39006B"/>
          <w:sz w:val="18"/>
        </w:rPr>
      </w:pPr>
      <w:r w:rsidRPr="00FF2F48">
        <w:rPr>
          <w:rFonts w:ascii="Arial" w:eastAsia="Arial" w:hAnsi="Arial"/>
          <w:b/>
          <w:color w:val="39006B"/>
          <w:sz w:val="18"/>
        </w:rPr>
        <w:t>Promote easy integration of data with Splunk applications</w:t>
      </w:r>
    </w:p>
    <w:p w14:paraId="5B323F2B" w14:textId="77777777" w:rsidR="00D224B8" w:rsidRDefault="00D224B8" w:rsidP="00FF2F48">
      <w:pPr>
        <w:pStyle w:val="Bullet"/>
      </w:pPr>
      <w:r>
        <w:t>Secure integration of data into many customizable dashboards</w:t>
      </w:r>
    </w:p>
    <w:p w14:paraId="31AE2E50" w14:textId="77777777" w:rsidR="00FF2F48" w:rsidRDefault="00FF2F48" w:rsidP="00FF2F48">
      <w:pPr>
        <w:pStyle w:val="Bullet"/>
      </w:pPr>
      <w:r>
        <w:t>Detailed visualization of potential threats and anomalies across entire IT infrastructure</w:t>
      </w:r>
    </w:p>
    <w:p w14:paraId="023376CD" w14:textId="77777777" w:rsidR="00FF2F48" w:rsidRDefault="00D224B8" w:rsidP="00FF2F48">
      <w:pPr>
        <w:pStyle w:val="Bullet"/>
      </w:pPr>
      <w:r>
        <w:t>Total visibility en</w:t>
      </w:r>
      <w:r w:rsidR="00BC54E3">
        <w:t>sures</w:t>
      </w:r>
      <w:r>
        <w:t xml:space="preserve"> effective deliver </w:t>
      </w:r>
      <w:r w:rsidR="00BC54E3">
        <w:t xml:space="preserve">of </w:t>
      </w:r>
      <w:r>
        <w:t>IT services</w:t>
      </w:r>
      <w:r w:rsidR="00BC54E3">
        <w:t xml:space="preserve"> by businesses</w:t>
      </w:r>
    </w:p>
    <w:p w14:paraId="0B6151BF" w14:textId="77777777" w:rsidR="009D01EA" w:rsidRDefault="009D01EA" w:rsidP="009D01EA"/>
    <w:p w14:paraId="2F89B381" w14:textId="10C01075" w:rsidR="009D01EA" w:rsidRPr="00077EF4" w:rsidRDefault="00077EF4" w:rsidP="00077EF4">
      <w:pPr>
        <w:spacing w:line="0" w:lineRule="atLeast"/>
        <w:ind w:left="6"/>
        <w:rPr>
          <w:rFonts w:ascii="Arial" w:eastAsia="Arial" w:hAnsi="Arial"/>
          <w:color w:val="39006B"/>
          <w:sz w:val="16"/>
        </w:rPr>
      </w:pPr>
      <w:r>
        <w:rPr>
          <w:rFonts w:ascii="Arial" w:eastAsia="Arial" w:hAnsi="Arial"/>
          <w:color w:val="39006B"/>
          <w:sz w:val="16"/>
        </w:rPr>
        <w:t>* IBM mainframe only</w:t>
      </w:r>
    </w:p>
    <w:p w14:paraId="50B81F4A" w14:textId="77777777" w:rsidR="001A5C43" w:rsidRDefault="009D01EA" w:rsidP="009D01EA">
      <w:pPr>
        <w:rPr>
          <w:rFonts w:ascii="Arial" w:eastAsia="Arial" w:hAnsi="Arial"/>
          <w:b/>
          <w:color w:val="39006B"/>
          <w:sz w:val="18"/>
        </w:rPr>
      </w:pPr>
      <w:r>
        <w:br w:type="column"/>
      </w:r>
      <w:r w:rsidR="001A5C43" w:rsidRPr="001A5C43">
        <w:rPr>
          <w:rFonts w:ascii="Arial" w:eastAsia="Arial" w:hAnsi="Arial"/>
          <w:b/>
          <w:color w:val="39006B"/>
          <w:sz w:val="18"/>
        </w:rPr>
        <w:t xml:space="preserve">Support </w:t>
      </w:r>
      <w:r w:rsidR="001A5C43">
        <w:rPr>
          <w:rFonts w:ascii="Arial" w:eastAsia="Arial" w:hAnsi="Arial"/>
          <w:b/>
          <w:color w:val="39006B"/>
          <w:sz w:val="18"/>
        </w:rPr>
        <w:t xml:space="preserve">simple </w:t>
      </w:r>
      <w:r w:rsidR="001A5C43" w:rsidRPr="001A5C43">
        <w:rPr>
          <w:rFonts w:ascii="Arial" w:eastAsia="Arial" w:hAnsi="Arial"/>
          <w:b/>
          <w:color w:val="39006B"/>
          <w:sz w:val="18"/>
        </w:rPr>
        <w:t>real-time, 360-degree intelligence</w:t>
      </w:r>
    </w:p>
    <w:p w14:paraId="429536C2" w14:textId="77777777" w:rsidR="00E62AD0" w:rsidRDefault="00E62AD0" w:rsidP="00E62AD0">
      <w:pPr>
        <w:pStyle w:val="Bullet"/>
      </w:pPr>
      <w:r>
        <w:t>Collect log data from traditional IBM systems and forward the data in real-time to Splunk</w:t>
      </w:r>
    </w:p>
    <w:p w14:paraId="71627C9A" w14:textId="77777777" w:rsidR="00E62AD0" w:rsidRDefault="00E62AD0" w:rsidP="00E62AD0">
      <w:pPr>
        <w:pStyle w:val="Bullet"/>
      </w:pPr>
      <w:r>
        <w:t xml:space="preserve">Users can search, </w:t>
      </w:r>
      <w:r w:rsidR="00AF4404">
        <w:t>analyze,</w:t>
      </w:r>
      <w:r>
        <w:t xml:space="preserve"> and visualize the mainframe and IBM </w:t>
      </w:r>
      <w:r w:rsidR="00096300">
        <w:t>i</w:t>
      </w:r>
      <w:r>
        <w:t xml:space="preserve"> data</w:t>
      </w:r>
    </w:p>
    <w:p w14:paraId="6A530EC3" w14:textId="77777777" w:rsidR="005E74F1" w:rsidRDefault="005E74F1" w:rsidP="005E74F1"/>
    <w:p w14:paraId="0F6A418F" w14:textId="77777777" w:rsidR="00096300" w:rsidRDefault="00096300" w:rsidP="00096300">
      <w:pPr>
        <w:spacing w:line="0" w:lineRule="atLeast"/>
        <w:rPr>
          <w:rFonts w:ascii="Arial" w:eastAsia="Arial" w:hAnsi="Arial"/>
          <w:b/>
          <w:color w:val="39006B"/>
          <w:sz w:val="18"/>
        </w:rPr>
      </w:pPr>
      <w:r w:rsidRPr="00096300">
        <w:rPr>
          <w:rFonts w:ascii="Arial" w:eastAsia="Arial" w:hAnsi="Arial"/>
          <w:b/>
          <w:color w:val="39006B"/>
          <w:sz w:val="18"/>
        </w:rPr>
        <w:t>Support</w:t>
      </w:r>
      <w:r w:rsidR="00F63C87">
        <w:rPr>
          <w:rFonts w:ascii="Arial" w:eastAsia="Arial" w:hAnsi="Arial"/>
          <w:b/>
          <w:color w:val="39006B"/>
          <w:sz w:val="18"/>
        </w:rPr>
        <w:t xml:space="preserve"> for </w:t>
      </w:r>
      <w:r w:rsidRPr="00096300">
        <w:rPr>
          <w:rFonts w:ascii="Arial" w:eastAsia="Arial" w:hAnsi="Arial"/>
          <w:b/>
          <w:color w:val="39006B"/>
          <w:sz w:val="18"/>
        </w:rPr>
        <w:t>operational insights and efficiency</w:t>
      </w:r>
    </w:p>
    <w:p w14:paraId="7A61C1F1" w14:textId="77777777" w:rsidR="00096300" w:rsidRDefault="008C4090" w:rsidP="005E74F1">
      <w:pPr>
        <w:pStyle w:val="Bullet"/>
      </w:pPr>
      <w:r>
        <w:t>ITOA helps c</w:t>
      </w:r>
      <w:r w:rsidR="005E74F1">
        <w:t>orrelat</w:t>
      </w:r>
      <w:r>
        <w:t>e</w:t>
      </w:r>
      <w:r w:rsidR="005E74F1">
        <w:t xml:space="preserve"> events across every system in the enterprise increasing efficiency and cost-saving</w:t>
      </w:r>
    </w:p>
    <w:p w14:paraId="135A4732" w14:textId="77777777" w:rsidR="005E74F1" w:rsidRDefault="00FB20F9" w:rsidP="005E74F1">
      <w:pPr>
        <w:pStyle w:val="Bullet"/>
      </w:pPr>
      <w:r>
        <w:t>Ensures</w:t>
      </w:r>
      <w:r w:rsidR="008C4090">
        <w:t xml:space="preserve"> critical processing resources are utilized to their maximum potential</w:t>
      </w:r>
    </w:p>
    <w:p w14:paraId="0969FA65" w14:textId="77777777" w:rsidR="00437FEB" w:rsidRDefault="00437FEB" w:rsidP="00D65475"/>
    <w:p w14:paraId="41B7B521" w14:textId="77777777" w:rsidR="00566C50" w:rsidRDefault="0002073D" w:rsidP="005A2ABA">
      <w:pPr>
        <w:spacing w:line="0" w:lineRule="atLeast"/>
        <w:rPr>
          <w:rFonts w:ascii="Arial" w:eastAsia="Arial" w:hAnsi="Arial"/>
          <w:b/>
          <w:color w:val="39006B"/>
          <w:sz w:val="18"/>
        </w:rPr>
      </w:pPr>
      <w:r>
        <w:rPr>
          <w:rFonts w:ascii="Arial" w:eastAsia="Arial" w:hAnsi="Arial"/>
          <w:b/>
          <w:color w:val="39006B"/>
          <w:sz w:val="18"/>
        </w:rPr>
        <w:t>B</w:t>
      </w:r>
      <w:r w:rsidR="005A2ABA" w:rsidRPr="005A2ABA">
        <w:rPr>
          <w:rFonts w:ascii="Arial" w:eastAsia="Arial" w:hAnsi="Arial"/>
          <w:b/>
          <w:color w:val="39006B"/>
          <w:sz w:val="18"/>
        </w:rPr>
        <w:t>enefits</w:t>
      </w:r>
    </w:p>
    <w:p w14:paraId="3FAC94EB" w14:textId="77777777" w:rsidR="005A2ABA" w:rsidRDefault="005A2ABA" w:rsidP="005A2ABA">
      <w:pPr>
        <w:pStyle w:val="Bullet"/>
      </w:pPr>
      <w:r>
        <w:t xml:space="preserve">IBM mainframe and IBM data </w:t>
      </w:r>
      <w:r w:rsidR="00FB20F9">
        <w:t>are</w:t>
      </w:r>
      <w:r w:rsidR="00114EFD">
        <w:t xml:space="preserve"> </w:t>
      </w:r>
      <w:r>
        <w:t>integrated into Splunk to remove blind spots in IT analytics</w:t>
      </w:r>
    </w:p>
    <w:p w14:paraId="5AD9E4B8" w14:textId="77777777" w:rsidR="005A2ABA" w:rsidRDefault="005A2ABA" w:rsidP="005A2ABA">
      <w:pPr>
        <w:pStyle w:val="Bullet"/>
      </w:pPr>
      <w:r>
        <w:t>Enables 360-degree view of IT environment for operational analytics</w:t>
      </w:r>
    </w:p>
    <w:p w14:paraId="74284F84" w14:textId="77777777" w:rsidR="005A2ABA" w:rsidRDefault="005A2ABA" w:rsidP="005A2ABA">
      <w:pPr>
        <w:pStyle w:val="Bullet"/>
      </w:pPr>
      <w:r>
        <w:t>Accelerate</w:t>
      </w:r>
      <w:r w:rsidR="00FB20F9">
        <w:t xml:space="preserve"> </w:t>
      </w:r>
      <w:r>
        <w:t xml:space="preserve">problem resolution with </w:t>
      </w:r>
      <w:r w:rsidR="00124357">
        <w:t>total visibility</w:t>
      </w:r>
      <w:r>
        <w:t xml:space="preserve"> access to traditional IBM systems</w:t>
      </w:r>
    </w:p>
    <w:p w14:paraId="497F71A4" w14:textId="77777777" w:rsidR="005A2ABA" w:rsidRDefault="005A2ABA" w:rsidP="005A2ABA">
      <w:pPr>
        <w:pStyle w:val="Bullet"/>
      </w:pPr>
      <w:r>
        <w:t>Deliver security information for visibility into enterprise-wide security threats and incidents</w:t>
      </w:r>
    </w:p>
    <w:p w14:paraId="39376FA1" w14:textId="77777777" w:rsidR="00050E86" w:rsidRDefault="00170A6B" w:rsidP="005A2ABA">
      <w:pPr>
        <w:pStyle w:val="Bullet"/>
      </w:pPr>
      <w:r>
        <w:t>Improved</w:t>
      </w:r>
      <w:r w:rsidR="00050E86">
        <w:t xml:space="preserve"> operations help spot problems before they start, resolve outages quickly, and optimize infrastructure spend</w:t>
      </w:r>
    </w:p>
    <w:p w14:paraId="1EC23F2B" w14:textId="77777777" w:rsidR="00050E86" w:rsidRDefault="00050E86" w:rsidP="005A2ABA">
      <w:pPr>
        <w:pStyle w:val="Bullet"/>
      </w:pPr>
      <w:r>
        <w:t>Provide faster insights by sharing critical, real-time insights across the enterprise</w:t>
      </w:r>
    </w:p>
    <w:p w14:paraId="1CFE19A2" w14:textId="77777777" w:rsidR="00E675C7" w:rsidRDefault="00E675C7" w:rsidP="00FB20F9">
      <w:pPr>
        <w:pStyle w:val="Bullet"/>
        <w:numPr>
          <w:ilvl w:val="0"/>
          <w:numId w:val="0"/>
        </w:numPr>
      </w:pPr>
    </w:p>
    <w:p w14:paraId="5B2A1A7E" w14:textId="77777777" w:rsidR="00E675C7" w:rsidRDefault="00E675C7" w:rsidP="00050E86"/>
    <w:p w14:paraId="794727EA" w14:textId="77777777" w:rsidR="00E675C7" w:rsidRDefault="006E56B0" w:rsidP="00E675C7">
      <w:pPr>
        <w:pStyle w:val="Bullet"/>
        <w:numPr>
          <w:ilvl w:val="0"/>
          <w:numId w:val="0"/>
        </w:numPr>
        <w:ind w:left="230" w:hanging="230"/>
      </w:pPr>
      <w:r>
        <w:rPr>
          <w:noProof/>
        </w:rPr>
        <w:pict w14:anchorId="6D8710B9">
          <v:rect id="_x0000_s1026" alt="" style="position:absolute;left:0;text-align:left;margin-left:11.35pt;margin-top:2.2pt;width:235.35pt;height:124pt;z-index:-1;mso-wrap-style:square;mso-wrap-edited:f;mso-width-percent:0;mso-height-percent:0;mso-width-percent:0;mso-height-percent:0;v-text-anchor:top" o:userdrawn="t" fillcolor="#8017e0" strokecolor="none">
            <v:textbox style="mso-next-textbox:#_x0000_s1026">
              <w:txbxContent>
                <w:p w14:paraId="6F16B343" w14:textId="77777777" w:rsidR="00050E86" w:rsidRPr="00373429" w:rsidRDefault="00C609F3" w:rsidP="00C609F3">
                  <w:pPr>
                    <w:spacing w:line="276" w:lineRule="auto"/>
                    <w:rPr>
                      <w:rFonts w:ascii="Arial" w:hAnsi="Arial"/>
                      <w:color w:val="FFFFFF"/>
                      <w:sz w:val="28"/>
                      <w:szCs w:val="28"/>
                    </w:rPr>
                  </w:pPr>
                  <w:r w:rsidRPr="00373429">
                    <w:rPr>
                      <w:rFonts w:ascii="Arial" w:hAnsi="Arial"/>
                      <w:color w:val="FFFFFF"/>
                      <w:sz w:val="28"/>
                      <w:szCs w:val="28"/>
                    </w:rPr>
                    <w:t>Ironstream for Splunk enables organizations to integrate critical security and operational machine data from mainframe and IBM i systems into Splunk for a complete view of the IT environment.</w:t>
                  </w:r>
                </w:p>
              </w:txbxContent>
            </v:textbox>
          </v:rect>
        </w:pict>
      </w:r>
    </w:p>
    <w:p w14:paraId="39D33B89" w14:textId="77777777" w:rsidR="00E675C7" w:rsidRDefault="00E675C7" w:rsidP="00E675C7">
      <w:pPr>
        <w:pStyle w:val="Bullet"/>
        <w:numPr>
          <w:ilvl w:val="0"/>
          <w:numId w:val="0"/>
        </w:numPr>
        <w:ind w:left="230" w:hanging="230"/>
      </w:pPr>
    </w:p>
    <w:p w14:paraId="779FD69A" w14:textId="77777777" w:rsidR="00E675C7" w:rsidRDefault="00E675C7" w:rsidP="00EA0CCF">
      <w:pPr>
        <w:pStyle w:val="Bullet"/>
        <w:numPr>
          <w:ilvl w:val="0"/>
          <w:numId w:val="0"/>
        </w:numPr>
      </w:pPr>
    </w:p>
    <w:p w14:paraId="49F8B7FF" w14:textId="77777777" w:rsidR="00E675C7" w:rsidRDefault="00E675C7" w:rsidP="00E675C7">
      <w:pPr>
        <w:pStyle w:val="Bullet"/>
        <w:numPr>
          <w:ilvl w:val="0"/>
          <w:numId w:val="0"/>
        </w:numPr>
        <w:ind w:left="230" w:hanging="230"/>
      </w:pPr>
    </w:p>
    <w:p w14:paraId="65B79AC2" w14:textId="77777777" w:rsidR="00E675C7" w:rsidRDefault="00E675C7" w:rsidP="00E675C7">
      <w:pPr>
        <w:pStyle w:val="Bullet"/>
        <w:numPr>
          <w:ilvl w:val="0"/>
          <w:numId w:val="0"/>
        </w:numPr>
        <w:ind w:left="230" w:hanging="230"/>
      </w:pPr>
    </w:p>
    <w:sectPr w:rsidR="00E675C7" w:rsidSect="00B774CD">
      <w:type w:val="continuous"/>
      <w:pgSz w:w="12240" w:h="16838"/>
      <w:pgMar w:top="860" w:right="1040" w:bottom="0" w:left="794" w:header="0" w:footer="0" w:gutter="0"/>
      <w:cols w:num="2"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C528F" w14:textId="77777777" w:rsidR="006E56B0" w:rsidRDefault="006E56B0" w:rsidP="00CB192B">
      <w:pPr>
        <w:spacing w:after="0"/>
      </w:pPr>
      <w:r>
        <w:separator/>
      </w:r>
    </w:p>
  </w:endnote>
  <w:endnote w:type="continuationSeparator" w:id="0">
    <w:p w14:paraId="62957BEC" w14:textId="77777777" w:rsidR="006E56B0" w:rsidRDefault="006E56B0" w:rsidP="00CB19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C86DD" w14:textId="77777777" w:rsidR="00EA0140" w:rsidRDefault="00EA01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0" w:rightFromText="180" w:vertAnchor="text" w:tblpY="1"/>
      <w:tblOverlap w:val="never"/>
      <w:tblW w:w="0" w:type="auto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000" w:firstRow="0" w:lastRow="0" w:firstColumn="0" w:lastColumn="0" w:noHBand="0" w:noVBand="0"/>
    </w:tblPr>
    <w:tblGrid>
      <w:gridCol w:w="6297"/>
      <w:gridCol w:w="3835"/>
    </w:tblGrid>
    <w:tr w:rsidR="00FA3F5A" w14:paraId="7904BB96" w14:textId="77777777" w:rsidTr="00E035E8">
      <w:trPr>
        <w:trHeight w:val="26"/>
      </w:trPr>
      <w:tc>
        <w:tcPr>
          <w:tcW w:w="6297" w:type="dxa"/>
          <w:shd w:val="clear" w:color="auto" w:fill="auto"/>
          <w:vAlign w:val="bottom"/>
        </w:tcPr>
        <w:p w14:paraId="7C429320" w14:textId="77777777" w:rsidR="00FA3F5A" w:rsidRDefault="00FA3F5A" w:rsidP="00FA3F5A">
          <w:pPr>
            <w:spacing w:line="0" w:lineRule="atLeast"/>
            <w:rPr>
              <w:rFonts w:ascii="Arial" w:eastAsia="Arial" w:hAnsi="Arial"/>
              <w:color w:val="39006B"/>
              <w:sz w:val="13"/>
            </w:rPr>
          </w:pPr>
          <w:bookmarkStart w:id="1" w:name="_Hlk48473676"/>
          <w:r>
            <w:rPr>
              <w:rFonts w:ascii="Arial" w:eastAsia="Arial" w:hAnsi="Arial"/>
              <w:color w:val="39006B"/>
              <w:sz w:val="13"/>
            </w:rPr>
            <w:t>Copyright ©2020 Precisely. All rights reserved worldwide. All other company and</w:t>
          </w:r>
        </w:p>
      </w:tc>
      <w:tc>
        <w:tcPr>
          <w:tcW w:w="3835" w:type="dxa"/>
          <w:shd w:val="clear" w:color="auto" w:fill="auto"/>
          <w:vAlign w:val="bottom"/>
        </w:tcPr>
        <w:p w14:paraId="211335D4" w14:textId="77777777" w:rsidR="00FA3F5A" w:rsidRDefault="00FA3F5A" w:rsidP="00FA3F5A">
          <w:pPr>
            <w:spacing w:line="0" w:lineRule="atLeast"/>
            <w:ind w:left="1500"/>
            <w:rPr>
              <w:rFonts w:ascii="Arial" w:eastAsia="Arial" w:hAnsi="Arial"/>
              <w:color w:val="39006B"/>
              <w:w w:val="97"/>
              <w:sz w:val="18"/>
            </w:rPr>
          </w:pPr>
          <w:r>
            <w:rPr>
              <w:rFonts w:ascii="Arial" w:eastAsia="Arial" w:hAnsi="Arial"/>
              <w:color w:val="39006B"/>
              <w:w w:val="97"/>
              <w:sz w:val="18"/>
            </w:rPr>
            <w:t>precisely.com | 877 700 0970</w:t>
          </w:r>
        </w:p>
      </w:tc>
    </w:tr>
    <w:tr w:rsidR="00FA3F5A" w14:paraId="0B67D07C" w14:textId="77777777" w:rsidTr="00E035E8">
      <w:trPr>
        <w:trHeight w:val="21"/>
      </w:trPr>
      <w:tc>
        <w:tcPr>
          <w:tcW w:w="6297" w:type="dxa"/>
          <w:shd w:val="clear" w:color="auto" w:fill="auto"/>
          <w:vAlign w:val="bottom"/>
        </w:tcPr>
        <w:p w14:paraId="459D64D3" w14:textId="77777777" w:rsidR="00FA3F5A" w:rsidRDefault="00FA3F5A" w:rsidP="00FA3F5A">
          <w:pPr>
            <w:spacing w:line="0" w:lineRule="atLeast"/>
            <w:rPr>
              <w:rFonts w:ascii="Arial" w:eastAsia="Arial" w:hAnsi="Arial"/>
              <w:color w:val="39006B"/>
              <w:sz w:val="13"/>
            </w:rPr>
          </w:pPr>
          <w:r>
            <w:rPr>
              <w:rFonts w:ascii="Arial" w:eastAsia="Arial" w:hAnsi="Arial"/>
              <w:color w:val="39006B"/>
              <w:sz w:val="13"/>
            </w:rPr>
            <w:t>product names used herein may be the trademarks of their respective companies.</w:t>
          </w:r>
        </w:p>
      </w:tc>
      <w:tc>
        <w:tcPr>
          <w:tcW w:w="3835" w:type="dxa"/>
          <w:shd w:val="clear" w:color="auto" w:fill="auto"/>
          <w:vAlign w:val="bottom"/>
        </w:tcPr>
        <w:p w14:paraId="4231CBE4" w14:textId="77777777" w:rsidR="00FA3F5A" w:rsidRDefault="00FA3F5A" w:rsidP="00FA3F5A">
          <w:pPr>
            <w:spacing w:line="0" w:lineRule="atLeast"/>
            <w:rPr>
              <w:rFonts w:ascii="Times New Roman" w:eastAsia="Times New Roman" w:hAnsi="Times New Roman"/>
              <w:sz w:val="14"/>
            </w:rPr>
          </w:pPr>
        </w:p>
      </w:tc>
    </w:tr>
  </w:tbl>
  <w:bookmarkEnd w:id="1"/>
  <w:p w14:paraId="28B5D2AE" w14:textId="77777777" w:rsidR="00FA3F5A" w:rsidRDefault="006E56B0" w:rsidP="00FA3F5A">
    <w:pPr>
      <w:pStyle w:val="Footer"/>
      <w:tabs>
        <w:tab w:val="clear" w:pos="4680"/>
        <w:tab w:val="clear" w:pos="9360"/>
        <w:tab w:val="center" w:pos="5330"/>
        <w:tab w:val="right" w:pos="10660"/>
      </w:tabs>
    </w:pPr>
    <w:r>
      <w:rPr>
        <w:rFonts w:ascii="Times New Roman" w:eastAsia="Times New Roman" w:hAnsi="Times New Roman"/>
        <w:sz w:val="14"/>
      </w:rPr>
      <w:pict w14:anchorId="240B2A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margin-left:519.5pt;margin-top:-25.9pt;width:12.7pt;height:14.95pt;z-index:-1;mso-wrap-edited:f;mso-width-percent:0;mso-height-percent:0;mso-position-horizontal-relative:text;mso-position-vertical-relative:text;mso-width-percent:0;mso-height-percent:0">
          <v:imagedata r:id="rId1" o:title="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65F50" w14:textId="77777777" w:rsidR="00EA0140" w:rsidRDefault="00EA0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6456E" w14:textId="77777777" w:rsidR="006E56B0" w:rsidRDefault="006E56B0" w:rsidP="00CB192B">
      <w:pPr>
        <w:spacing w:after="0"/>
      </w:pPr>
      <w:r>
        <w:separator/>
      </w:r>
    </w:p>
  </w:footnote>
  <w:footnote w:type="continuationSeparator" w:id="0">
    <w:p w14:paraId="14B7B2C8" w14:textId="77777777" w:rsidR="006E56B0" w:rsidRDefault="006E56B0" w:rsidP="00CB192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E10EA" w14:textId="77777777" w:rsidR="00CB192B" w:rsidRDefault="00CB19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10AC3" w14:textId="77777777" w:rsidR="00EA0140" w:rsidRDefault="00EA01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C389E" w14:textId="77777777" w:rsidR="00CB192B" w:rsidRDefault="00CB19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633487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86E8170"/>
    <w:lvl w:ilvl="0">
      <w:start w:val="1"/>
      <w:numFmt w:val="bullet"/>
      <w:pStyle w:val="Bullet"/>
      <w:lvlText w:val="•"/>
      <w:lvlJc w:val="left"/>
      <w:rPr>
        <w:color w:val="FF33CC"/>
      </w:rPr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oNotTrackMov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6390"/>
    <w:rsid w:val="0002073D"/>
    <w:rsid w:val="00050E86"/>
    <w:rsid w:val="00077EF4"/>
    <w:rsid w:val="00096300"/>
    <w:rsid w:val="000B4BC2"/>
    <w:rsid w:val="0010364A"/>
    <w:rsid w:val="00114EFD"/>
    <w:rsid w:val="00124357"/>
    <w:rsid w:val="00140408"/>
    <w:rsid w:val="0014457C"/>
    <w:rsid w:val="00170A6B"/>
    <w:rsid w:val="001A5C43"/>
    <w:rsid w:val="001A7A19"/>
    <w:rsid w:val="001D1131"/>
    <w:rsid w:val="002172FB"/>
    <w:rsid w:val="00230555"/>
    <w:rsid w:val="002A431D"/>
    <w:rsid w:val="003069E8"/>
    <w:rsid w:val="00307E19"/>
    <w:rsid w:val="003506EB"/>
    <w:rsid w:val="00373429"/>
    <w:rsid w:val="00386142"/>
    <w:rsid w:val="00432337"/>
    <w:rsid w:val="00437FEB"/>
    <w:rsid w:val="0046305A"/>
    <w:rsid w:val="00491757"/>
    <w:rsid w:val="0049470A"/>
    <w:rsid w:val="00495D64"/>
    <w:rsid w:val="00545872"/>
    <w:rsid w:val="00554F91"/>
    <w:rsid w:val="00566C50"/>
    <w:rsid w:val="00583E15"/>
    <w:rsid w:val="005A2ABA"/>
    <w:rsid w:val="005E74F1"/>
    <w:rsid w:val="00644176"/>
    <w:rsid w:val="006554B2"/>
    <w:rsid w:val="006E56B0"/>
    <w:rsid w:val="00733E3D"/>
    <w:rsid w:val="0075452C"/>
    <w:rsid w:val="007615BB"/>
    <w:rsid w:val="007800C7"/>
    <w:rsid w:val="00793B08"/>
    <w:rsid w:val="007D48B5"/>
    <w:rsid w:val="00816F40"/>
    <w:rsid w:val="008C4090"/>
    <w:rsid w:val="008C4E19"/>
    <w:rsid w:val="0090657C"/>
    <w:rsid w:val="009300F0"/>
    <w:rsid w:val="0096499F"/>
    <w:rsid w:val="00966163"/>
    <w:rsid w:val="009D01EA"/>
    <w:rsid w:val="009D7D65"/>
    <w:rsid w:val="009E3A8F"/>
    <w:rsid w:val="00A06FC5"/>
    <w:rsid w:val="00A43020"/>
    <w:rsid w:val="00AA3BBC"/>
    <w:rsid w:val="00AE00ED"/>
    <w:rsid w:val="00AF4404"/>
    <w:rsid w:val="00B1520C"/>
    <w:rsid w:val="00B310EA"/>
    <w:rsid w:val="00B545EF"/>
    <w:rsid w:val="00B5501F"/>
    <w:rsid w:val="00B774CD"/>
    <w:rsid w:val="00B9618C"/>
    <w:rsid w:val="00BC54E3"/>
    <w:rsid w:val="00BE15AC"/>
    <w:rsid w:val="00BE79A9"/>
    <w:rsid w:val="00C0450C"/>
    <w:rsid w:val="00C25DC4"/>
    <w:rsid w:val="00C31C44"/>
    <w:rsid w:val="00C51AAA"/>
    <w:rsid w:val="00C53C4F"/>
    <w:rsid w:val="00C57D7E"/>
    <w:rsid w:val="00C609F3"/>
    <w:rsid w:val="00C60B0D"/>
    <w:rsid w:val="00C729FD"/>
    <w:rsid w:val="00CA3B8A"/>
    <w:rsid w:val="00CA4C47"/>
    <w:rsid w:val="00CA4F73"/>
    <w:rsid w:val="00CB192B"/>
    <w:rsid w:val="00CC7CA5"/>
    <w:rsid w:val="00CF2736"/>
    <w:rsid w:val="00D224B8"/>
    <w:rsid w:val="00D4257E"/>
    <w:rsid w:val="00D45AA4"/>
    <w:rsid w:val="00D62B4C"/>
    <w:rsid w:val="00D65475"/>
    <w:rsid w:val="00D76EBE"/>
    <w:rsid w:val="00DC07E5"/>
    <w:rsid w:val="00DC19BB"/>
    <w:rsid w:val="00DE537E"/>
    <w:rsid w:val="00DF767A"/>
    <w:rsid w:val="00E035E8"/>
    <w:rsid w:val="00E33B96"/>
    <w:rsid w:val="00E62AD0"/>
    <w:rsid w:val="00E675C7"/>
    <w:rsid w:val="00EA0140"/>
    <w:rsid w:val="00EA0CCF"/>
    <w:rsid w:val="00ED536E"/>
    <w:rsid w:val="00EE567B"/>
    <w:rsid w:val="00F56928"/>
    <w:rsid w:val="00F63C87"/>
    <w:rsid w:val="00FA3F5A"/>
    <w:rsid w:val="00FB076D"/>
    <w:rsid w:val="00FB20F9"/>
    <w:rsid w:val="00FD4458"/>
    <w:rsid w:val="00FD6390"/>
    <w:rsid w:val="00FF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0142A07"/>
  <w15:chartTrackingRefBased/>
  <w15:docId w15:val="{391B984A-C421-374E-8CBB-88FE4E03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E15"/>
    <w:pPr>
      <w:spacing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452C"/>
    <w:pPr>
      <w:keepNext/>
      <w:spacing w:before="24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52C"/>
    <w:pPr>
      <w:keepNext/>
      <w:spacing w:before="24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52C"/>
    <w:pPr>
      <w:keepNext/>
      <w:spacing w:before="24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link w:val="BulletChar"/>
    <w:qFormat/>
    <w:rsid w:val="00140408"/>
    <w:pPr>
      <w:numPr>
        <w:numId w:val="3"/>
      </w:numPr>
      <w:tabs>
        <w:tab w:val="left" w:pos="240"/>
      </w:tabs>
      <w:spacing w:before="60" w:line="360" w:lineRule="auto"/>
      <w:ind w:left="230" w:hanging="230"/>
    </w:pPr>
    <w:rPr>
      <w:rFonts w:ascii="Arial" w:eastAsia="Arial" w:hAnsi="Arial"/>
      <w:sz w:val="18"/>
    </w:rPr>
  </w:style>
  <w:style w:type="character" w:customStyle="1" w:styleId="Heading1Char">
    <w:name w:val="Heading 1 Char"/>
    <w:link w:val="Heading1"/>
    <w:uiPriority w:val="9"/>
    <w:rsid w:val="0075452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BulletChar">
    <w:name w:val="Bullet Char"/>
    <w:link w:val="Bullet"/>
    <w:rsid w:val="00140408"/>
    <w:rPr>
      <w:rFonts w:ascii="Arial" w:eastAsia="Arial" w:hAnsi="Arial"/>
      <w:sz w:val="18"/>
    </w:rPr>
  </w:style>
  <w:style w:type="character" w:customStyle="1" w:styleId="Heading2Char">
    <w:name w:val="Heading 2 Char"/>
    <w:link w:val="Heading2"/>
    <w:uiPriority w:val="9"/>
    <w:rsid w:val="0075452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75452C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Heading10">
    <w:name w:val="Heading1"/>
    <w:basedOn w:val="Heading3"/>
    <w:link w:val="Heading1Char0"/>
    <w:qFormat/>
    <w:rsid w:val="00CA4F73"/>
    <w:rPr>
      <w:rFonts w:ascii="Arial" w:eastAsia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CB192B"/>
    <w:pPr>
      <w:tabs>
        <w:tab w:val="center" w:pos="4680"/>
        <w:tab w:val="right" w:pos="9360"/>
      </w:tabs>
    </w:pPr>
  </w:style>
  <w:style w:type="character" w:customStyle="1" w:styleId="Heading1Char0">
    <w:name w:val="Heading1 Char"/>
    <w:link w:val="Heading10"/>
    <w:rsid w:val="00CA4F73"/>
    <w:rPr>
      <w:rFonts w:ascii="Arial" w:eastAsia="Arial" w:hAnsi="Arial" w:cs="Times New Roman"/>
      <w:b/>
      <w:bCs/>
      <w:sz w:val="22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CB192B"/>
  </w:style>
  <w:style w:type="paragraph" w:styleId="Footer">
    <w:name w:val="footer"/>
    <w:basedOn w:val="Normal"/>
    <w:link w:val="FooterChar"/>
    <w:uiPriority w:val="99"/>
    <w:unhideWhenUsed/>
    <w:rsid w:val="00CB19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CE560A-331B-2949-8B15-31B3D5248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cp:lastModifiedBy>Msoft398</cp:lastModifiedBy>
  <cp:revision>5</cp:revision>
  <dcterms:created xsi:type="dcterms:W3CDTF">2020-08-17T10:22:00Z</dcterms:created>
  <dcterms:modified xsi:type="dcterms:W3CDTF">2020-08-17T10:29:00Z</dcterms:modified>
</cp:coreProperties>
</file>