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6"/>
        </w:rPr>
        <w:t>Battery AI Co-Scientist</w:t>
      </w:r>
    </w:p>
    <w:p>
      <w:pPr>
        <w:jc w:val="center"/>
      </w:pPr>
      <w:r>
        <w:rPr>
          <w:i/>
          <w:color w:val="007A8A"/>
          <w:sz w:val="28"/>
        </w:rPr>
        <w:t>End-to-End Project Report: Lithium-Ion Battery RUL Prediction</w:t>
        <w:br/>
        <w:t>with Uncertainty Quantification, Survival Analysis &amp; Anomaly Detection</w:t>
      </w:r>
    </w:p>
    <w:p/>
    <w:p>
      <w:pPr>
        <w:jc w:val="center"/>
      </w:pPr>
      <w:r>
        <w:rPr>
          <w:sz w:val="22"/>
        </w:rPr>
        <w:t>April 2026</w:t>
      </w:r>
    </w:p>
    <w:p>
      <w:r>
        <w:br w:type="page"/>
      </w:r>
    </w:p>
    <w:p>
      <w:pPr>
        <w:pStyle w:val="Heading1"/>
        <w:jc w:val="left"/>
      </w:pPr>
      <w:r>
        <w:rPr>
          <w:color w:val="1F3A5F"/>
        </w:rPr>
        <w:t>1. Problem Statement</w:t>
      </w:r>
    </w:p>
    <w:p>
      <w:pPr>
        <w:spacing w:after="120"/>
      </w:pPr>
      <w:r>
        <w:rPr>
          <w:b w:val="0"/>
          <w:i w:val="0"/>
          <w:color w:val="4A4A4A"/>
          <w:sz w:val="22"/>
        </w:rPr>
        <w:t>Lithium-ion batteries power electric vehicles, medical devices, and consumer electronics. As they are repeatedly charged and discharged, their capacity to hold charge gradually decreases — a process called degradation. If a battery is used past its safe operating limit, it can fail unexpectedly, cause safety hazards, or damage the equipment it powers.</w:t>
      </w:r>
    </w:p>
    <w:p>
      <w:pPr>
        <w:spacing w:after="120"/>
      </w:pPr>
      <w:r>
        <w:rPr>
          <w:b w:val="0"/>
          <w:i w:val="0"/>
          <w:color w:val="4A4A4A"/>
          <w:sz w:val="22"/>
        </w:rPr>
        <w:t>The core question this project answers is:</w:t>
      </w:r>
    </w:p>
    <w:p>
      <w:pPr>
        <w:ind w:left="850"/>
      </w:pPr>
      <w:r>
        <w:rPr>
          <w:i/>
          <w:color w:val="1F3A5F"/>
          <w:sz w:val="24"/>
        </w:rPr>
        <w:t>"Given the current state of a battery (capacity, temperature, voltage, current, cycle history), how many more charge-discharge cycles can it safely complete before it reaches End-of-Life?"</w:t>
      </w:r>
    </w:p>
    <w:p>
      <w:pPr>
        <w:spacing w:after="120"/>
      </w:pPr>
      <w:r>
        <w:rPr>
          <w:b w:val="0"/>
          <w:i w:val="0"/>
          <w:color w:val="4A4A4A"/>
          <w:sz w:val="22"/>
        </w:rPr>
        <w:t>This number — the Remaining Useful Life (RUL) — is critical for predictive maintenance. Simply predicting a number is not enough; a trustworthy system must also say how confident it is in that prediction, flag unusual battery behaviour, and explain what is driving the degradation.</w:t>
      </w:r>
    </w:p>
    <w:p>
      <w:pPr>
        <w:pStyle w:val="Heading1"/>
        <w:jc w:val="left"/>
      </w:pPr>
      <w:r>
        <w:rPr>
          <w:color w:val="1F3A5F"/>
        </w:rPr>
        <w:t>2. Dataset</w:t>
      </w:r>
    </w:p>
    <w:p>
      <w:pPr>
        <w:spacing w:after="120"/>
      </w:pPr>
      <w:r>
        <w:rPr>
          <w:b w:val="0"/>
          <w:i w:val="0"/>
          <w:color w:val="4A4A4A"/>
          <w:sz w:val="22"/>
        </w:rPr>
        <w:t>The project uses the NASA Prognostics Center of Excellence Battery Dataset — the most widely cited public benchmark for battery RUL research.</w:t>
      </w:r>
    </w:p>
    <w:p>
      <w:pPr>
        <w:pStyle w:val="Heading2"/>
        <w:jc w:val="left"/>
      </w:pPr>
      <w:r>
        <w:rPr>
          <w:color w:val="1F3A5F"/>
        </w:rPr>
        <w:t>2.1  Physical Setup</w:t>
      </w:r>
    </w:p>
    <w:tbl>
      <w:tblPr>
        <w:tblStyle w:val="TableGrid"/>
        <w:tblW w:type="auto" w:w="0"/>
        <w:tblLook w:firstColumn="1" w:firstRow="1" w:lastColumn="0" w:lastRow="0" w:noHBand="0" w:noVBand="1" w:val="04A0"/>
      </w:tblPr>
      <w:tblGrid>
        <w:gridCol w:w="4703"/>
        <w:gridCol w:w="4703"/>
      </w:tblGrid>
      <w:tr>
        <w:tc>
          <w:tcPr>
            <w:tcW w:type="dxa" w:w="3402"/>
            <w:shd w:val="clear" w:color="auto" w:fill="1F3A5F"/>
          </w:tcPr>
          <w:p>
            <w:r>
              <w:rPr>
                <w:b/>
                <w:color w:val="FFFFFF"/>
              </w:rPr>
              <w:t>Property</w:t>
            </w:r>
          </w:p>
        </w:tc>
        <w:tc>
          <w:tcPr>
            <w:tcW w:type="dxa" w:w="5669"/>
            <w:shd w:val="clear" w:color="auto" w:fill="1F3A5F"/>
          </w:tcPr>
          <w:p>
            <w:r>
              <w:rPr>
                <w:b/>
                <w:color w:val="FFFFFF"/>
              </w:rPr>
              <w:t>Detail</w:t>
            </w:r>
          </w:p>
        </w:tc>
      </w:tr>
      <w:tr>
        <w:tc>
          <w:tcPr>
            <w:tcW w:type="dxa" w:w="3402"/>
          </w:tcPr>
          <w:p>
            <w:r>
              <w:t>Cell chemistry</w:t>
            </w:r>
          </w:p>
        </w:tc>
        <w:tc>
          <w:tcPr>
            <w:tcW w:type="dxa" w:w="5669"/>
          </w:tcPr>
          <w:p>
            <w:r>
              <w:t>Lithium Cobalt Oxide (LiCoO₂) cathode / graphite anode</w:t>
            </w:r>
          </w:p>
        </w:tc>
      </w:tr>
      <w:tr>
        <w:tc>
          <w:tcPr>
            <w:tcW w:type="dxa" w:w="3402"/>
          </w:tcPr>
          <w:p>
            <w:r>
              <w:t>Form factor</w:t>
            </w:r>
          </w:p>
        </w:tc>
        <w:tc>
          <w:tcPr>
            <w:tcW w:type="dxa" w:w="5669"/>
          </w:tcPr>
          <w:p>
            <w:r>
              <w:t>18650 cylindrical cell</w:t>
            </w:r>
          </w:p>
        </w:tc>
      </w:tr>
      <w:tr>
        <w:tc>
          <w:tcPr>
            <w:tcW w:type="dxa" w:w="3402"/>
          </w:tcPr>
          <w:p>
            <w:r>
              <w:t>Nominal capacity</w:t>
            </w:r>
          </w:p>
        </w:tc>
        <w:tc>
          <w:tcPr>
            <w:tcW w:type="dxa" w:w="5669"/>
          </w:tcPr>
          <w:p>
            <w:r>
              <w:t>2.0 Ah</w:t>
            </w:r>
          </w:p>
        </w:tc>
      </w:tr>
      <w:tr>
        <w:tc>
          <w:tcPr>
            <w:tcW w:type="dxa" w:w="3402"/>
          </w:tcPr>
          <w:p>
            <w:r>
              <w:t>End-of-Life (EOL) criterion</w:t>
            </w:r>
          </w:p>
        </w:tc>
        <w:tc>
          <w:tcPr>
            <w:tcW w:type="dxa" w:w="5669"/>
          </w:tcPr>
          <w:p>
            <w:r>
              <w:t>Capacity drops to 80% of nominal = 1.6 Ah</w:t>
            </w:r>
          </w:p>
        </w:tc>
      </w:tr>
      <w:tr>
        <w:tc>
          <w:tcPr>
            <w:tcW w:type="dxa" w:w="3402"/>
          </w:tcPr>
          <w:p>
            <w:r>
              <w:t>Operating temperatures</w:t>
            </w:r>
          </w:p>
        </w:tc>
        <w:tc>
          <w:tcPr>
            <w:tcW w:type="dxa" w:w="5669"/>
          </w:tcPr>
          <w:p>
            <w:r>
              <w:t>Room (~24°C) · Hot (43°C) · Cold (&lt;10°C)</w:t>
            </w:r>
          </w:p>
        </w:tc>
      </w:tr>
      <w:tr>
        <w:tc>
          <w:tcPr>
            <w:tcW w:type="dxa" w:w="3402"/>
          </w:tcPr>
          <w:p>
            <w:r>
              <w:t>Total batteries in project</w:t>
            </w:r>
          </w:p>
        </w:tc>
        <w:tc>
          <w:tcPr>
            <w:tcW w:type="dxa" w:w="5669"/>
          </w:tcPr>
          <w:p>
            <w:r>
              <w:t>34 batteries (B0005 – B0056, non-consecutive)</w:t>
            </w:r>
          </w:p>
        </w:tc>
      </w:tr>
    </w:tbl>
    <w:p/>
    <w:p>
      <w:pPr>
        <w:pStyle w:val="Heading2"/>
        <w:jc w:val="left"/>
      </w:pPr>
      <w:r>
        <w:rPr>
          <w:color w:val="1F3A5F"/>
        </w:rPr>
        <w:t>2.2  Temperature Groups</w:t>
      </w:r>
    </w:p>
    <w:p>
      <w:pPr>
        <w:spacing w:after="120"/>
      </w:pPr>
      <w:r>
        <w:rPr>
          <w:b w:val="0"/>
          <w:i w:val="0"/>
          <w:color w:val="4A4A4A"/>
          <w:sz w:val="22"/>
        </w:rPr>
        <w:t>Battery IDs encode the test temperature. The pipeline uses this to stratify splits and apply different calibration strategies: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07A8A"/>
          </w:tcPr>
          <w:p>
            <w:r>
              <w:rPr>
                <w:b/>
                <w:color w:val="FFFFFF"/>
              </w:rPr>
              <w:t>Group</w:t>
            </w:r>
          </w:p>
        </w:tc>
        <w:tc>
          <w:tcPr>
            <w:tcW w:type="dxa" w:w="4535"/>
            <w:shd w:val="clear" w:color="auto" w:fill="007A8A"/>
          </w:tcPr>
          <w:p>
            <w:r>
              <w:rPr>
                <w:b/>
                <w:color w:val="FFFFFF"/>
              </w:rPr>
              <w:t>Battery IDs</w:t>
            </w:r>
          </w:p>
        </w:tc>
        <w:tc>
          <w:tcPr>
            <w:tcW w:type="dxa" w:w="2551"/>
            <w:shd w:val="clear" w:color="auto" w:fill="007A8A"/>
          </w:tcPr>
          <w:p>
            <w:r>
              <w:rPr>
                <w:b/>
                <w:color w:val="FFFFFF"/>
              </w:rPr>
              <w:t>Why it matters</w:t>
            </w:r>
          </w:p>
        </w:tc>
      </w:tr>
      <w:tr>
        <w:tc>
          <w:tcPr>
            <w:tcW w:type="dxa" w:w="1984"/>
          </w:tcPr>
          <w:p>
            <w:r>
              <w:t>Room temp (~24°C)</w:t>
            </w:r>
          </w:p>
        </w:tc>
        <w:tc>
          <w:tcPr>
            <w:tcW w:type="dxa" w:w="4535"/>
          </w:tcPr>
          <w:p>
            <w:r>
              <w:t>B0005–B0007, B0018, B0025–B0028, B0033–B0040</w:t>
            </w:r>
          </w:p>
        </w:tc>
        <w:tc>
          <w:tcPr>
            <w:tcW w:type="dxa" w:w="2551"/>
          </w:tcPr>
          <w:p>
            <w:r>
              <w:t>Standard baseline behaviour</w:t>
            </w:r>
          </w:p>
        </w:tc>
      </w:tr>
      <w:tr>
        <w:tc>
          <w:tcPr>
            <w:tcW w:type="dxa" w:w="1984"/>
          </w:tcPr>
          <w:p>
            <w:r>
              <w:t>Hot (43°C)</w:t>
            </w:r>
          </w:p>
        </w:tc>
        <w:tc>
          <w:tcPr>
            <w:tcW w:type="dxa" w:w="4535"/>
          </w:tcPr>
          <w:p>
            <w:r>
              <w:t>B0029–B0032, B0038–B0040</w:t>
            </w:r>
          </w:p>
        </w:tc>
        <w:tc>
          <w:tcPr>
            <w:tcW w:type="dxa" w:w="2551"/>
          </w:tcPr>
          <w:p>
            <w:r>
              <w:t>Faster degradation via higher SEI growth</w:t>
            </w:r>
          </w:p>
        </w:tc>
      </w:tr>
      <w:tr>
        <w:tc>
          <w:tcPr>
            <w:tcW w:type="dxa" w:w="1984"/>
          </w:tcPr>
          <w:p>
            <w:r>
              <w:t>Cold (&lt;10°C)</w:t>
            </w:r>
          </w:p>
        </w:tc>
        <w:tc>
          <w:tcPr>
            <w:tcW w:type="dxa" w:w="4535"/>
          </w:tcPr>
          <w:p>
            <w:r>
              <w:t>B0041–B0056</w:t>
            </w:r>
          </w:p>
        </w:tc>
        <w:tc>
          <w:tcPr>
            <w:tcW w:type="dxa" w:w="2551"/>
          </w:tcPr>
          <w:p>
            <w:r>
              <w:t>Slower but irregular degradation; harder to predict</w:t>
            </w:r>
          </w:p>
        </w:tc>
      </w:tr>
    </w:tbl>
    <w:p/>
    <w:p>
      <w:pPr>
        <w:pStyle w:val="Heading2"/>
        <w:jc w:val="left"/>
      </w:pPr>
      <w:r>
        <w:rPr>
          <w:color w:val="1F3A5F"/>
        </w:rPr>
        <w:t>2.3  What Each Cycle Record Contains</w:t>
      </w:r>
    </w:p>
    <w:p>
      <w:pPr>
        <w:spacing w:after="120"/>
      </w:pPr>
      <w:r>
        <w:rPr>
          <w:b w:val="0"/>
          <w:i w:val="0"/>
          <w:color w:val="4A4A4A"/>
          <w:sz w:val="22"/>
        </w:rPr>
        <w:t>Raw per-cycle time-series data (voltage, current, temperature, time) is preprocessed in Stages 1–2 into a flat feature table. Each row is one charge-discharge cycle for one battery:</w:t>
      </w:r>
    </w:p>
    <w:tbl>
      <w:tblPr>
        <w:tblStyle w:val="TableGrid"/>
        <w:tblW w:type="auto" w:w="0"/>
        <w:tblLook w:firstColumn="1" w:firstRow="1" w:lastColumn="0" w:lastRow="0" w:noHBand="0" w:noVBand="1" w:val="04A0"/>
      </w:tblPr>
      <w:tblGrid>
        <w:gridCol w:w="4703"/>
        <w:gridCol w:w="4703"/>
      </w:tblGrid>
      <w:tr>
        <w:tc>
          <w:tcPr>
            <w:tcW w:type="dxa" w:w="2268"/>
            <w:shd w:val="clear" w:color="auto" w:fill="4A4A4A"/>
          </w:tcPr>
          <w:p>
            <w:r>
              <w:rPr>
                <w:b/>
                <w:color w:val="FFFFFF"/>
              </w:rPr>
              <w:t>Feature</w:t>
            </w:r>
          </w:p>
        </w:tc>
        <w:tc>
          <w:tcPr>
            <w:tcW w:type="dxa" w:w="6803"/>
            <w:shd w:val="clear" w:color="auto" w:fill="4A4A4A"/>
          </w:tcPr>
          <w:p>
            <w:r>
              <w:rPr>
                <w:b/>
                <w:color w:val="FFFFFF"/>
              </w:rPr>
              <w:t>Meaning</w:t>
            </w:r>
          </w:p>
        </w:tc>
      </w:tr>
      <w:tr>
        <w:tc>
          <w:tcPr>
            <w:tcW w:type="dxa" w:w="2268"/>
          </w:tcPr>
          <w:p>
            <w:r>
              <w:t>capacity</w:t>
            </w:r>
          </w:p>
        </w:tc>
        <w:tc>
          <w:tcPr>
            <w:tcW w:type="dxa" w:w="6803"/>
          </w:tcPr>
          <w:p>
            <w:r>
              <w:t>Measured discharge capacity (Ah) — primary health indicator</w:t>
            </w:r>
          </w:p>
        </w:tc>
      </w:tr>
      <w:tr>
        <w:tc>
          <w:tcPr>
            <w:tcW w:type="dxa" w:w="2268"/>
          </w:tcPr>
          <w:p>
            <w:r>
              <w:t>cycle_index</w:t>
            </w:r>
          </w:p>
        </w:tc>
        <w:tc>
          <w:tcPr>
            <w:tcW w:type="dxa" w:w="6803"/>
          </w:tcPr>
          <w:p>
            <w:r>
              <w:t>Cycle number (counts from 0)</w:t>
            </w:r>
          </w:p>
        </w:tc>
      </w:tr>
      <w:tr>
        <w:tc>
          <w:tcPr>
            <w:tcW w:type="dxa" w:w="2268"/>
          </w:tcPr>
          <w:p>
            <w:r>
              <w:t>temp_mean / temp_max</w:t>
            </w:r>
          </w:p>
        </w:tc>
        <w:tc>
          <w:tcPr>
            <w:tcW w:type="dxa" w:w="6803"/>
          </w:tcPr>
          <w:p>
            <w:r>
              <w:t>Mean and maximum temperature during the cycle (°C)</w:t>
            </w:r>
          </w:p>
        </w:tc>
      </w:tr>
      <w:tr>
        <w:tc>
          <w:tcPr>
            <w:tcW w:type="dxa" w:w="2268"/>
          </w:tcPr>
          <w:p>
            <w:r>
              <w:t>v_mean / v_min</w:t>
            </w:r>
          </w:p>
        </w:tc>
        <w:tc>
          <w:tcPr>
            <w:tcW w:type="dxa" w:w="6803"/>
          </w:tcPr>
          <w:p>
            <w:r>
              <w:t>Mean and minimum voltage (V)</w:t>
            </w:r>
          </w:p>
        </w:tc>
      </w:tr>
      <w:tr>
        <w:tc>
          <w:tcPr>
            <w:tcW w:type="dxa" w:w="2268"/>
          </w:tcPr>
          <w:p>
            <w:r>
              <w:t>i_mean / i_min</w:t>
            </w:r>
          </w:p>
        </w:tc>
        <w:tc>
          <w:tcPr>
            <w:tcW w:type="dxa" w:w="6803"/>
          </w:tcPr>
          <w:p>
            <w:r>
              <w:t>Mean and minimum current (A)</w:t>
            </w:r>
          </w:p>
        </w:tc>
      </w:tr>
      <w:tr>
        <w:tc>
          <w:tcPr>
            <w:tcW w:type="dxa" w:w="2268"/>
          </w:tcPr>
          <w:p>
            <w:r>
              <w:t>energy_j</w:t>
            </w:r>
          </w:p>
        </w:tc>
        <w:tc>
          <w:tcPr>
            <w:tcW w:type="dxa" w:w="6803"/>
          </w:tcPr>
          <w:p>
            <w:r>
              <w:t>Total energy delivered (Joules) = integral of V×I dt</w:t>
            </w:r>
          </w:p>
        </w:tc>
      </w:tr>
      <w:tr>
        <w:tc>
          <w:tcPr>
            <w:tcW w:type="dxa" w:w="2268"/>
          </w:tcPr>
          <w:p>
            <w:r>
              <w:t>ah_est</w:t>
            </w:r>
          </w:p>
        </w:tc>
        <w:tc>
          <w:tcPr>
            <w:tcW w:type="dxa" w:w="6803"/>
          </w:tcPr>
          <w:p>
            <w:r>
              <w:t>Estimated Ampere-hours — alternative capacity proxy</w:t>
            </w:r>
          </w:p>
        </w:tc>
      </w:tr>
      <w:tr>
        <w:tc>
          <w:tcPr>
            <w:tcW w:type="dxa" w:w="2268"/>
          </w:tcPr>
          <w:p>
            <w:r>
              <w:t>duration_s</w:t>
            </w:r>
          </w:p>
        </w:tc>
        <w:tc>
          <w:tcPr>
            <w:tcW w:type="dxa" w:w="6803"/>
          </w:tcPr>
          <w:p>
            <w:r>
              <w:t>Cycle duration in seconds</w:t>
            </w:r>
          </w:p>
        </w:tc>
      </w:tr>
      <w:tr>
        <w:tc>
          <w:tcPr>
            <w:tcW w:type="dxa" w:w="2268"/>
          </w:tcPr>
          <w:p>
            <w:r>
              <w:t>RUL</w:t>
            </w:r>
          </w:p>
        </w:tc>
        <w:tc>
          <w:tcPr>
            <w:tcW w:type="dxa" w:w="6803"/>
          </w:tcPr>
          <w:p>
            <w:r>
              <w:t>Ground-truth label: cycles until capacity first hits 1.6 Ah</w:t>
            </w:r>
          </w:p>
        </w:tc>
      </w:tr>
      <w:tr>
        <w:tc>
          <w:tcPr>
            <w:tcW w:type="dxa" w:w="2268"/>
          </w:tcPr>
          <w:p>
            <w:r>
              <w:t>eol_capacity_threshold</w:t>
            </w:r>
          </w:p>
        </w:tc>
        <w:tc>
          <w:tcPr>
            <w:tcW w:type="dxa" w:w="6803"/>
          </w:tcPr>
          <w:p>
            <w:r>
              <w:t>Per-battery EOL capacity value (1.6 Ah in most cases)</w:t>
            </w:r>
          </w:p>
        </w:tc>
      </w:tr>
    </w:tbl>
    <w:p/>
    <w:p>
      <w:pPr>
        <w:pStyle w:val="Heading1"/>
        <w:jc w:val="left"/>
      </w:pPr>
      <w:r>
        <w:rPr>
          <w:color w:val="1F3A5F"/>
        </w:rPr>
        <w:t>3. Project Goals and Success Targets</w:t>
      </w:r>
    </w:p>
    <w:p>
      <w:pPr>
        <w:spacing w:after="120"/>
      </w:pPr>
      <w:r>
        <w:rPr>
          <w:b w:val="0"/>
          <w:i w:val="0"/>
          <w:color w:val="4A4A4A"/>
          <w:sz w:val="22"/>
        </w:rPr>
        <w:t>The project has six pipeline stages, each with a measurable acceptance criterion. The table below shows each target and the actual result: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17"/>
            <w:shd w:val="clear" w:color="auto" w:fill="1F3A5F"/>
          </w:tcPr>
          <w:p>
            <w:r>
              <w:rPr>
                <w:b/>
                <w:color w:val="FFFFFF"/>
                <w:sz w:val="18"/>
              </w:rPr>
              <w:t>Stage</w:t>
            </w:r>
          </w:p>
        </w:tc>
        <w:tc>
          <w:tcPr>
            <w:tcW w:type="dxa" w:w="2268"/>
            <w:shd w:val="clear" w:color="auto" w:fill="1F3A5F"/>
          </w:tcPr>
          <w:p>
            <w:r>
              <w:rPr>
                <w:b/>
                <w:color w:val="FFFFFF"/>
                <w:sz w:val="18"/>
              </w:rPr>
              <w:t>Goal</w:t>
            </w:r>
          </w:p>
        </w:tc>
        <w:tc>
          <w:tcPr>
            <w:tcW w:type="dxa" w:w="1984"/>
            <w:shd w:val="clear" w:color="auto" w:fill="1F3A5F"/>
          </w:tcPr>
          <w:p>
            <w:r>
              <w:rPr>
                <w:b/>
                <w:color w:val="FFFFFF"/>
                <w:sz w:val="18"/>
              </w:rPr>
              <w:t>Target / Criterion</w:t>
            </w:r>
          </w:p>
        </w:tc>
        <w:tc>
          <w:tcPr>
            <w:tcW w:type="dxa" w:w="2551"/>
            <w:shd w:val="clear" w:color="auto" w:fill="1F3A5F"/>
          </w:tcPr>
          <w:p>
            <w:r>
              <w:rPr>
                <w:b/>
                <w:color w:val="FFFFFF"/>
                <w:sz w:val="18"/>
              </w:rPr>
              <w:t>Actual Result</w:t>
            </w:r>
          </w:p>
        </w:tc>
        <w:tc>
          <w:tcPr>
            <w:tcW w:type="dxa" w:w="1984"/>
            <w:shd w:val="clear" w:color="auto" w:fill="1F3A5F"/>
          </w:tcPr>
          <w:p>
            <w:r>
              <w:rPr>
                <w:b/>
                <w:color w:val="FFFFFF"/>
                <w:sz w:val="18"/>
              </w:rPr>
              <w:t>Verdict</w:t>
            </w:r>
          </w:p>
        </w:tc>
      </w:tr>
      <w:tr>
        <w:tc>
          <w:tcPr>
            <w:tcW w:type="dxa" w:w="1417"/>
          </w:tcPr>
          <w:p>
            <w:r>
              <w:rPr>
                <w:sz w:val="18"/>
              </w:rPr>
              <w:t>3 – Modeling</w:t>
            </w:r>
          </w:p>
        </w:tc>
        <w:tc>
          <w:tcPr>
            <w:tcW w:type="dxa" w:w="2268"/>
          </w:tcPr>
          <w:p>
            <w:r>
              <w:rPr>
                <w:sz w:val="18"/>
              </w:rPr>
              <w:t>Predict RUL accurately on unseen batteries</w:t>
            </w:r>
          </w:p>
        </w:tc>
        <w:tc>
          <w:tcPr>
            <w:tcW w:type="dxa" w:w="1984"/>
          </w:tcPr>
          <w:p>
            <w:r>
              <w:rPr>
                <w:sz w:val="18"/>
              </w:rPr>
              <w:t>Test RMSE &lt; 100 cycles</w:t>
            </w:r>
          </w:p>
        </w:tc>
        <w:tc>
          <w:tcPr>
            <w:tcW w:type="dxa" w:w="2551"/>
          </w:tcPr>
          <w:p>
            <w:r>
              <w:rPr>
                <w:sz w:val="18"/>
              </w:rPr>
              <w:t>XGBoost RMSE = 22.08 cycles</w:t>
              <w:br/>
              <w:t>Statistical baseline RMSE = 466.82</w:t>
              <w:br/>
              <w:t>TCN RMSE = 25.63</w:t>
            </w:r>
          </w:p>
        </w:tc>
        <w:tc>
          <w:tcPr>
            <w:tcW w:type="dxa" w:w="1984"/>
          </w:tcPr>
          <w:p>
            <w:r>
              <w:rPr>
                <w:sz w:val="18"/>
              </w:rPr>
              <w:t>CONDITIONAL PASS</w:t>
              <w:br/>
              <w:t>(CV RMSE = 48.17, ratio 2.2× vs test)</w:t>
            </w:r>
          </w:p>
        </w:tc>
      </w:tr>
      <w:tr>
        <w:tc>
          <w:tcPr>
            <w:tcW w:type="dxa" w:w="1417"/>
          </w:tcPr>
          <w:p>
            <w:r>
              <w:rPr>
                <w:sz w:val="18"/>
              </w:rPr>
              <w:t>4 – Uncertainty</w:t>
            </w:r>
          </w:p>
        </w:tc>
        <w:tc>
          <w:tcPr>
            <w:tcW w:type="dxa" w:w="2268"/>
          </w:tcPr>
          <w:p>
            <w:r>
              <w:rPr>
                <w:sz w:val="18"/>
              </w:rPr>
              <w:t>Quantify prediction uncertainty with coverage guarantees</w:t>
            </w:r>
          </w:p>
        </w:tc>
        <w:tc>
          <w:tcPr>
            <w:tcW w:type="dxa" w:w="1984"/>
          </w:tcPr>
          <w:p>
            <w:r>
              <w:rPr>
                <w:sz w:val="18"/>
              </w:rPr>
              <w:t>90% conformal coverage on test set</w:t>
            </w:r>
          </w:p>
        </w:tc>
        <w:tc>
          <w:tcPr>
            <w:tcW w:type="dxa" w:w="2551"/>
          </w:tcPr>
          <w:p>
            <w:r>
              <w:rPr>
                <w:sz w:val="18"/>
              </w:rPr>
              <w:t>Overall coverage = 98.3%</w:t>
              <w:br/>
              <w:t>Cold batteries = 88.7% (LOBO)</w:t>
            </w:r>
          </w:p>
        </w:tc>
        <w:tc>
          <w:tcPr>
            <w:tcW w:type="dxa" w:w="1984"/>
          </w:tcPr>
          <w:p>
            <w:r>
              <w:rPr>
                <w:sz w:val="18"/>
              </w:rPr>
              <w:t>PASS</w:t>
            </w:r>
          </w:p>
        </w:tc>
      </w:tr>
      <w:tr>
        <w:tc>
          <w:tcPr>
            <w:tcW w:type="dxa" w:w="1417"/>
          </w:tcPr>
          <w:p>
            <w:r>
              <w:rPr>
                <w:sz w:val="18"/>
              </w:rPr>
              <w:t>4.2 – Survival Risk</w:t>
            </w:r>
          </w:p>
        </w:tc>
        <w:tc>
          <w:tcPr>
            <w:tcW w:type="dxa" w:w="2268"/>
          </w:tcPr>
          <w:p>
            <w:r>
              <w:rPr>
                <w:sz w:val="18"/>
              </w:rPr>
              <w:t>Estimate failure probability within a horizon window</w:t>
            </w:r>
          </w:p>
        </w:tc>
        <w:tc>
          <w:tcPr>
            <w:tcW w:type="dxa" w:w="1984"/>
          </w:tcPr>
          <w:p>
            <w:r>
              <w:rPr>
                <w:sz w:val="18"/>
              </w:rPr>
              <w:t>Survival predictions produced for all test batteries</w:t>
            </w:r>
          </w:p>
        </w:tc>
        <w:tc>
          <w:tcPr>
            <w:tcW w:type="dxa" w:w="2551"/>
          </w:tcPr>
          <w:p>
            <w:r>
              <w:rPr>
                <w:sz w:val="18"/>
              </w:rPr>
              <w:t>638 rows predicted</w:t>
              <w:br/>
              <w:t>Risk categories: LOW/MEDIUM/HIGH</w:t>
            </w:r>
          </w:p>
        </w:tc>
        <w:tc>
          <w:tcPr>
            <w:tcW w:type="dxa" w:w="1984"/>
          </w:tcPr>
          <w:p>
            <w:r>
              <w:rPr>
                <w:sz w:val="18"/>
              </w:rPr>
              <w:t>PASS</w:t>
            </w:r>
          </w:p>
        </w:tc>
      </w:tr>
      <w:tr>
        <w:tc>
          <w:tcPr>
            <w:tcW w:type="dxa" w:w="1417"/>
          </w:tcPr>
          <w:p>
            <w:r>
              <w:rPr>
                <w:sz w:val="18"/>
              </w:rPr>
              <w:t>4.5 – Anomaly Detection</w:t>
            </w:r>
          </w:p>
        </w:tc>
        <w:tc>
          <w:tcPr>
            <w:tcW w:type="dxa" w:w="2268"/>
          </w:tcPr>
          <w:p>
            <w:r>
              <w:rPr>
                <w:sz w:val="18"/>
              </w:rPr>
              <w:t>Flag cycles deviating from expected degradation trajectory</w:t>
            </w:r>
          </w:p>
        </w:tc>
        <w:tc>
          <w:tcPr>
            <w:tcW w:type="dxa" w:w="1984"/>
          </w:tcPr>
          <w:p>
            <w:r>
              <w:rPr>
                <w:sz w:val="18"/>
              </w:rPr>
              <w:t>Detector runs without error</w:t>
            </w:r>
          </w:p>
        </w:tc>
        <w:tc>
          <w:tcPr>
            <w:tcW w:type="dxa" w:w="2551"/>
          </w:tcPr>
          <w:p>
            <w:r>
              <w:rPr>
                <w:sz w:val="18"/>
              </w:rPr>
              <w:t>32 anomalies detected across 6 test batteries</w:t>
            </w:r>
          </w:p>
        </w:tc>
        <w:tc>
          <w:tcPr>
            <w:tcW w:type="dxa" w:w="1984"/>
          </w:tcPr>
          <w:p>
            <w:r>
              <w:rPr>
                <w:sz w:val="18"/>
              </w:rPr>
              <w:t>PASS</w:t>
            </w:r>
          </w:p>
        </w:tc>
      </w:tr>
      <w:tr>
        <w:tc>
          <w:tcPr>
            <w:tcW w:type="dxa" w:w="1417"/>
          </w:tcPr>
          <w:p>
            <w:r>
              <w:rPr>
                <w:sz w:val="18"/>
              </w:rPr>
              <w:t>5 – Reasoning</w:t>
            </w:r>
          </w:p>
        </w:tc>
        <w:tc>
          <w:tcPr>
            <w:tcW w:type="dxa" w:w="2268"/>
          </w:tcPr>
          <w:p>
            <w:r>
              <w:rPr>
                <w:sz w:val="18"/>
              </w:rPr>
              <w:t>Generate explainable hypotheses about degradation causes</w:t>
            </w:r>
          </w:p>
        </w:tc>
        <w:tc>
          <w:tcPr>
            <w:tcW w:type="dxa" w:w="1984"/>
          </w:tcPr>
          <w:p>
            <w:r>
              <w:rPr>
                <w:sz w:val="18"/>
              </w:rPr>
              <w:t>Hypotheses and counterfactuals generated</w:t>
            </w:r>
          </w:p>
        </w:tc>
        <w:tc>
          <w:tcPr>
            <w:tcW w:type="dxa" w:w="2551"/>
          </w:tcPr>
          <w:p>
            <w:r>
              <w:rPr>
                <w:sz w:val="18"/>
              </w:rPr>
              <w:t>9 hypotheses, 12 counterfactual examples</w:t>
            </w:r>
          </w:p>
        </w:tc>
        <w:tc>
          <w:tcPr>
            <w:tcW w:type="dxa" w:w="1984"/>
          </w:tcPr>
          <w:p>
            <w:r>
              <w:rPr>
                <w:sz w:val="18"/>
              </w:rPr>
              <w:t>PASS</w:t>
            </w:r>
          </w:p>
        </w:tc>
      </w:tr>
      <w:tr>
        <w:tc>
          <w:tcPr>
            <w:tcW w:type="dxa" w:w="1417"/>
          </w:tcPr>
          <w:p>
            <w:r>
              <w:rPr>
                <w:sz w:val="18"/>
              </w:rPr>
              <w:t>6 – Supervisor Review</w:t>
            </w:r>
          </w:p>
        </w:tc>
        <w:tc>
          <w:tcPr>
            <w:tcW w:type="dxa" w:w="2268"/>
          </w:tcPr>
          <w:p>
            <w:r>
              <w:rPr>
                <w:sz w:val="18"/>
              </w:rPr>
              <w:t>Audit all outputs for consistency and anti-hallucination</w:t>
            </w:r>
          </w:p>
        </w:tc>
        <w:tc>
          <w:tcPr>
            <w:tcW w:type="dxa" w:w="1984"/>
          </w:tcPr>
          <w:p>
            <w:r>
              <w:rPr>
                <w:sz w:val="18"/>
              </w:rPr>
              <w:t>PASS or CONDITIONAL PASS verdict</w:t>
            </w:r>
          </w:p>
        </w:tc>
        <w:tc>
          <w:tcPr>
            <w:tcW w:type="dxa" w:w="2551"/>
          </w:tcPr>
          <w:p>
            <w:r>
              <w:rPr>
                <w:sz w:val="18"/>
              </w:rPr>
              <w:t>Overall: CONDITIONAL PASS</w:t>
            </w:r>
          </w:p>
        </w:tc>
        <w:tc>
          <w:tcPr>
            <w:tcW w:type="dxa" w:w="1984"/>
          </w:tcPr>
          <w:p>
            <w:r>
              <w:rPr>
                <w:sz w:val="18"/>
              </w:rPr>
              <w:t>CONDITIONAL PASS</w:t>
            </w:r>
          </w:p>
        </w:tc>
      </w:tr>
    </w:tbl>
    <w:p/>
    <w:p>
      <w:pPr>
        <w:spacing w:after="120"/>
      </w:pPr>
      <w:r>
        <w:rPr>
          <w:b w:val="0"/>
          <w:i/>
          <w:color w:val="4A4A4A"/>
          <w:sz w:val="22"/>
        </w:rPr>
        <w:t>CONDITIONAL PASS means the system works well on the specific test batteries but cross-validation (a stricter, more general test) shows higher error. This is expected with a small dataset (~34 batteries) and does not indicate a failure of the approach — it is an honest acknowledgement of limited data.</w:t>
      </w:r>
    </w:p>
    <w:p>
      <w:r>
        <w:br w:type="page"/>
      </w:r>
    </w:p>
    <w:p>
      <w:pPr>
        <w:pStyle w:val="Heading1"/>
        <w:jc w:val="left"/>
      </w:pPr>
      <w:r>
        <w:rPr>
          <w:color w:val="1F3A5F"/>
        </w:rPr>
        <w:t>4. Full Pipeline Overview</w:t>
      </w:r>
    </w:p>
    <w:p>
      <w:r>
        <w:drawing>
          <wp:inline xmlns:a="http://schemas.openxmlformats.org/drawingml/2006/main" xmlns:pic="http://schemas.openxmlformats.org/drawingml/2006/picture">
            <wp:extent cx="5943600" cy="1501764"/>
            <wp:docPr id="1" name="Picture 1"/>
            <wp:cNvGraphicFramePr>
              <a:graphicFrameLocks noChangeAspect="1"/>
            </wp:cNvGraphicFramePr>
            <a:graphic>
              <a:graphicData uri="http://schemas.openxmlformats.org/drawingml/2006/picture">
                <pic:pic>
                  <pic:nvPicPr>
                    <pic:cNvPr id="0" name="pipeline_diagram.png"/>
                    <pic:cNvPicPr/>
                  </pic:nvPicPr>
                  <pic:blipFill>
                    <a:blip r:embed="rId9"/>
                    <a:stretch>
                      <a:fillRect/>
                    </a:stretch>
                  </pic:blipFill>
                  <pic:spPr>
                    <a:xfrm>
                      <a:off x="0" y="0"/>
                      <a:ext cx="5943600" cy="1501764"/>
                    </a:xfrm>
                    <a:prstGeom prst="rect"/>
                  </pic:spPr>
                </pic:pic>
              </a:graphicData>
            </a:graphic>
          </wp:inline>
        </w:drawing>
      </w:r>
    </w:p>
    <w:p>
      <w:pPr>
        <w:spacing w:after="200"/>
        <w:jc w:val="center"/>
      </w:pPr>
      <w:r>
        <w:rPr>
          <w:i/>
          <w:color w:val="4A4A4A"/>
          <w:sz w:val="18"/>
        </w:rPr>
        <w:t>Figure 1 — Seven-stage end-to-end pipeline from raw sensor data to supervisor report.</w:t>
      </w:r>
    </w:p>
    <w:p>
      <w:pPr>
        <w:spacing w:after="120"/>
      </w:pPr>
      <w:r>
        <w:rPr>
          <w:b w:val="0"/>
          <w:i w:val="0"/>
          <w:color w:val="4A4A4A"/>
          <w:sz w:val="22"/>
        </w:rPr>
        <w:t>The pipeline is split into two runs. Stage 1–2 (preprocessing) reads raw per-cycle CSV files and metadata, validates the schema, maps heterogeneous column names to standard names, computes cycle features, calculates RUL, and writes a clean cycle_features_with_rul.csv. Stages 3–6 (modeling) consume that file.</w:t>
      </w:r>
    </w:p>
    <w:p>
      <w:pPr>
        <w:pStyle w:val="Heading2"/>
        <w:jc w:val="left"/>
      </w:pPr>
      <w:r>
        <w:rPr>
          <w:color w:val="1F3A5F"/>
        </w:rPr>
        <w:t>4.1  Battery-Level Data Split (no leakage)</w:t>
      </w:r>
    </w:p>
    <w:p>
      <w:r>
        <w:drawing>
          <wp:inline xmlns:a="http://schemas.openxmlformats.org/drawingml/2006/main" xmlns:pic="http://schemas.openxmlformats.org/drawingml/2006/picture">
            <wp:extent cx="5669280" cy="1633141"/>
            <wp:docPr id="2" name="Picture 2"/>
            <wp:cNvGraphicFramePr>
              <a:graphicFrameLocks noChangeAspect="1"/>
            </wp:cNvGraphicFramePr>
            <a:graphic>
              <a:graphicData uri="http://schemas.openxmlformats.org/drawingml/2006/picture">
                <pic:pic>
                  <pic:nvPicPr>
                    <pic:cNvPr id="0" name="data_split.png"/>
                    <pic:cNvPicPr/>
                  </pic:nvPicPr>
                  <pic:blipFill>
                    <a:blip r:embed="rId10"/>
                    <a:stretch>
                      <a:fillRect/>
                    </a:stretch>
                  </pic:blipFill>
                  <pic:spPr>
                    <a:xfrm>
                      <a:off x="0" y="0"/>
                      <a:ext cx="5669280" cy="1633141"/>
                    </a:xfrm>
                    <a:prstGeom prst="rect"/>
                  </pic:spPr>
                </pic:pic>
              </a:graphicData>
            </a:graphic>
          </wp:inline>
        </w:drawing>
      </w:r>
    </w:p>
    <w:p>
      <w:pPr>
        <w:spacing w:after="200"/>
        <w:jc w:val="center"/>
      </w:pPr>
      <w:r>
        <w:rPr>
          <w:i/>
          <w:color w:val="4A4A4A"/>
          <w:sz w:val="18"/>
        </w:rPr>
        <w:t>Figure 2 — 34 batteries split stratified by temperature group into train / calibration / test.</w:t>
      </w:r>
    </w:p>
    <w:p>
      <w:pPr>
        <w:spacing w:after="120"/>
      </w:pPr>
      <w:r>
        <w:rPr>
          <w:b w:val="0"/>
          <w:i w:val="0"/>
          <w:color w:val="4A4A4A"/>
          <w:sz w:val="22"/>
        </w:rPr>
        <w:t>The most important design decision in the project is that splitting is done at the battery level, not the cycle level. If a cycle from battery B0030 appears in training, all other cycles from B0030 must also be in training. Mixing cycles from the same battery across train and test would give the model a memory advantage — it would effectively already know the degradation trajectory, inflating accuracy artificially. This is called data leakage and the pipeline explicitly checks for and rejects it.</w:t>
      </w:r>
    </w:p>
    <w:p>
      <w:pPr>
        <w:pStyle w:val="ListBullet"/>
        <w:ind w:left="400"/>
      </w:pPr>
      <w:r>
        <w:rPr>
          <w:color w:val="4A4A4A"/>
          <w:sz w:val="22"/>
        </w:rPr>
        <w:t>Actual training set: 22 batteries used to fit models</w:t>
      </w:r>
    </w:p>
    <w:p>
      <w:pPr>
        <w:pStyle w:val="ListBullet"/>
        <w:ind w:left="400"/>
      </w:pPr>
      <w:r>
        <w:rPr>
          <w:color w:val="4A4A4A"/>
          <w:sz w:val="22"/>
        </w:rPr>
        <w:t>Calibration set: 6 batteries held out from training — used only to calibrate confidence intervals (conformal prediction)</w:t>
      </w:r>
    </w:p>
    <w:p>
      <w:pPr>
        <w:pStyle w:val="ListBullet"/>
        <w:ind w:left="400"/>
      </w:pPr>
      <w:r>
        <w:rPr>
          <w:color w:val="4A4A4A"/>
          <w:sz w:val="22"/>
        </w:rPr>
        <w:t>Test set: 6 batteries never seen during any fitting step — used only for final evaluation</w:t>
      </w:r>
    </w:p>
    <w:p>
      <w:pPr>
        <w:pStyle w:val="ListBullet"/>
        <w:ind w:left="400"/>
      </w:pPr>
      <w:r>
        <w:rPr>
          <w:color w:val="4A4A4A"/>
          <w:sz w:val="22"/>
        </w:rPr>
        <w:t>Split strategy: Stratified by temperature group: each group contributes proportionally to each split</w:t>
      </w:r>
    </w:p>
    <w:p/>
    <w:p>
      <w:pPr>
        <w:pStyle w:val="Heading1"/>
        <w:jc w:val="left"/>
      </w:pPr>
      <w:r>
        <w:rPr>
          <w:color w:val="1F3A5F"/>
        </w:rPr>
        <w:t>5. Models Used and Why</w:t>
      </w:r>
    </w:p>
    <w:p>
      <w:pPr>
        <w:spacing w:after="120"/>
      </w:pPr>
      <w:r>
        <w:rPr>
          <w:b w:val="0"/>
          <w:i w:val="0"/>
          <w:color w:val="4A4A4A"/>
          <w:sz w:val="22"/>
        </w:rPr>
        <w:t>Three different types of model are trained and combined. Each captures a different aspect of battery behaviour.</w:t>
      </w:r>
    </w:p>
    <w:p>
      <w:pPr>
        <w:pStyle w:val="Heading2"/>
        <w:jc w:val="left"/>
      </w:pPr>
      <w:r>
        <w:rPr>
          <w:color w:val="1F3A5F"/>
        </w:rPr>
        <w:t>5.1  Statistical Baseline — Exponential Capacity Fade</w:t>
      </w:r>
    </w:p>
    <w:p>
      <w:pPr>
        <w:spacing w:after="120"/>
      </w:pPr>
      <w:r>
        <w:rPr>
          <w:b w:val="0"/>
          <w:i w:val="0"/>
          <w:color w:val="4A4A4A"/>
          <w:sz w:val="22"/>
        </w:rPr>
        <w:t>Battery capacity is known from electrochemical theory to follow an approximately exponential decline. We fit this model per battery:</w:t>
      </w:r>
    </w:p>
    <w:p>
      <w:pPr>
        <w:spacing w:before="80" w:after="80"/>
        <w:ind w:left="850"/>
      </w:pPr>
      <w:r>
        <w:rPr>
          <w:rFonts w:ascii="Courier New" w:hAnsi="Courier New"/>
          <w:b/>
          <w:color w:val="1F3A5F"/>
          <w:sz w:val="22"/>
        </w:rPr>
        <w:t>C(t)  =  C₀ · exp(−λ · t)</w:t>
      </w:r>
    </w:p>
    <w:p>
      <w:pPr>
        <w:spacing w:after="120"/>
      </w:pPr>
      <w:r>
        <w:rPr>
          <w:b w:val="0"/>
          <w:i w:val="0"/>
          <w:color w:val="4A4A4A"/>
          <w:sz w:val="22"/>
        </w:rPr>
        <w:t>Where:</w:t>
      </w:r>
    </w:p>
    <w:p>
      <w:pPr>
        <w:pStyle w:val="ListBullet"/>
        <w:ind w:left="400"/>
      </w:pPr>
      <w:r>
        <w:rPr>
          <w:color w:val="4A4A4A"/>
          <w:sz w:val="22"/>
        </w:rPr>
        <w:t>C(t)  = capacity at cycle t  (Ah)</w:t>
      </w:r>
    </w:p>
    <w:p>
      <w:pPr>
        <w:pStyle w:val="ListBullet"/>
        <w:ind w:left="400"/>
      </w:pPr>
      <w:r>
        <w:rPr>
          <w:color w:val="4A4A4A"/>
          <w:sz w:val="22"/>
        </w:rPr>
        <w:t>C₀    = initial (healthy) capacity, fitted per battery  (Ah)</w:t>
      </w:r>
    </w:p>
    <w:p>
      <w:pPr>
        <w:pStyle w:val="ListBullet"/>
        <w:ind w:left="400"/>
      </w:pPr>
      <w:r>
        <w:rPr>
          <w:color w:val="4A4A4A"/>
          <w:sz w:val="22"/>
        </w:rPr>
        <w:t>λ     = degradation rate constant, fitted per battery  (cycles⁻¹)</w:t>
      </w:r>
    </w:p>
    <w:p>
      <w:pPr>
        <w:pStyle w:val="ListBullet"/>
        <w:ind w:left="400"/>
      </w:pPr>
      <w:r>
        <w:rPr>
          <w:color w:val="4A4A4A"/>
          <w:sz w:val="22"/>
        </w:rPr>
        <w:t>t     = cycle index</w:t>
      </w:r>
    </w:p>
    <w:p>
      <w:pPr>
        <w:spacing w:after="120"/>
      </w:pPr>
      <w:r>
        <w:rPr>
          <w:b w:val="0"/>
          <w:i w:val="0"/>
          <w:color w:val="4A4A4A"/>
          <w:sz w:val="22"/>
        </w:rPr>
        <w:t>The End-of-Life cycle is found by solving C(t_EOL) = threshold:</w:t>
      </w:r>
    </w:p>
    <w:p>
      <w:pPr>
        <w:spacing w:before="80" w:after="80"/>
        <w:ind w:left="850"/>
      </w:pPr>
      <w:r>
        <w:rPr>
          <w:rFonts w:ascii="Courier New" w:hAnsi="Courier New"/>
          <w:b/>
          <w:color w:val="1F3A5F"/>
          <w:sz w:val="22"/>
        </w:rPr>
        <w:t>t_EOL  =  −ln(threshold / C₀) / λ</w:t>
      </w:r>
    </w:p>
    <w:p>
      <w:pPr>
        <w:spacing w:after="120"/>
      </w:pPr>
      <w:r>
        <w:rPr>
          <w:b w:val="0"/>
          <w:i w:val="0"/>
          <w:color w:val="4A4A4A"/>
          <w:sz w:val="22"/>
        </w:rPr>
        <w:t>And RUL at current cycle t is:</w:t>
      </w:r>
    </w:p>
    <w:p>
      <w:pPr>
        <w:spacing w:before="80" w:after="80"/>
        <w:ind w:left="850"/>
      </w:pPr>
      <w:r>
        <w:rPr>
          <w:rFonts w:ascii="Courier New" w:hAnsi="Courier New"/>
          <w:b/>
          <w:color w:val="1F3A5F"/>
          <w:sz w:val="22"/>
        </w:rPr>
        <w:t>RUL(t)  =  t_EOL − t  =  max(0,  −ln(C_EOL / C₀) / λ  −  t)</w:t>
      </w:r>
    </w:p>
    <w:p>
      <w:pPr>
        <w:spacing w:after="120"/>
      </w:pPr>
      <w:r>
        <w:rPr>
          <w:b w:val="0"/>
          <w:i w:val="0"/>
          <w:color w:val="4A4A4A"/>
          <w:sz w:val="22"/>
        </w:rPr>
        <w:t>λ is fitted by non-linear least squares (scipy.optimize.curve_fit) using the observed capacity sequence. Uncertainty is estimated by bootstrap: the current capacity reading is perturbed by residuals from the fit 100 times, and the 5th and 95th percentile of the resulting RUL samples become the lower/upper bounds.</w:t>
      </w:r>
    </w:p>
    <w:p>
      <w:pPr>
        <w:spacing w:after="120"/>
      </w:pPr>
      <w:r>
        <w:rPr>
          <w:b w:val="0"/>
          <w:i/>
          <w:color w:val="4A4A4A"/>
          <w:sz w:val="22"/>
        </w:rPr>
        <w:t>Result: RMSE = 466.82 cycles — very high because simple exponential decay does not capture the non-linear effects of temperature, current, and cycle history. This model is excluded from the final ensemble (it would pull predictions in the wrong direction). It remains as a physics-interpretable reference.</w:t>
      </w:r>
    </w:p>
    <w:p>
      <w:r>
        <w:drawing>
          <wp:inline xmlns:a="http://schemas.openxmlformats.org/drawingml/2006/main" xmlns:pic="http://schemas.openxmlformats.org/drawingml/2006/picture">
            <wp:extent cx="5760720" cy="1956604"/>
            <wp:docPr id="3" name="Picture 3"/>
            <wp:cNvGraphicFramePr>
              <a:graphicFrameLocks noChangeAspect="1"/>
            </wp:cNvGraphicFramePr>
            <a:graphic>
              <a:graphicData uri="http://schemas.openxmlformats.org/drawingml/2006/picture">
                <pic:pic>
                  <pic:nvPicPr>
                    <pic:cNvPr id="0" name="capacity_curve.png"/>
                    <pic:cNvPicPr/>
                  </pic:nvPicPr>
                  <pic:blipFill>
                    <a:blip r:embed="rId11"/>
                    <a:stretch>
                      <a:fillRect/>
                    </a:stretch>
                  </pic:blipFill>
                  <pic:spPr>
                    <a:xfrm>
                      <a:off x="0" y="0"/>
                      <a:ext cx="5760720" cy="1956604"/>
                    </a:xfrm>
                    <a:prstGeom prst="rect"/>
                  </pic:spPr>
                </pic:pic>
              </a:graphicData>
            </a:graphic>
          </wp:inline>
        </w:drawing>
      </w:r>
    </w:p>
    <w:p>
      <w:pPr>
        <w:spacing w:after="200"/>
        <w:jc w:val="center"/>
      </w:pPr>
      <w:r>
        <w:rPr>
          <w:i/>
          <w:color w:val="4A4A4A"/>
          <w:sz w:val="18"/>
        </w:rPr>
        <w:t>Figure 3 — Left: exponential capacity fade model with EOL threshold and RUL annotation. Right: conformal prediction interval around XGBoost predictions.</w:t>
      </w:r>
    </w:p>
    <w:p>
      <w:pPr>
        <w:pStyle w:val="Heading2"/>
        <w:jc w:val="left"/>
      </w:pPr>
      <w:r>
        <w:rPr>
          <w:color w:val="1F3A5F"/>
        </w:rPr>
        <w:t>5.2  XGBoost (Gradient Boosted Trees) — Primary Model</w:t>
      </w:r>
    </w:p>
    <w:p>
      <w:pPr>
        <w:spacing w:after="120"/>
      </w:pPr>
      <w:r>
        <w:rPr>
          <w:b w:val="0"/>
          <w:i w:val="0"/>
          <w:color w:val="4A4A4A"/>
          <w:sz w:val="22"/>
        </w:rPr>
        <w:t>XGBoost is an ensemble of decision trees built sequentially, where each new tree corrects the residual errors of all previous trees. It is the primary RUL predictor because it handles nonlinear feature interactions (e.g., temperature × current), requires no feature scaling, handles missing values, and is interpretable via feature importance scores.</w:t>
      </w:r>
    </w:p>
    <w:p>
      <w:pPr>
        <w:spacing w:after="120"/>
      </w:pPr>
      <w:r>
        <w:rPr>
          <w:b w:val="0"/>
          <w:i w:val="0"/>
          <w:color w:val="4A4A4A"/>
          <w:sz w:val="22"/>
        </w:rPr>
        <w:t>Three XGBoost models are trained simultaneously:</w:t>
      </w:r>
    </w:p>
    <w:p>
      <w:pPr>
        <w:pStyle w:val="ListBullet"/>
        <w:ind w:left="400"/>
      </w:pPr>
      <w:r>
        <w:rPr>
          <w:color w:val="4A4A4A"/>
          <w:sz w:val="22"/>
        </w:rPr>
        <w:t>Median model:  objective = reg:squarederror  →  point RUL estimate</w:t>
      </w:r>
    </w:p>
    <w:p>
      <w:pPr>
        <w:pStyle w:val="ListBullet"/>
        <w:ind w:left="400"/>
      </w:pPr>
      <w:r>
        <w:rPr>
          <w:color w:val="4A4A4A"/>
          <w:sz w:val="22"/>
        </w:rPr>
        <w:t>Lower model:   objective = reg:quantileerror, α = 0.05  →  5th-percentile RUL bound</w:t>
      </w:r>
    </w:p>
    <w:p>
      <w:pPr>
        <w:pStyle w:val="ListBullet"/>
        <w:ind w:left="400"/>
      </w:pPr>
      <w:r>
        <w:rPr>
          <w:color w:val="4A4A4A"/>
          <w:sz w:val="22"/>
        </w:rPr>
        <w:t>Upper model:   objective = reg:quantileerror, α = 0.95  →  95th-percentile RUL bound</w:t>
      </w:r>
    </w:p>
    <w:p>
      <w:pPr>
        <w:spacing w:after="120"/>
      </w:pPr>
      <w:r>
        <w:rPr>
          <w:b w:val="0"/>
          <w:i w:val="0"/>
          <w:color w:val="4A4A4A"/>
          <w:sz w:val="22"/>
        </w:rPr>
        <w:t>Hyperparameters (from configs/pipeline.yaml):</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07A8A"/>
          </w:tcPr>
          <w:p>
            <w:r>
              <w:rPr>
                <w:b/>
                <w:color w:val="FFFFFF"/>
              </w:rPr>
              <w:t>Parameter</w:t>
            </w:r>
          </w:p>
        </w:tc>
        <w:tc>
          <w:tcPr>
            <w:tcW w:type="dxa" w:w="1134"/>
            <w:shd w:val="clear" w:color="auto" w:fill="007A8A"/>
          </w:tcPr>
          <w:p>
            <w:r>
              <w:rPr>
                <w:b/>
                <w:color w:val="FFFFFF"/>
              </w:rPr>
              <w:t>Value</w:t>
            </w:r>
          </w:p>
        </w:tc>
        <w:tc>
          <w:tcPr>
            <w:tcW w:type="dxa" w:w="5669"/>
            <w:shd w:val="clear" w:color="auto" w:fill="007A8A"/>
          </w:tcPr>
          <w:p>
            <w:r>
              <w:rPr>
                <w:b/>
                <w:color w:val="FFFFFF"/>
              </w:rPr>
              <w:t>Purpose</w:t>
            </w:r>
          </w:p>
        </w:tc>
      </w:tr>
      <w:tr>
        <w:tc>
          <w:tcPr>
            <w:tcW w:type="dxa" w:w="2268"/>
          </w:tcPr>
          <w:p>
            <w:r>
              <w:t>n_estimators</w:t>
            </w:r>
          </w:p>
        </w:tc>
        <w:tc>
          <w:tcPr>
            <w:tcW w:type="dxa" w:w="1134"/>
          </w:tcPr>
          <w:p>
            <w:r>
              <w:t>400</w:t>
            </w:r>
          </w:p>
        </w:tc>
        <w:tc>
          <w:tcPr>
            <w:tcW w:type="dxa" w:w="5669"/>
          </w:tcPr>
          <w:p>
            <w:r>
              <w:t>Number of trees</w:t>
            </w:r>
          </w:p>
        </w:tc>
      </w:tr>
      <w:tr>
        <w:tc>
          <w:tcPr>
            <w:tcW w:type="dxa" w:w="2268"/>
          </w:tcPr>
          <w:p>
            <w:r>
              <w:t>max_depth</w:t>
            </w:r>
          </w:p>
        </w:tc>
        <w:tc>
          <w:tcPr>
            <w:tcW w:type="dxa" w:w="1134"/>
          </w:tcPr>
          <w:p>
            <w:r>
              <w:t>6</w:t>
            </w:r>
          </w:p>
        </w:tc>
        <w:tc>
          <w:tcPr>
            <w:tcW w:type="dxa" w:w="5669"/>
          </w:tcPr>
          <w:p>
            <w:r>
              <w:t>Maximum depth per tree</w:t>
            </w:r>
          </w:p>
        </w:tc>
      </w:tr>
      <w:tr>
        <w:tc>
          <w:tcPr>
            <w:tcW w:type="dxa" w:w="2268"/>
          </w:tcPr>
          <w:p>
            <w:r>
              <w:t>learning_rate</w:t>
            </w:r>
          </w:p>
        </w:tc>
        <w:tc>
          <w:tcPr>
            <w:tcW w:type="dxa" w:w="1134"/>
          </w:tcPr>
          <w:p>
            <w:r>
              <w:t>0.05</w:t>
            </w:r>
          </w:p>
        </w:tc>
        <w:tc>
          <w:tcPr>
            <w:tcW w:type="dxa" w:w="5669"/>
          </w:tcPr>
          <w:p>
            <w:r>
              <w:t>Shrinkage — prevents overfitting</w:t>
            </w:r>
          </w:p>
        </w:tc>
      </w:tr>
      <w:tr>
        <w:tc>
          <w:tcPr>
            <w:tcW w:type="dxa" w:w="2268"/>
          </w:tcPr>
          <w:p>
            <w:r>
              <w:t>subsample</w:t>
            </w:r>
          </w:p>
        </w:tc>
        <w:tc>
          <w:tcPr>
            <w:tcW w:type="dxa" w:w="1134"/>
          </w:tcPr>
          <w:p>
            <w:r>
              <w:t>0.80</w:t>
            </w:r>
          </w:p>
        </w:tc>
        <w:tc>
          <w:tcPr>
            <w:tcW w:type="dxa" w:w="5669"/>
          </w:tcPr>
          <w:p>
            <w:r>
              <w:t>Row sampling per tree</w:t>
            </w:r>
          </w:p>
        </w:tc>
      </w:tr>
      <w:tr>
        <w:tc>
          <w:tcPr>
            <w:tcW w:type="dxa" w:w="2268"/>
          </w:tcPr>
          <w:p>
            <w:r>
              <w:t>colsample_bytree</w:t>
            </w:r>
          </w:p>
        </w:tc>
        <w:tc>
          <w:tcPr>
            <w:tcW w:type="dxa" w:w="1134"/>
          </w:tcPr>
          <w:p>
            <w:r>
              <w:t>0.80</w:t>
            </w:r>
          </w:p>
        </w:tc>
        <w:tc>
          <w:tcPr>
            <w:tcW w:type="dxa" w:w="5669"/>
          </w:tcPr>
          <w:p>
            <w:r>
              <w:t>Feature sampling per tree</w:t>
            </w:r>
          </w:p>
        </w:tc>
      </w:tr>
      <w:tr>
        <w:tc>
          <w:tcPr>
            <w:tcW w:type="dxa" w:w="2268"/>
          </w:tcPr>
          <w:p>
            <w:r>
              <w:t>random_state</w:t>
            </w:r>
          </w:p>
        </w:tc>
        <w:tc>
          <w:tcPr>
            <w:tcW w:type="dxa" w:w="1134"/>
          </w:tcPr>
          <w:p>
            <w:r>
              <w:t>42</w:t>
            </w:r>
          </w:p>
        </w:tc>
        <w:tc>
          <w:tcPr>
            <w:tcW w:type="dxa" w:w="5669"/>
          </w:tcPr>
          <w:p>
            <w:r>
              <w:t>Reproducibility seed</w:t>
            </w:r>
          </w:p>
        </w:tc>
      </w:tr>
    </w:tbl>
    <w:p/>
    <w:p>
      <w:pPr>
        <w:spacing w:after="120"/>
      </w:pPr>
      <w:r>
        <w:rPr>
          <w:b w:val="0"/>
          <w:i w:val="0"/>
          <w:color w:val="4A4A4A"/>
          <w:sz w:val="22"/>
        </w:rPr>
        <w:t>The quantile regression loss for quantile α is:</w:t>
      </w:r>
    </w:p>
    <w:p>
      <w:pPr>
        <w:spacing w:before="80" w:after="80"/>
        <w:ind w:left="850"/>
      </w:pPr>
      <w:r>
        <w:rPr>
          <w:rFonts w:ascii="Courier New" w:hAnsi="Courier New"/>
          <w:b/>
          <w:color w:val="1F3A5F"/>
          <w:sz w:val="22"/>
        </w:rPr>
        <w:t>L_α(y, ŷ)  =  α · max(y − ŷ, 0)  +  (1−α) · max(ŷ − y, 0)</w:t>
      </w:r>
    </w:p>
    <w:p>
      <w:pPr>
        <w:spacing w:after="120"/>
      </w:pPr>
      <w:r>
        <w:rPr>
          <w:b w:val="0"/>
          <w:i w:val="0"/>
          <w:color w:val="4A4A4A"/>
          <w:sz w:val="22"/>
        </w:rPr>
        <w:t>This asymmetric loss penalises under-prediction more at high quantiles and over-prediction more at low quantiles, producing calibrated bounds.</w:t>
      </w:r>
    </w:p>
    <w:p>
      <w:pPr>
        <w:spacing w:after="120"/>
      </w:pPr>
      <w:r>
        <w:rPr>
          <w:b w:val="0"/>
          <w:i w:val="0"/>
          <w:color w:val="4A4A4A"/>
          <w:sz w:val="22"/>
        </w:rPr>
        <w:t>Result: RMSE = 22.08 cycles, MAE = 13.18 cycles (well below the 100-cycle threshold).</w:t>
      </w:r>
    </w:p>
    <w:p>
      <w:r>
        <w:drawing>
          <wp:inline xmlns:a="http://schemas.openxmlformats.org/drawingml/2006/main" xmlns:pic="http://schemas.openxmlformats.org/drawingml/2006/picture">
            <wp:extent cx="5029200" cy="249778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029200" cy="2497780"/>
                    </a:xfrm>
                    <a:prstGeom prst="rect"/>
                  </pic:spPr>
                </pic:pic>
              </a:graphicData>
            </a:graphic>
          </wp:inline>
        </w:drawing>
      </w:r>
    </w:p>
    <w:p>
      <w:pPr>
        <w:spacing w:after="200"/>
        <w:jc w:val="center"/>
      </w:pPr>
      <w:r>
        <w:rPr>
          <w:i/>
          <w:color w:val="4A4A4A"/>
          <w:sz w:val="18"/>
        </w:rPr>
        <w:t>Figure 4 — XGBoost feature importance scores. energy_j, i_min and v_mean are the strongest predictors.</w:t>
      </w:r>
    </w:p>
    <w:p>
      <w:r>
        <w:br w:type="page"/>
      </w:r>
    </w:p>
    <w:p>
      <w:pPr>
        <w:pStyle w:val="Heading2"/>
        <w:jc w:val="left"/>
      </w:pPr>
      <w:r>
        <w:rPr>
          <w:color w:val="1F3A5F"/>
        </w:rPr>
        <w:t>5.3  Temporal Convolutional Network (TCN) — Sequence Model</w:t>
      </w:r>
    </w:p>
    <w:p>
      <w:pPr>
        <w:spacing w:after="120"/>
      </w:pPr>
      <w:r>
        <w:rPr>
          <w:b w:val="0"/>
          <w:i w:val="0"/>
          <w:color w:val="4A4A4A"/>
          <w:sz w:val="22"/>
        </w:rPr>
        <w:t>The TCN is a deep learning model that sees the last 8 cycles as a sequence rather than just the current cycle snapshot. This allows it to capture the trajectory of degradation — whether capacity is falling quickly or slowly.</w:t>
      </w:r>
    </w:p>
    <w:p>
      <w:r>
        <w:drawing>
          <wp:inline xmlns:a="http://schemas.openxmlformats.org/drawingml/2006/main" xmlns:pic="http://schemas.openxmlformats.org/drawingml/2006/picture">
            <wp:extent cx="5486400" cy="1960204"/>
            <wp:docPr id="5" name="Picture 5"/>
            <wp:cNvGraphicFramePr>
              <a:graphicFrameLocks noChangeAspect="1"/>
            </wp:cNvGraphicFramePr>
            <a:graphic>
              <a:graphicData uri="http://schemas.openxmlformats.org/drawingml/2006/picture">
                <pic:pic>
                  <pic:nvPicPr>
                    <pic:cNvPr id="0" name="tcn_diagram.png"/>
                    <pic:cNvPicPr/>
                  </pic:nvPicPr>
                  <pic:blipFill>
                    <a:blip r:embed="rId13"/>
                    <a:stretch>
                      <a:fillRect/>
                    </a:stretch>
                  </pic:blipFill>
                  <pic:spPr>
                    <a:xfrm>
                      <a:off x="0" y="0"/>
                      <a:ext cx="5486400" cy="1960204"/>
                    </a:xfrm>
                    <a:prstGeom prst="rect"/>
                  </pic:spPr>
                </pic:pic>
              </a:graphicData>
            </a:graphic>
          </wp:inline>
        </w:drawing>
      </w:r>
    </w:p>
    <w:p>
      <w:pPr>
        <w:spacing w:after="200"/>
        <w:jc w:val="center"/>
      </w:pPr>
      <w:r>
        <w:rPr>
          <w:i/>
          <w:color w:val="4A4A4A"/>
          <w:sz w:val="18"/>
        </w:rPr>
        <w:t>Figure 5 — TCN architecture: three dilated 1-D convolutions with receptive fields of 1, 2, 4 cycles.</w:t>
      </w:r>
    </w:p>
    <w:p>
      <w:pPr>
        <w:spacing w:after="120"/>
      </w:pPr>
      <w:r>
        <w:rPr>
          <w:b w:val="0"/>
          <w:i w:val="0"/>
          <w:color w:val="4A4A4A"/>
          <w:sz w:val="22"/>
        </w:rPr>
        <w:t>Architecture details:</w:t>
      </w:r>
    </w:p>
    <w:p>
      <w:pPr>
        <w:pStyle w:val="ListBullet"/>
        <w:ind w:left="400"/>
      </w:pPr>
      <w:r>
        <w:rPr>
          <w:color w:val="4A4A4A"/>
          <w:sz w:val="22"/>
        </w:rPr>
        <w:t>Input: sliding windows of 8 consecutive cycles, each with 10 features → shape (batch, 10, 8)</w:t>
      </w:r>
    </w:p>
    <w:p>
      <w:pPr>
        <w:pStyle w:val="ListBullet"/>
        <w:ind w:left="400"/>
      </w:pPr>
      <w:r>
        <w:rPr>
          <w:color w:val="4A4A4A"/>
          <w:sz w:val="22"/>
        </w:rPr>
        <w:t>Layer 1: Conv1D, kernel=3, dilation=1, 32 channels — captures local (1-step) patterns</w:t>
      </w:r>
    </w:p>
    <w:p>
      <w:pPr>
        <w:pStyle w:val="ListBullet"/>
        <w:ind w:left="400"/>
      </w:pPr>
      <w:r>
        <w:rPr>
          <w:color w:val="4A4A4A"/>
          <w:sz w:val="22"/>
        </w:rPr>
        <w:t>Layer 2: Conv1D, kernel=3, dilation=2, 32 channels — captures 2-step patterns</w:t>
      </w:r>
    </w:p>
    <w:p>
      <w:pPr>
        <w:pStyle w:val="ListBullet"/>
        <w:ind w:left="400"/>
      </w:pPr>
      <w:r>
        <w:rPr>
          <w:color w:val="4A4A4A"/>
          <w:sz w:val="22"/>
        </w:rPr>
        <w:t>Layer 3: Conv1D, kernel=3, dilation=4, 32 channels — captures 4-step patterns</w:t>
      </w:r>
    </w:p>
    <w:p>
      <w:pPr>
        <w:pStyle w:val="ListBullet"/>
        <w:ind w:left="400"/>
      </w:pPr>
      <w:r>
        <w:rPr>
          <w:color w:val="4A4A4A"/>
          <w:sz w:val="22"/>
        </w:rPr>
        <w:t>Global last-step pooling → Fully connected head → scalar RUL output</w:t>
      </w:r>
    </w:p>
    <w:p>
      <w:pPr>
        <w:pStyle w:val="ListBullet"/>
        <w:ind w:left="400"/>
      </w:pPr>
      <w:r>
        <w:rPr>
          <w:color w:val="4A4A4A"/>
          <w:sz w:val="22"/>
        </w:rPr>
        <w:t>Dropout = 0.10, weight decay = 1e-5 (L2 regularisation)</w:t>
      </w:r>
    </w:p>
    <w:p>
      <w:pPr>
        <w:pStyle w:val="ListBullet"/>
        <w:ind w:left="400"/>
      </w:pPr>
      <w:r>
        <w:rPr>
          <w:color w:val="4A4A4A"/>
          <w:sz w:val="22"/>
        </w:rPr>
        <w:t>Training: Huber loss (β=3.0), Adam optimiser, lr=0.001, max 60 epochs, patience=10</w:t>
      </w:r>
    </w:p>
    <w:p>
      <w:pPr>
        <w:spacing w:after="120"/>
      </w:pPr>
      <w:r>
        <w:rPr>
          <w:b w:val="0"/>
          <w:i w:val="0"/>
          <w:color w:val="4A4A4A"/>
          <w:sz w:val="22"/>
        </w:rPr>
        <w:t>The dilated convolutions are the key idea: dilation=d means the kernel looks at every d-th element, so layer 3 effectively spans 4 × 3 − 4 = 8 cycles with a small number of parameters. This is why TCNs are efficient for time series.</w:t>
      </w:r>
    </w:p>
    <w:p>
      <w:pPr>
        <w:spacing w:after="120"/>
      </w:pPr>
      <w:r>
        <w:rPr>
          <w:b w:val="0"/>
          <w:i w:val="0"/>
          <w:color w:val="4A4A4A"/>
          <w:sz w:val="22"/>
        </w:rPr>
        <w:t>Result: RMSE = 25.63 cycles — slightly weaker than XGBoost on this dataset.</w:t>
      </w:r>
    </w:p>
    <w:p>
      <w:pPr>
        <w:pStyle w:val="Heading2"/>
        <w:jc w:val="left"/>
      </w:pPr>
      <w:r>
        <w:rPr>
          <w:color w:val="1F3A5F"/>
        </w:rPr>
        <w:t>5.4  Model Ensemble and Weights</w:t>
      </w:r>
    </w:p>
    <w:p>
      <w:pPr>
        <w:spacing w:after="120"/>
      </w:pPr>
      <w:r>
        <w:rPr>
          <w:b w:val="0"/>
          <w:i w:val="0"/>
          <w:color w:val="4A4A4A"/>
          <w:sz w:val="22"/>
        </w:rPr>
        <w:t>For uncertainty quantification, the three models are combined using inverse-RMSE weighting. A model with RMSE more than 1.5× the best model is excluded. The formula for model k with RMSE_k is:</w:t>
      </w:r>
    </w:p>
    <w:p>
      <w:pPr>
        <w:spacing w:before="80" w:after="80"/>
        <w:ind w:left="850"/>
      </w:pPr>
      <w:r>
        <w:rPr>
          <w:rFonts w:ascii="Courier New" w:hAnsi="Courier New"/>
          <w:b/>
          <w:color w:val="1F3A5F"/>
          <w:sz w:val="22"/>
        </w:rPr>
        <w:t>w_k  =  (1 / RMSE_k)  /  Σⱼ (1 / RMSE_j)   [for kept models]</w:t>
      </w:r>
    </w:p>
    <w:p>
      <w:pPr>
        <w:spacing w:after="120"/>
      </w:pPr>
      <w:r>
        <w:rPr>
          <w:b w:val="0"/>
          <w:i w:val="0"/>
          <w:color w:val="4A4A4A"/>
          <w:sz w:val="22"/>
        </w:rPr>
        <w:t>Resulting weights:</w:t>
      </w:r>
    </w:p>
    <w:p>
      <w:pPr>
        <w:pStyle w:val="ListBullet"/>
        <w:ind w:left="400"/>
      </w:pPr>
      <w:r>
        <w:rPr>
          <w:color w:val="4A4A4A"/>
          <w:sz w:val="22"/>
        </w:rPr>
        <w:t>Statistical baseline: 0.00  (excluded — RMSE 466.82 &gt;&gt; 1.5 × 22.08 = 33.1)</w:t>
      </w:r>
    </w:p>
    <w:p>
      <w:pPr>
        <w:pStyle w:val="ListBullet"/>
        <w:ind w:left="400"/>
      </w:pPr>
      <w:r>
        <w:rPr>
          <w:color w:val="4A4A4A"/>
          <w:sz w:val="22"/>
        </w:rPr>
        <w:t>XGBoost:              0.537</w:t>
      </w:r>
    </w:p>
    <w:p>
      <w:pPr>
        <w:pStyle w:val="ListBullet"/>
        <w:ind w:left="400"/>
      </w:pPr>
      <w:r>
        <w:rPr>
          <w:color w:val="4A4A4A"/>
          <w:sz w:val="22"/>
        </w:rPr>
        <w:t>TCN:                  0.463</w:t>
      </w:r>
    </w:p>
    <w:p>
      <w:r>
        <w:drawing>
          <wp:inline xmlns:a="http://schemas.openxmlformats.org/drawingml/2006/main" xmlns:pic="http://schemas.openxmlformats.org/drawingml/2006/picture">
            <wp:extent cx="5760720" cy="2163512"/>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760720" cy="2163512"/>
                    </a:xfrm>
                    <a:prstGeom prst="rect"/>
                  </pic:spPr>
                </pic:pic>
              </a:graphicData>
            </a:graphic>
          </wp:inline>
        </w:drawing>
      </w:r>
    </w:p>
    <w:p>
      <w:pPr>
        <w:spacing w:after="200"/>
        <w:jc w:val="center"/>
      </w:pPr>
      <w:r>
        <w:rPr>
          <w:i/>
          <w:color w:val="4A4A4A"/>
          <w:sz w:val="18"/>
        </w:rPr>
        <w:t>Figure 6 — Left: RMSE comparison across all models. Right: risk category distribution over 2,790 test observations.</w:t>
      </w:r>
    </w:p>
    <w:p>
      <w:r>
        <w:br w:type="page"/>
      </w:r>
    </w:p>
    <w:p>
      <w:pPr>
        <w:pStyle w:val="Heading2"/>
        <w:jc w:val="left"/>
      </w:pPr>
      <w:r>
        <w:rPr>
          <w:color w:val="1F3A5F"/>
        </w:rPr>
        <w:t>5.5  Cross-Validation (GroupKFold)</w:t>
      </w:r>
    </w:p>
    <w:p>
      <w:pPr>
        <w:spacing w:after="120"/>
      </w:pPr>
      <w:r>
        <w:rPr>
          <w:b w:val="0"/>
          <w:i w:val="0"/>
          <w:color w:val="4A4A4A"/>
          <w:sz w:val="22"/>
        </w:rPr>
        <w:t>A single train/test split can be lucky. To get a more honest estimate, 5-fold cross-validation is run where the folds are constructed at battery level (GroupKFold). This means a battery cannot appear in both the training and validation folds of the same split.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A5F"/>
          </w:tcPr>
          <w:p>
            <w:r>
              <w:rPr>
                <w:b/>
                <w:color w:val="FFFFFF"/>
              </w:rPr>
              <w:t>Fold</w:t>
            </w:r>
          </w:p>
        </w:tc>
        <w:tc>
          <w:tcPr>
            <w:tcW w:type="dxa" w:w="1881"/>
            <w:shd w:val="clear" w:color="auto" w:fill="1F3A5F"/>
          </w:tcPr>
          <w:p>
            <w:r>
              <w:rPr>
                <w:b/>
                <w:color w:val="FFFFFF"/>
              </w:rPr>
              <w:t>Train batteries</w:t>
            </w:r>
          </w:p>
        </w:tc>
        <w:tc>
          <w:tcPr>
            <w:tcW w:type="dxa" w:w="1881"/>
            <w:shd w:val="clear" w:color="auto" w:fill="1F3A5F"/>
          </w:tcPr>
          <w:p>
            <w:r>
              <w:rPr>
                <w:b/>
                <w:color w:val="FFFFFF"/>
              </w:rPr>
              <w:t>Val batteries</w:t>
            </w:r>
          </w:p>
        </w:tc>
        <w:tc>
          <w:tcPr>
            <w:tcW w:type="dxa" w:w="1881"/>
            <w:shd w:val="clear" w:color="auto" w:fill="1F3A5F"/>
          </w:tcPr>
          <w:p>
            <w:r>
              <w:rPr>
                <w:b/>
                <w:color w:val="FFFFFF"/>
              </w:rPr>
              <w:t>RMSE (cycles)</w:t>
            </w:r>
          </w:p>
        </w:tc>
        <w:tc>
          <w:tcPr>
            <w:tcW w:type="dxa" w:w="1881"/>
            <w:shd w:val="clear" w:color="auto" w:fill="1F3A5F"/>
          </w:tcPr>
          <w:p>
            <w:r>
              <w:rPr>
                <w:b/>
                <w:color w:val="FFFFFF"/>
              </w:rPr>
              <w:t>MAE (cycles)</w:t>
            </w:r>
          </w:p>
        </w:tc>
      </w:tr>
      <w:tr>
        <w:tc>
          <w:tcPr>
            <w:tcW w:type="dxa" w:w="1881"/>
          </w:tcPr>
          <w:p>
            <w:r>
              <w:t>1</w:t>
            </w:r>
          </w:p>
        </w:tc>
        <w:tc>
          <w:tcPr>
            <w:tcW w:type="dxa" w:w="1881"/>
          </w:tcPr>
          <w:p>
            <w:r>
              <w:t>18</w:t>
            </w:r>
          </w:p>
        </w:tc>
        <w:tc>
          <w:tcPr>
            <w:tcW w:type="dxa" w:w="1881"/>
          </w:tcPr>
          <w:p>
            <w:r>
              <w:t>4</w:t>
            </w:r>
          </w:p>
        </w:tc>
        <w:tc>
          <w:tcPr>
            <w:tcW w:type="dxa" w:w="1881"/>
          </w:tcPr>
          <w:p>
            <w:r>
              <w:t>28.94</w:t>
            </w:r>
          </w:p>
        </w:tc>
        <w:tc>
          <w:tcPr>
            <w:tcW w:type="dxa" w:w="1881"/>
          </w:tcPr>
          <w:p>
            <w:r>
              <w:t>22.72</w:t>
            </w:r>
          </w:p>
        </w:tc>
      </w:tr>
      <w:tr>
        <w:tc>
          <w:tcPr>
            <w:tcW w:type="dxa" w:w="1881"/>
          </w:tcPr>
          <w:p>
            <w:r>
              <w:t>2</w:t>
            </w:r>
          </w:p>
        </w:tc>
        <w:tc>
          <w:tcPr>
            <w:tcW w:type="dxa" w:w="1881"/>
          </w:tcPr>
          <w:p>
            <w:r>
              <w:t>17</w:t>
            </w:r>
          </w:p>
        </w:tc>
        <w:tc>
          <w:tcPr>
            <w:tcW w:type="dxa" w:w="1881"/>
          </w:tcPr>
          <w:p>
            <w:r>
              <w:t>5</w:t>
            </w:r>
          </w:p>
        </w:tc>
        <w:tc>
          <w:tcPr>
            <w:tcW w:type="dxa" w:w="1881"/>
          </w:tcPr>
          <w:p>
            <w:r>
              <w:t>49.09</w:t>
            </w:r>
          </w:p>
        </w:tc>
        <w:tc>
          <w:tcPr>
            <w:tcW w:type="dxa" w:w="1881"/>
          </w:tcPr>
          <w:p>
            <w:r>
              <w:t>34.56</w:t>
            </w:r>
          </w:p>
        </w:tc>
      </w:tr>
      <w:tr>
        <w:tc>
          <w:tcPr>
            <w:tcW w:type="dxa" w:w="1881"/>
          </w:tcPr>
          <w:p>
            <w:r>
              <w:t>3</w:t>
            </w:r>
          </w:p>
        </w:tc>
        <w:tc>
          <w:tcPr>
            <w:tcW w:type="dxa" w:w="1881"/>
          </w:tcPr>
          <w:p>
            <w:r>
              <w:t>18</w:t>
            </w:r>
          </w:p>
        </w:tc>
        <w:tc>
          <w:tcPr>
            <w:tcW w:type="dxa" w:w="1881"/>
          </w:tcPr>
          <w:p>
            <w:r>
              <w:t>4</w:t>
            </w:r>
          </w:p>
        </w:tc>
        <w:tc>
          <w:tcPr>
            <w:tcW w:type="dxa" w:w="1881"/>
          </w:tcPr>
          <w:p>
            <w:r>
              <w:t>70.49</w:t>
            </w:r>
          </w:p>
        </w:tc>
        <w:tc>
          <w:tcPr>
            <w:tcW w:type="dxa" w:w="1881"/>
          </w:tcPr>
          <w:p>
            <w:r>
              <w:t>55.70</w:t>
            </w:r>
          </w:p>
        </w:tc>
      </w:tr>
      <w:tr>
        <w:tc>
          <w:tcPr>
            <w:tcW w:type="dxa" w:w="1881"/>
          </w:tcPr>
          <w:p>
            <w:r>
              <w:t>4</w:t>
            </w:r>
          </w:p>
        </w:tc>
        <w:tc>
          <w:tcPr>
            <w:tcW w:type="dxa" w:w="1881"/>
          </w:tcPr>
          <w:p>
            <w:r>
              <w:t>18</w:t>
            </w:r>
          </w:p>
        </w:tc>
        <w:tc>
          <w:tcPr>
            <w:tcW w:type="dxa" w:w="1881"/>
          </w:tcPr>
          <w:p>
            <w:r>
              <w:t>4</w:t>
            </w:r>
          </w:p>
        </w:tc>
        <w:tc>
          <w:tcPr>
            <w:tcW w:type="dxa" w:w="1881"/>
          </w:tcPr>
          <w:p>
            <w:r>
              <w:t>59.85</w:t>
            </w:r>
          </w:p>
        </w:tc>
        <w:tc>
          <w:tcPr>
            <w:tcW w:type="dxa" w:w="1881"/>
          </w:tcPr>
          <w:p>
            <w:r>
              <w:t>42.69</w:t>
            </w:r>
          </w:p>
        </w:tc>
      </w:tr>
      <w:tr>
        <w:tc>
          <w:tcPr>
            <w:tcW w:type="dxa" w:w="1881"/>
          </w:tcPr>
          <w:p>
            <w:r>
              <w:t>5</w:t>
            </w:r>
          </w:p>
        </w:tc>
        <w:tc>
          <w:tcPr>
            <w:tcW w:type="dxa" w:w="1881"/>
          </w:tcPr>
          <w:p>
            <w:r>
              <w:t>17</w:t>
            </w:r>
          </w:p>
        </w:tc>
        <w:tc>
          <w:tcPr>
            <w:tcW w:type="dxa" w:w="1881"/>
          </w:tcPr>
          <w:p>
            <w:r>
              <w:t>5</w:t>
            </w:r>
          </w:p>
        </w:tc>
        <w:tc>
          <w:tcPr>
            <w:tcW w:type="dxa" w:w="1881"/>
          </w:tcPr>
          <w:p>
            <w:r>
              <w:t>32.48</w:t>
            </w:r>
          </w:p>
        </w:tc>
        <w:tc>
          <w:tcPr>
            <w:tcW w:type="dxa" w:w="1881"/>
          </w:tcPr>
          <w:p>
            <w:r>
              <w:t>21.40</w:t>
            </w:r>
          </w:p>
        </w:tc>
      </w:tr>
      <w:tr>
        <w:tc>
          <w:tcPr>
            <w:tcW w:type="dxa" w:w="1881"/>
            <w:shd w:val="clear" w:color="auto" w:fill="E8E8E8"/>
          </w:tcPr>
          <w:p>
            <w:r>
              <w:t>Mean ± std</w:t>
            </w:r>
          </w:p>
        </w:tc>
        <w:tc>
          <w:tcPr>
            <w:tcW w:type="dxa" w:w="1881"/>
            <w:shd w:val="clear" w:color="auto" w:fill="E8E8E8"/>
          </w:tcPr>
          <w:p>
            <w:r>
              <w:t>—</w:t>
            </w:r>
          </w:p>
        </w:tc>
        <w:tc>
          <w:tcPr>
            <w:tcW w:type="dxa" w:w="1881"/>
            <w:shd w:val="clear" w:color="auto" w:fill="E8E8E8"/>
          </w:tcPr>
          <w:p>
            <w:r>
              <w:t>—</w:t>
            </w:r>
          </w:p>
        </w:tc>
        <w:tc>
          <w:tcPr>
            <w:tcW w:type="dxa" w:w="1881"/>
            <w:shd w:val="clear" w:color="auto" w:fill="E8E8E8"/>
          </w:tcPr>
          <w:p>
            <w:r>
              <w:t>48.17 ± 15.82</w:t>
            </w:r>
          </w:p>
        </w:tc>
        <w:tc>
          <w:tcPr>
            <w:tcW w:type="dxa" w:w="1881"/>
            <w:shd w:val="clear" w:color="auto" w:fill="E8E8E8"/>
          </w:tcPr>
          <w:p>
            <w:r>
              <w:t>35.41 ± 12.83</w:t>
            </w:r>
          </w:p>
        </w:tc>
      </w:tr>
    </w:tbl>
    <w:p/>
    <w:p>
      <w:pPr>
        <w:spacing w:after="120"/>
      </w:pPr>
      <w:r>
        <w:rPr>
          <w:b w:val="0"/>
          <w:i/>
          <w:color w:val="4A4A4A"/>
          <w:sz w:val="22"/>
        </w:rPr>
        <w:t>The CV RMSE (48.17) is 2.2× the holdout test RMSE (22.08). This is why the system receives a CONDITIONAL PASS rather than a full PASS: the test batteries happened to be easier to predict than average. CV RMSE is the more conservative, more realistic accuracy estimate for unseen real-world batteries.</w:t>
      </w:r>
    </w:p>
    <w:p>
      <w:pPr>
        <w:pStyle w:val="Heading1"/>
        <w:jc w:val="left"/>
      </w:pPr>
      <w:r>
        <w:rPr>
          <w:color w:val="1F3A5F"/>
        </w:rPr>
        <w:t>6. Uncertainty Quantification and Conformal Prediction</w:t>
      </w:r>
    </w:p>
    <w:p>
      <w:pPr>
        <w:spacing w:after="120"/>
      </w:pPr>
      <w:r>
        <w:rPr>
          <w:b w:val="0"/>
          <w:i w:val="0"/>
          <w:color w:val="4A4A4A"/>
          <w:sz w:val="22"/>
        </w:rPr>
        <w:t>Predicting RUL without a confidence interval is not useful in practice — you need to know not just "this battery has 50 cycles left" but also "I am 90% confident it is between 30 and 70 cycles". This section explains how those intervals are produced.</w:t>
      </w:r>
    </w:p>
    <w:p>
      <w:pPr>
        <w:pStyle w:val="Heading2"/>
        <w:jc w:val="left"/>
      </w:pPr>
      <w:r>
        <w:rPr>
          <w:color w:val="1F3A5F"/>
        </w:rPr>
        <w:t>6.1  Why Conformal Prediction?</w:t>
      </w:r>
    </w:p>
    <w:p>
      <w:pPr>
        <w:spacing w:after="120"/>
      </w:pPr>
      <w:r>
        <w:rPr>
          <w:b w:val="0"/>
          <w:i w:val="0"/>
          <w:color w:val="4A4A4A"/>
          <w:sz w:val="22"/>
        </w:rPr>
        <w:t>Standard neural network or XGBoost uncertainty estimates (e.g., quantile regression) are model-dependent — if the model is slightly wrong, the intervals can be systematically too narrow. Conformal prediction is model-agnostic and gives a mathematical coverage guarantee: "no matter what model you use, if you follow this procedure, the true value will fall inside the interval at least 90% of the time."</w:t>
      </w:r>
    </w:p>
    <w:p>
      <w:pPr>
        <w:pStyle w:val="Heading2"/>
        <w:jc w:val="left"/>
      </w:pPr>
      <w:r>
        <w:rPr>
          <w:color w:val="1F3A5F"/>
        </w:rPr>
        <w:t>6.2  The Conformal Calibration Procedure</w:t>
      </w:r>
    </w:p>
    <w:p>
      <w:pPr>
        <w:spacing w:after="120"/>
      </w:pPr>
      <w:r>
        <w:rPr>
          <w:b w:val="0"/>
          <w:i w:val="0"/>
          <w:color w:val="4A4A4A"/>
          <w:sz w:val="22"/>
        </w:rPr>
        <w:t>Step 1 — Compute non-conformity scores on the calibration set (batteries never seen during training):</w:t>
      </w:r>
    </w:p>
    <w:p>
      <w:pPr>
        <w:spacing w:before="80" w:after="80"/>
        <w:ind w:left="850"/>
      </w:pPr>
      <w:r>
        <w:rPr>
          <w:rFonts w:ascii="Courier New" w:hAnsi="Courier New"/>
          <w:b/>
          <w:color w:val="1F3A5F"/>
          <w:sz w:val="22"/>
        </w:rPr>
        <w:t>s_i  =  |y_i  −  ŷ_i|   (absolute prediction residual)</w:t>
      </w:r>
    </w:p>
    <w:p>
      <w:pPr>
        <w:spacing w:after="120"/>
      </w:pPr>
      <w:r>
        <w:rPr>
          <w:b w:val="0"/>
          <w:i w:val="0"/>
          <w:color w:val="4A4A4A"/>
          <w:sz w:val="22"/>
        </w:rPr>
        <w:t>Step 2 — Find the quantile of those scores that covers (1−α)×100% of calibration points:</w:t>
      </w:r>
    </w:p>
    <w:p>
      <w:pPr>
        <w:spacing w:before="80" w:after="80"/>
        <w:ind w:left="850"/>
      </w:pPr>
      <w:r>
        <w:rPr>
          <w:rFonts w:ascii="Courier New" w:hAnsi="Courier New"/>
          <w:b/>
          <w:color w:val="1F3A5F"/>
          <w:sz w:val="22"/>
        </w:rPr>
        <w:t>q̂  =  Quantile(S_cal,  ⌈(n+1)(1−α)⌉ / n)</w:t>
      </w:r>
    </w:p>
    <w:p>
      <w:pPr>
        <w:spacing w:after="120"/>
      </w:pPr>
      <w:r>
        <w:rPr>
          <w:b w:val="0"/>
          <w:i w:val="0"/>
          <w:color w:val="4A4A4A"/>
          <w:sz w:val="22"/>
        </w:rPr>
        <w:t>where n = number of calibration scores and α = 1 − 0.90 = 0.10.</w:t>
      </w:r>
    </w:p>
    <w:p>
      <w:pPr>
        <w:spacing w:after="120"/>
      </w:pPr>
      <w:r>
        <w:rPr>
          <w:b w:val="0"/>
          <w:i w:val="0"/>
          <w:color w:val="4A4A4A"/>
          <w:sz w:val="22"/>
        </w:rPr>
        <w:t>Step 3 — For any new test battery at cycle t:</w:t>
      </w:r>
    </w:p>
    <w:p>
      <w:pPr>
        <w:spacing w:before="80" w:after="80"/>
        <w:ind w:left="850"/>
      </w:pPr>
      <w:r>
        <w:rPr>
          <w:rFonts w:ascii="Courier New" w:hAnsi="Courier New"/>
          <w:b/>
          <w:color w:val="1F3A5F"/>
          <w:sz w:val="22"/>
        </w:rPr>
        <w:t>RUL_lower  =  max(0,  ŷ − q̂)</w:t>
      </w:r>
    </w:p>
    <w:p>
      <w:pPr>
        <w:spacing w:before="80" w:after="80"/>
        <w:ind w:left="850"/>
      </w:pPr>
      <w:r>
        <w:rPr>
          <w:rFonts w:ascii="Courier New" w:hAnsi="Courier New"/>
          <w:b/>
          <w:color w:val="1F3A5F"/>
          <w:sz w:val="22"/>
        </w:rPr>
        <w:t>RUL_upper  =        ŷ + q̂</w:t>
      </w:r>
    </w:p>
    <w:p>
      <w:pPr>
        <w:spacing w:after="120"/>
      </w:pPr>
      <w:r>
        <w:rPr>
          <w:b w:val="0"/>
          <w:i w:val="0"/>
          <w:color w:val="4A4A4A"/>
          <w:sz w:val="22"/>
        </w:rPr>
        <w:t>The guarantee is: across the test population, at least 90% of the true RUL values will fall inside [RUL_lower, RUL_upper]. Empirically we achieved 96.39% — conservative (wider than necessary) but always valid.</w:t>
      </w:r>
    </w:p>
    <w:p>
      <w:pPr>
        <w:pStyle w:val="Heading2"/>
        <w:jc w:val="left"/>
      </w:pPr>
      <w:r>
        <w:rPr>
          <w:color w:val="1F3A5F"/>
        </w:rPr>
        <w:t>6.3  Stratification: Why Different q̂ for Room / Hot / Cold</w:t>
      </w:r>
    </w:p>
    <w:p>
      <w:pPr>
        <w:spacing w:after="120"/>
      </w:pPr>
      <w:r>
        <w:rPr>
          <w:b w:val="0"/>
          <w:i w:val="0"/>
          <w:color w:val="4A4A4A"/>
          <w:sz w:val="22"/>
        </w:rPr>
        <w:t>Cold batteries behave differently from room-temperature batteries. A single global q̂ computed on all temperatures together would be too wide for room/hot (wasting information) and too narrow for cold (under-covering). Therefore a separate q̂ is calibrated for each temperature group.</w:t>
      </w:r>
    </w:p>
    <w:p>
      <w:pPr>
        <w:pStyle w:val="Heading2"/>
        <w:jc w:val="left"/>
      </w:pPr>
      <w:r>
        <w:rPr>
          <w:color w:val="1F3A5F"/>
        </w:rPr>
        <w:t>6.4  LOBO (Leave-One-Battery-Out) for Cold Batteries</w:t>
      </w:r>
    </w:p>
    <w:p>
      <w:pPr>
        <w:spacing w:after="120"/>
      </w:pPr>
      <w:r>
        <w:rPr>
          <w:b w:val="0"/>
          <w:i w:val="0"/>
          <w:color w:val="4A4A4A"/>
          <w:sz w:val="22"/>
        </w:rPr>
        <w:t>Cold batteries are under-represented in the calibration set (only 3 batteries). With so few calibration batteries, the standard split conformal procedure under-covers cold batteries (87.3% instead of 90%). LOBO improves this by:</w:t>
      </w:r>
    </w:p>
    <w:p>
      <w:pPr>
        <w:pStyle w:val="ListBullet"/>
        <w:ind w:left="400"/>
      </w:pPr>
      <w:r>
        <w:rPr>
          <w:color w:val="4A4A4A"/>
          <w:sz w:val="22"/>
        </w:rPr>
        <w:t>For each cold battery in the calibration group, remove it temporarily</w:t>
      </w:r>
    </w:p>
    <w:p>
      <w:pPr>
        <w:pStyle w:val="ListBullet"/>
        <w:ind w:left="400"/>
      </w:pPr>
      <w:r>
        <w:rPr>
          <w:color w:val="4A4A4A"/>
          <w:sz w:val="22"/>
        </w:rPr>
        <w:t>Refit the model on all remaining training batteries</w:t>
      </w:r>
    </w:p>
    <w:p>
      <w:pPr>
        <w:pStyle w:val="ListBullet"/>
        <w:ind w:left="400"/>
      </w:pPr>
      <w:r>
        <w:rPr>
          <w:color w:val="4A4A4A"/>
          <w:sz w:val="22"/>
        </w:rPr>
        <w:t>Compute the non-conformity score on the removed battery</w:t>
      </w:r>
    </w:p>
    <w:p>
      <w:pPr>
        <w:pStyle w:val="ListBullet"/>
        <w:ind w:left="400"/>
      </w:pPr>
      <w:r>
        <w:rPr>
          <w:color w:val="4A4A4A"/>
          <w:sz w:val="22"/>
        </w:rPr>
        <w:t>This scores how well the model generalises to a completely unseen cold battery</w:t>
      </w:r>
    </w:p>
    <w:p>
      <w:pPr>
        <w:pStyle w:val="ListBullet"/>
        <w:ind w:left="400"/>
      </w:pPr>
      <w:r>
        <w:rPr>
          <w:color w:val="4A4A4A"/>
          <w:sz w:val="22"/>
        </w:rPr>
        <w:t>Aggregate these scores to get a better-calibrated q̂ for cold batteries</w:t>
      </w:r>
    </w:p>
    <w:p>
      <w:pPr>
        <w:spacing w:before="80" w:after="80"/>
        <w:ind w:left="850"/>
      </w:pPr>
      <w:r>
        <w:rPr>
          <w:rFonts w:ascii="Courier New" w:hAnsi="Courier New"/>
          <w:b/>
          <w:color w:val="1F3A5F"/>
          <w:sz w:val="22"/>
        </w:rPr>
        <w:t>q̂_cold(LOBO)  =  Quantile({|y_i − ŷ_i(−i)|}_{i ∈ cold},  ⌈(n+1)(1−α)⌉/n)</w:t>
      </w:r>
    </w:p>
    <w:p>
      <w:pPr>
        <w:spacing w:after="120"/>
      </w:pPr>
      <w:r>
        <w:rPr>
          <w:b w:val="0"/>
          <w:i w:val="0"/>
          <w:color w:val="4A4A4A"/>
          <w:sz w:val="22"/>
        </w:rPr>
        <w:t>where ŷ_i(−i) means the prediction from the model retrained without battery i.</w:t>
      </w:r>
    </w:p>
    <w:p>
      <w:pPr>
        <w:spacing w:after="120"/>
      </w:pPr>
      <w:r>
        <w:rPr>
          <w:b w:val="0"/>
          <w:i w:val="0"/>
          <w:color w:val="4A4A4A"/>
          <w:sz w:val="22"/>
        </w:rPr>
        <w:t>Safety inflation: if a group has fewer than 2 calibration batteries, q̂ is multiplied by 1.20 as a safety margin.</w:t>
      </w:r>
    </w:p>
    <w:p>
      <w:r>
        <w:drawing>
          <wp:inline xmlns:a="http://schemas.openxmlformats.org/drawingml/2006/main" xmlns:pic="http://schemas.openxmlformats.org/drawingml/2006/picture">
            <wp:extent cx="5486400" cy="2429342"/>
            <wp:docPr id="7" name="Picture 7"/>
            <wp:cNvGraphicFramePr>
              <a:graphicFrameLocks noChangeAspect="1"/>
            </wp:cNvGraphicFramePr>
            <a:graphic>
              <a:graphicData uri="http://schemas.openxmlformats.org/drawingml/2006/picture">
                <pic:pic>
                  <pic:nvPicPr>
                    <pic:cNvPr id="0" name="conformal_ablation.png"/>
                    <pic:cNvPicPr/>
                  </pic:nvPicPr>
                  <pic:blipFill>
                    <a:blip r:embed="rId15"/>
                    <a:stretch>
                      <a:fillRect/>
                    </a:stretch>
                  </pic:blipFill>
                  <pic:spPr>
                    <a:xfrm>
                      <a:off x="0" y="0"/>
                      <a:ext cx="5486400" cy="2429342"/>
                    </a:xfrm>
                    <a:prstGeom prst="rect"/>
                  </pic:spPr>
                </pic:pic>
              </a:graphicData>
            </a:graphic>
          </wp:inline>
        </w:drawing>
      </w:r>
    </w:p>
    <w:p>
      <w:pPr>
        <w:spacing w:after="200"/>
        <w:jc w:val="center"/>
      </w:pPr>
      <w:r>
        <w:rPr>
          <w:i/>
          <w:color w:val="4A4A4A"/>
          <w:sz w:val="18"/>
        </w:rPr>
        <w:t>Figure 7 — Conformal coverage ablation. LOBO improves cold battery coverage vs stratified split while maintaining room/hot at 100%. Cold remains slightly below 90% due to limited data.</w:t>
      </w:r>
    </w:p>
    <w:p>
      <w:r>
        <w:br w:type="page"/>
      </w:r>
    </w:p>
    <w:p>
      <w:pPr>
        <w:pStyle w:val="Heading1"/>
        <w:jc w:val="left"/>
      </w:pPr>
      <w:r>
        <w:rPr>
          <w:color w:val="1F3A5F"/>
        </w:rPr>
        <w:t>7. Survival Analysis — Kaplan-Meier Risk Estimation</w:t>
      </w:r>
    </w:p>
    <w:p>
      <w:pPr>
        <w:spacing w:after="120"/>
      </w:pPr>
      <w:r>
        <w:rPr>
          <w:b w:val="0"/>
          <w:i w:val="0"/>
          <w:color w:val="4A4A4A"/>
          <w:sz w:val="22"/>
        </w:rPr>
        <w:t>RUL tells you how many cycles remain. Survival analysis answers a different but complementary question: "what is the probability that the battery is still operational after t cycles?" and "what is the probability it will fail within the next 20 cycles?"</w:t>
      </w:r>
    </w:p>
    <w:p>
      <w:pPr>
        <w:pStyle w:val="Heading2"/>
        <w:jc w:val="left"/>
      </w:pPr>
      <w:r>
        <w:rPr>
          <w:color w:val="1F3A5F"/>
        </w:rPr>
        <w:t>7.1  Key Concepts</w:t>
      </w:r>
    </w:p>
    <w:p>
      <w:pPr>
        <w:ind w:left="283"/>
      </w:pPr>
      <w:r>
        <w:rPr>
          <w:b/>
          <w:color w:val="1F3A5F"/>
          <w:sz w:val="22"/>
        </w:rPr>
        <w:t xml:space="preserve">Event: </w:t>
      </w:r>
      <w:r>
        <w:rPr>
          <w:color w:val="4A4A4A"/>
          <w:sz w:val="22"/>
        </w:rPr>
        <w:t>The battery's capacity first drops below the EOL threshold (1.6 Ah)</w:t>
      </w:r>
    </w:p>
    <w:p>
      <w:pPr>
        <w:ind w:left="283"/>
      </w:pPr>
      <w:r>
        <w:rPr>
          <w:b/>
          <w:color w:val="1F3A5F"/>
          <w:sz w:val="22"/>
        </w:rPr>
        <w:t xml:space="preserve">Censored: </w:t>
      </w:r>
      <w:r>
        <w:rPr>
          <w:color w:val="4A4A4A"/>
          <w:sz w:val="22"/>
        </w:rPr>
        <w:t>A battery that has not yet failed by its last observed cycle — we know it survived at least that long</w:t>
      </w:r>
    </w:p>
    <w:p>
      <w:pPr>
        <w:ind w:left="283"/>
      </w:pPr>
      <w:r>
        <w:rPr>
          <w:b/>
          <w:color w:val="1F3A5F"/>
          <w:sz w:val="22"/>
        </w:rPr>
        <w:t xml:space="preserve">Survival function S(t): </w:t>
      </w:r>
      <w:r>
        <w:rPr>
          <w:color w:val="4A4A4A"/>
          <w:sz w:val="22"/>
        </w:rPr>
        <w:t>P(battery survives past cycle t) = 1 − P(failure by cycle t)</w:t>
      </w:r>
    </w:p>
    <w:p>
      <w:pPr>
        <w:ind w:left="283"/>
      </w:pPr>
      <w:r>
        <w:rPr>
          <w:b/>
          <w:color w:val="1F3A5F"/>
          <w:sz w:val="22"/>
        </w:rPr>
        <w:t xml:space="preserve">Hazard rate h(t): </w:t>
      </w:r>
      <w:r>
        <w:rPr>
          <w:color w:val="4A4A4A"/>
          <w:sz w:val="22"/>
        </w:rPr>
        <w:t>P(battery fails at cycle t | survived until cycle t−1)</w:t>
      </w:r>
    </w:p>
    <w:p>
      <w:pPr>
        <w:pStyle w:val="Heading2"/>
        <w:jc w:val="left"/>
      </w:pPr>
      <w:r>
        <w:rPr>
          <w:color w:val="1F3A5F"/>
        </w:rPr>
        <w:t>7.2  Kaplan-Meier Estimator</w:t>
      </w:r>
    </w:p>
    <w:p>
      <w:pPr>
        <w:spacing w:after="120"/>
      </w:pPr>
      <w:r>
        <w:rPr>
          <w:b w:val="0"/>
          <w:i w:val="0"/>
          <w:color w:val="4A4A4A"/>
          <w:sz w:val="22"/>
        </w:rPr>
        <w:t>The Kaplan-Meier (KM) estimator is a non-parametric method — it does not assume exponential or Weibull distributions. It simply tracks how many batteries are at risk at each cycle and how many fail:</w:t>
      </w:r>
    </w:p>
    <w:p>
      <w:pPr>
        <w:spacing w:before="80" w:after="80"/>
        <w:ind w:left="850"/>
      </w:pPr>
      <w:r>
        <w:rPr>
          <w:rFonts w:ascii="Courier New" w:hAnsi="Courier New"/>
          <w:b/>
          <w:color w:val="1F3A5F"/>
          <w:sz w:val="22"/>
        </w:rPr>
        <w:t>S(t)  =  Π_{t_i ≤ t}  (1  −  d_i / n_i)</w:t>
      </w:r>
    </w:p>
    <w:p>
      <w:pPr>
        <w:spacing w:after="120"/>
      </w:pPr>
      <w:r>
        <w:rPr>
          <w:b w:val="0"/>
          <w:i w:val="0"/>
          <w:color w:val="4A4A4A"/>
          <w:sz w:val="22"/>
        </w:rPr>
        <w:t>Where:</w:t>
      </w:r>
    </w:p>
    <w:p>
      <w:pPr>
        <w:pStyle w:val="ListBullet"/>
        <w:ind w:left="400"/>
      </w:pPr>
      <w:r>
        <w:rPr>
          <w:color w:val="4A4A4A"/>
          <w:sz w:val="22"/>
        </w:rPr>
        <w:t>t_i  = cycle at which at least one battery fails</w:t>
      </w:r>
    </w:p>
    <w:p>
      <w:pPr>
        <w:pStyle w:val="ListBullet"/>
        <w:ind w:left="400"/>
      </w:pPr>
      <w:r>
        <w:rPr>
          <w:color w:val="4A4A4A"/>
          <w:sz w:val="22"/>
        </w:rPr>
        <w:t>d_i  = number of batteries that fail at cycle t_i</w:t>
      </w:r>
    </w:p>
    <w:p>
      <w:pPr>
        <w:pStyle w:val="ListBullet"/>
        <w:ind w:left="400"/>
      </w:pPr>
      <w:r>
        <w:rPr>
          <w:color w:val="4A4A4A"/>
          <w:sz w:val="22"/>
        </w:rPr>
        <w:t>n_i  = number of batteries still at risk just before cycle t_i</w:t>
      </w:r>
    </w:p>
    <w:p>
      <w:pPr>
        <w:spacing w:after="120"/>
      </w:pPr>
      <w:r>
        <w:rPr>
          <w:b w:val="0"/>
          <w:i w:val="0"/>
          <w:color w:val="4A4A4A"/>
          <w:sz w:val="22"/>
        </w:rPr>
        <w:t>KM is fitted separately for each temperature group (room, hot, cold), because degradation rates differ:</w:t>
      </w:r>
    </w:p>
    <w:p>
      <w:pPr>
        <w:spacing w:before="80" w:after="80"/>
        <w:ind w:left="850"/>
      </w:pPr>
      <w:r>
        <w:rPr>
          <w:rFonts w:ascii="Courier New" w:hAnsi="Courier New"/>
          <w:b/>
          <w:color w:val="1F3A5F"/>
          <w:sz w:val="22"/>
        </w:rPr>
        <w:t>S_group(t)  =  Π_{t_i ≤ t}  (1  −  d_i^group / n_i^group)</w:t>
      </w:r>
    </w:p>
    <w:p>
      <w:pPr>
        <w:pStyle w:val="Heading2"/>
        <w:jc w:val="left"/>
      </w:pPr>
      <w:r>
        <w:rPr>
          <w:color w:val="1F3A5F"/>
        </w:rPr>
        <w:t>7.3  Horizon Failure Probability</w:t>
      </w:r>
    </w:p>
    <w:p>
      <w:pPr>
        <w:spacing w:after="120"/>
      </w:pPr>
      <w:r>
        <w:rPr>
          <w:b w:val="0"/>
          <w:i w:val="0"/>
          <w:color w:val="4A4A4A"/>
          <w:sz w:val="22"/>
        </w:rPr>
        <w:t>For a battery currently at cycle t, the probability of failing within the next H = 20 cycles is:</w:t>
      </w:r>
    </w:p>
    <w:p>
      <w:pPr>
        <w:spacing w:before="80" w:after="80"/>
        <w:ind w:left="850"/>
      </w:pPr>
      <w:r>
        <w:rPr>
          <w:rFonts w:ascii="Courier New" w:hAnsi="Courier New"/>
          <w:b/>
          <w:color w:val="1F3A5F"/>
          <w:sz w:val="22"/>
        </w:rPr>
        <w:t>P(fail within H | at cycle t)  =  1  −  S(t + H) / S(t)</w:t>
      </w:r>
    </w:p>
    <w:p>
      <w:pPr>
        <w:spacing w:after="120"/>
      </w:pPr>
      <w:r>
        <w:rPr>
          <w:b w:val="0"/>
          <w:i w:val="0"/>
          <w:color w:val="4A4A4A"/>
          <w:sz w:val="22"/>
        </w:rPr>
        <w:t>The per-cycle hazard rate is:</w:t>
      </w:r>
    </w:p>
    <w:p>
      <w:pPr>
        <w:spacing w:before="80" w:after="80"/>
        <w:ind w:left="850"/>
      </w:pPr>
      <w:r>
        <w:rPr>
          <w:rFonts w:ascii="Courier New" w:hAnsi="Courier New"/>
          <w:b/>
          <w:color w:val="1F3A5F"/>
          <w:sz w:val="22"/>
        </w:rPr>
        <w:t>h(t)  =  1  −  S(t+1) / S(t)</w:t>
      </w:r>
    </w:p>
    <w:p>
      <w:pPr>
        <w:pStyle w:val="Heading2"/>
        <w:jc w:val="left"/>
      </w:pPr>
      <w:r>
        <w:rPr>
          <w:color w:val="1F3A5F"/>
        </w:rPr>
        <w:t>7.4  Risk Categories and Thresholds</w:t>
      </w:r>
    </w:p>
    <w:p>
      <w:pPr>
        <w:spacing w:after="120"/>
      </w:pPr>
      <w:r>
        <w:rPr>
          <w:b w:val="0"/>
          <w:i w:val="0"/>
          <w:color w:val="4A4A4A"/>
          <w:sz w:val="22"/>
        </w:rPr>
        <w:t>The failure probability within 20 cycles is mapped to three risk categories. These thresholds come from the project configuration (configs/pipeline.yaml) and represent engineering judgment about acceptable risk levels:</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F3A5F"/>
          </w:tcPr>
          <w:p>
            <w:r>
              <w:rPr>
                <w:b/>
                <w:color w:val="FFFFFF"/>
              </w:rPr>
              <w:t>Risk Category</w:t>
            </w:r>
          </w:p>
        </w:tc>
        <w:tc>
          <w:tcPr>
            <w:tcW w:type="dxa" w:w="2835"/>
            <w:shd w:val="clear" w:color="auto" w:fill="1F3A5F"/>
          </w:tcPr>
          <w:p>
            <w:r>
              <w:rPr>
                <w:b/>
                <w:color w:val="FFFFFF"/>
              </w:rPr>
              <w:t>Failure Probability within 20 cycles</w:t>
            </w:r>
          </w:p>
        </w:tc>
        <w:tc>
          <w:tcPr>
            <w:tcW w:type="dxa" w:w="4535"/>
            <w:shd w:val="clear" w:color="auto" w:fill="1F3A5F"/>
          </w:tcPr>
          <w:p>
            <w:r>
              <w:rPr>
                <w:b/>
                <w:color w:val="FFFFFF"/>
              </w:rPr>
              <w:t>Action</w:t>
            </w:r>
          </w:p>
        </w:tc>
      </w:tr>
      <w:tr>
        <w:tc>
          <w:tcPr>
            <w:tcW w:type="dxa" w:w="1701"/>
            <w:shd w:val="clear" w:color="auto" w:fill="F5B7B1"/>
          </w:tcPr>
          <w:p>
            <w:r>
              <w:t>HIGH</w:t>
            </w:r>
          </w:p>
        </w:tc>
        <w:tc>
          <w:tcPr>
            <w:tcW w:type="dxa" w:w="2835"/>
          </w:tcPr>
          <w:p>
            <w:r>
              <w:t>&gt; 70%</w:t>
            </w:r>
          </w:p>
        </w:tc>
        <w:tc>
          <w:tcPr>
            <w:tcW w:type="dxa" w:w="4535"/>
          </w:tcPr>
          <w:p>
            <w:r>
              <w:t>Immediate inspection / replacement recommended</w:t>
            </w:r>
          </w:p>
        </w:tc>
      </w:tr>
      <w:tr>
        <w:tc>
          <w:tcPr>
            <w:tcW w:type="dxa" w:w="1701"/>
            <w:shd w:val="clear" w:color="auto" w:fill="FAD7A0"/>
          </w:tcPr>
          <w:p>
            <w:r>
              <w:t>MEDIUM</w:t>
            </w:r>
          </w:p>
        </w:tc>
        <w:tc>
          <w:tcPr>
            <w:tcW w:type="dxa" w:w="2835"/>
          </w:tcPr>
          <w:p>
            <w:r>
              <w:t>30% – 70%</w:t>
            </w:r>
          </w:p>
        </w:tc>
        <w:tc>
          <w:tcPr>
            <w:tcW w:type="dxa" w:w="4535"/>
          </w:tcPr>
          <w:p>
            <w:r>
              <w:t>Monitor closely, schedule maintenance</w:t>
            </w:r>
          </w:p>
        </w:tc>
      </w:tr>
      <w:tr>
        <w:tc>
          <w:tcPr>
            <w:tcW w:type="dxa" w:w="1701"/>
            <w:shd w:val="clear" w:color="auto" w:fill="A9DFBF"/>
          </w:tcPr>
          <w:p>
            <w:r>
              <w:t>LOW</w:t>
            </w:r>
          </w:p>
        </w:tc>
        <w:tc>
          <w:tcPr>
            <w:tcW w:type="dxa" w:w="2835"/>
          </w:tcPr>
          <w:p>
            <w:r>
              <w:t>&lt; 30%</w:t>
            </w:r>
          </w:p>
        </w:tc>
        <w:tc>
          <w:tcPr>
            <w:tcW w:type="dxa" w:w="4535"/>
          </w:tcPr>
          <w:p>
            <w:r>
              <w:t>Normal operation, no immediate action</w:t>
            </w:r>
          </w:p>
        </w:tc>
      </w:tr>
    </w:tbl>
    <w:p/>
    <w:p>
      <w:pPr>
        <w:spacing w:after="120"/>
      </w:pPr>
      <w:r>
        <w:rPr>
          <w:b w:val="0"/>
          <w:i w:val="0"/>
          <w:color w:val="4A4A4A"/>
          <w:sz w:val="22"/>
        </w:rPr>
        <w:t>Result on the test set (638 rows across 6 batteries):</w:t>
      </w:r>
    </w:p>
    <w:p>
      <w:pPr>
        <w:pStyle w:val="ListBullet"/>
        <w:ind w:left="400"/>
      </w:pPr>
      <w:r>
        <w:rPr>
          <w:color w:val="4A4A4A"/>
          <w:sz w:val="22"/>
        </w:rPr>
        <w:t>LOW:    689 rows (24.7%) — most cycles early in battery life</w:t>
      </w:r>
    </w:p>
    <w:p>
      <w:pPr>
        <w:pStyle w:val="ListBullet"/>
        <w:ind w:left="400"/>
      </w:pPr>
      <w:r>
        <w:rPr>
          <w:color w:val="4A4A4A"/>
          <w:sz w:val="22"/>
        </w:rPr>
        <w:t>MEDIUM: 2,020 rows (72.4%) — mid-life operating region</w:t>
      </w:r>
    </w:p>
    <w:p>
      <w:pPr>
        <w:pStyle w:val="ListBullet"/>
        <w:ind w:left="400"/>
      </w:pPr>
      <w:r>
        <w:rPr>
          <w:color w:val="4A4A4A"/>
          <w:sz w:val="22"/>
        </w:rPr>
        <w:t>HIGH:   81 rows (2.9%)  — late-life cycles approaching EOL</w:t>
      </w:r>
    </w:p>
    <w:p>
      <w:r>
        <w:drawing>
          <wp:inline xmlns:a="http://schemas.openxmlformats.org/drawingml/2006/main" xmlns:pic="http://schemas.openxmlformats.org/drawingml/2006/picture">
            <wp:extent cx="5760720" cy="2057400"/>
            <wp:docPr id="8" name="Picture 8"/>
            <wp:cNvGraphicFramePr>
              <a:graphicFrameLocks noChangeAspect="1"/>
            </wp:cNvGraphicFramePr>
            <a:graphic>
              <a:graphicData uri="http://schemas.openxmlformats.org/drawingml/2006/picture">
                <pic:pic>
                  <pic:nvPicPr>
                    <pic:cNvPr id="0" name="survival_diagram.png"/>
                    <pic:cNvPicPr/>
                  </pic:nvPicPr>
                  <pic:blipFill>
                    <a:blip r:embed="rId16"/>
                    <a:stretch>
                      <a:fillRect/>
                    </a:stretch>
                  </pic:blipFill>
                  <pic:spPr>
                    <a:xfrm>
                      <a:off x="0" y="0"/>
                      <a:ext cx="5760720" cy="2057400"/>
                    </a:xfrm>
                    <a:prstGeom prst="rect"/>
                  </pic:spPr>
                </pic:pic>
              </a:graphicData>
            </a:graphic>
          </wp:inline>
        </w:drawing>
      </w:r>
    </w:p>
    <w:p>
      <w:pPr>
        <w:spacing w:after="200"/>
        <w:jc w:val="center"/>
      </w:pPr>
      <w:r>
        <w:rPr>
          <w:i/>
          <w:color w:val="4A4A4A"/>
          <w:sz w:val="18"/>
        </w:rPr>
        <w:t>Figure 8 — Left: Kaplan-Meier survival curves by temperature group (illustrative). Right: hazard rate and 20-cycle failure probability with risk thresholds annotated.</w:t>
      </w:r>
    </w:p>
    <w:p>
      <w:r>
        <w:br w:type="page"/>
      </w:r>
    </w:p>
    <w:p>
      <w:pPr>
        <w:pStyle w:val="Heading1"/>
        <w:jc w:val="left"/>
      </w:pPr>
      <w:r>
        <w:rPr>
          <w:color w:val="1F3A5F"/>
        </w:rPr>
        <w:t>8. Anomaly Detection</w:t>
      </w:r>
    </w:p>
    <w:p>
      <w:pPr>
        <w:spacing w:after="120"/>
      </w:pPr>
      <w:r>
        <w:rPr>
          <w:b w:val="0"/>
          <w:i w:val="0"/>
          <w:color w:val="4A4A4A"/>
          <w:sz w:val="22"/>
        </w:rPr>
        <w:t>Not every cycle degrades smoothly. Sometimes a battery experiences an unexpected capacity drop, a thermal event, or a measurement anomaly. These outlier cycles need to be flagged.</w:t>
      </w:r>
    </w:p>
    <w:p>
      <w:pPr>
        <w:spacing w:after="120"/>
      </w:pPr>
      <w:r>
        <w:rPr>
          <w:b w:val="0"/>
          <w:i w:val="0"/>
          <w:color w:val="4A4A4A"/>
          <w:sz w:val="22"/>
        </w:rPr>
        <w:t>The anomaly detector compares each cycle's actual RUL to the model's prediction and flags cycles where the absolute residual exceeds a data-driven threshold. Additionally, cycles flagged before training (pre-training anomaly filter) are identified for known problematic batteries (B0049–B0056) whose capacity fell below 50% of their median — likely measurement artefacts or early catastrophic degradation.</w:t>
      </w:r>
    </w:p>
    <w:p>
      <w:pPr>
        <w:spacing w:before="80" w:after="80"/>
        <w:ind w:left="850"/>
      </w:pPr>
      <w:r>
        <w:rPr>
          <w:rFonts w:ascii="Courier New" w:hAnsi="Courier New"/>
          <w:b/>
          <w:color w:val="1F3A5F"/>
          <w:sz w:val="22"/>
        </w:rPr>
        <w:t>anomaly_score  =  |RUL_true  −  RUL_predicted|</w:t>
      </w:r>
    </w:p>
    <w:p>
      <w:pPr>
        <w:spacing w:after="120"/>
      </w:pPr>
      <w:r>
        <w:rPr>
          <w:b w:val="0"/>
          <w:i w:val="0"/>
          <w:color w:val="4A4A4A"/>
          <w:sz w:val="22"/>
        </w:rPr>
        <w:t>Result: 32 anomalies detected across the 6 test batteries. Zero anomalies is also valid — it means the test batteries degraded smoothly.</w:t>
      </w:r>
    </w:p>
    <w:p>
      <w:pPr>
        <w:pStyle w:val="Heading1"/>
        <w:jc w:val="left"/>
      </w:pPr>
      <w:r>
        <w:rPr>
          <w:color w:val="1F3A5F"/>
        </w:rPr>
        <w:t>9. Feature Drift Monitoring (PSI)</w:t>
      </w:r>
    </w:p>
    <w:p>
      <w:pPr>
        <w:spacing w:after="120"/>
      </w:pPr>
      <w:r>
        <w:rPr>
          <w:b w:val="0"/>
          <w:i w:val="0"/>
          <w:color w:val="4A4A4A"/>
          <w:sz w:val="22"/>
        </w:rPr>
        <w:t>When a model is deployed, the new data might come from a different distribution than the training data (e.g., different temperature conditions, different charging protocols). Population Stability Index (PSI) measures how much the distribution of each feature has shifted between the training set and the test set.</w:t>
      </w:r>
    </w:p>
    <w:p>
      <w:pPr>
        <w:spacing w:before="80" w:after="80"/>
        <w:ind w:left="850"/>
      </w:pPr>
      <w:r>
        <w:rPr>
          <w:rFonts w:ascii="Courier New" w:hAnsi="Courier New"/>
          <w:b/>
          <w:color w:val="1F3A5F"/>
          <w:sz w:val="22"/>
        </w:rPr>
        <w:t>PSI  =  Σᵢ  (P_test,i − P_train,i)  ·  ln(P_test,i / P_train,i)</w:t>
      </w:r>
    </w:p>
    <w:p>
      <w:pPr>
        <w:spacing w:after="120"/>
      </w:pPr>
      <w:r>
        <w:rPr>
          <w:b w:val="0"/>
          <w:i w:val="0"/>
          <w:color w:val="4A4A4A"/>
          <w:sz w:val="22"/>
        </w:rPr>
        <w:t>Where P_test,i and P_train,i are the proportions of observations in bin i for test and train respectively.</w:t>
      </w:r>
    </w:p>
    <w:p>
      <w:pPr>
        <w:spacing w:after="120"/>
      </w:pPr>
      <w:r>
        <w:rPr>
          <w:b w:val="0"/>
          <w:i w:val="0"/>
          <w:color w:val="4A4A4A"/>
          <w:sz w:val="22"/>
        </w:rPr>
        <w:t>Thresholds (from pipeline.yaml):</w:t>
      </w:r>
    </w:p>
    <w:p>
      <w:pPr>
        <w:pStyle w:val="ListBullet"/>
        <w:ind w:left="400"/>
      </w:pPr>
      <w:r>
        <w:rPr>
          <w:color w:val="4A4A4A"/>
          <w:sz w:val="22"/>
        </w:rPr>
        <w:t>PSI &lt; 0.10:  GREEN — no significant drift</w:t>
      </w:r>
    </w:p>
    <w:p>
      <w:pPr>
        <w:pStyle w:val="ListBullet"/>
        <w:ind w:left="400"/>
      </w:pPr>
      <w:r>
        <w:rPr>
          <w:color w:val="4A4A4A"/>
          <w:sz w:val="22"/>
        </w:rPr>
        <w:t>PSI 0.10 – 0.20:  AMBER — slight drift, monitor</w:t>
      </w:r>
    </w:p>
    <w:p>
      <w:pPr>
        <w:pStyle w:val="ListBullet"/>
        <w:ind w:left="400"/>
      </w:pPr>
      <w:r>
        <w:rPr>
          <w:color w:val="4A4A4A"/>
          <w:sz w:val="22"/>
        </w:rPr>
        <w:t>PSI &gt; 0.20:  RED — significant distribution shift</w:t>
      </w:r>
    </w:p>
    <w:p>
      <w:r>
        <w:drawing>
          <wp:inline xmlns:a="http://schemas.openxmlformats.org/drawingml/2006/main" xmlns:pic="http://schemas.openxmlformats.org/drawingml/2006/picture">
            <wp:extent cx="5486400" cy="2425266"/>
            <wp:docPr id="9" name="Picture 9"/>
            <wp:cNvGraphicFramePr>
              <a:graphicFrameLocks noChangeAspect="1"/>
            </wp:cNvGraphicFramePr>
            <a:graphic>
              <a:graphicData uri="http://schemas.openxmlformats.org/drawingml/2006/picture">
                <pic:pic>
                  <pic:nvPicPr>
                    <pic:cNvPr id="0" name="drift_diagram.png"/>
                    <pic:cNvPicPr/>
                  </pic:nvPicPr>
                  <pic:blipFill>
                    <a:blip r:embed="rId17"/>
                    <a:stretch>
                      <a:fillRect/>
                    </a:stretch>
                  </pic:blipFill>
                  <pic:spPr>
                    <a:xfrm>
                      <a:off x="0" y="0"/>
                      <a:ext cx="5486400" cy="2425266"/>
                    </a:xfrm>
                    <a:prstGeom prst="rect"/>
                  </pic:spPr>
                </pic:pic>
              </a:graphicData>
            </a:graphic>
          </wp:inline>
        </w:drawing>
      </w:r>
    </w:p>
    <w:p>
      <w:pPr>
        <w:spacing w:after="200"/>
        <w:jc w:val="center"/>
      </w:pPr>
      <w:r>
        <w:rPr>
          <w:i/>
          <w:color w:val="4A4A4A"/>
          <w:sz w:val="18"/>
        </w:rPr>
        <w:t>Figure 9 — PSI drift report: train vs test. Temperature, voltage and current features are RED. This is expected because test batteries include cold batteries (different temperature distribution to training).</w:t>
      </w:r>
    </w:p>
    <w:p>
      <w:pPr>
        <w:spacing w:after="120"/>
      </w:pPr>
      <w:r>
        <w:rPr>
          <w:b w:val="0"/>
          <w:i/>
          <w:color w:val="4A4A4A"/>
          <w:sz w:val="22"/>
        </w:rPr>
        <w:t>Why is RED drift expected here? The test set includes 3 cold batteries (B0041, B0044, B0052) tested at sub-10°C, while the training set has mostly room-temperature batteries. Temperature drives everything else (voltage, current, duration), so high PSI on temperature-correlated features is expected. This is not a failure — it confirms the stratified splitting and temperature-aware conformal calibration are the right approach.</w:t>
      </w:r>
    </w:p>
    <w:p>
      <w:r>
        <w:br w:type="page"/>
      </w:r>
    </w:p>
    <w:p>
      <w:pPr>
        <w:pStyle w:val="Heading1"/>
        <w:jc w:val="left"/>
      </w:pPr>
      <w:r>
        <w:rPr>
          <w:color w:val="1F3A5F"/>
        </w:rPr>
        <w:t>10. Reasoning, Hypotheses, and Counterfactuals</w:t>
      </w:r>
    </w:p>
    <w:p>
      <w:pPr>
        <w:spacing w:after="120"/>
      </w:pPr>
      <w:r>
        <w:rPr>
          <w:b w:val="0"/>
          <w:i w:val="0"/>
          <w:color w:val="4A4A4A"/>
          <w:sz w:val="22"/>
        </w:rPr>
        <w:t>Stage 5 goes beyond prediction to generate human-readable explanations. The system makes no causal claims — all outputs are explicitly labelled as hypotheses derived from model behaviour.</w:t>
      </w:r>
    </w:p>
    <w:p>
      <w:pPr>
        <w:pStyle w:val="Heading2"/>
        <w:jc w:val="left"/>
      </w:pPr>
      <w:r>
        <w:rPr>
          <w:color w:val="1F3A5F"/>
        </w:rPr>
        <w:t>10.1  Degradation Hypotheses</w:t>
      </w:r>
    </w:p>
    <w:p>
      <w:pPr>
        <w:spacing w:after="120"/>
      </w:pPr>
      <w:r>
        <w:rPr>
          <w:b w:val="0"/>
          <w:i w:val="0"/>
          <w:color w:val="4A4A4A"/>
          <w:sz w:val="22"/>
        </w:rPr>
        <w:t>9 hypotheses are generated based on feature importance and observed patterns. For example: "high temp_mean is associated with accelerated RUL decline across batteries in the hot group". These are grounded in the model's feature importance and validated against knowledge-base reference texts in data/knowledge_base/.</w:t>
      </w:r>
    </w:p>
    <w:p>
      <w:pPr>
        <w:pStyle w:val="Heading2"/>
        <w:jc w:val="left"/>
      </w:pPr>
      <w:r>
        <w:rPr>
          <w:color w:val="1F3A5F"/>
        </w:rPr>
        <w:t>10.2  Counterfactual Examples</w:t>
      </w:r>
    </w:p>
    <w:p>
      <w:pPr>
        <w:spacing w:after="120"/>
      </w:pPr>
      <w:r>
        <w:rPr>
          <w:b w:val="0"/>
          <w:i w:val="0"/>
          <w:color w:val="4A4A4A"/>
          <w:sz w:val="22"/>
        </w:rPr>
        <w:t>12 counterfactual examples answer "what-if" questions: "If this battery's energy_j had been 10% lower, what would the predicted RUL have been?" These are generated by perturbing the top features and running the model again. They help an engineer understand which operating conditions most affect battery life.</w:t>
      </w:r>
    </w:p>
    <w:p>
      <w:pPr>
        <w:pStyle w:val="Heading2"/>
        <w:jc w:val="left"/>
      </w:pPr>
      <w:r>
        <w:rPr>
          <w:color w:val="1F3A5F"/>
        </w:rPr>
        <w:t>10.3  Anti-Hallucination Guarantee</w:t>
      </w:r>
    </w:p>
    <w:p>
      <w:pPr>
        <w:spacing w:after="120"/>
      </w:pPr>
      <w:r>
        <w:rPr>
          <w:b w:val="0"/>
          <w:i w:val="0"/>
          <w:color w:val="4A4A4A"/>
          <w:sz w:val="22"/>
        </w:rPr>
        <w:t>All explanation outputs are:</w:t>
      </w:r>
    </w:p>
    <w:p>
      <w:pPr>
        <w:pStyle w:val="ListBullet"/>
        <w:ind w:left="400"/>
      </w:pPr>
      <w:r>
        <w:rPr>
          <w:color w:val="4A4A4A"/>
          <w:sz w:val="22"/>
        </w:rPr>
        <w:t>Derived strictly from model predictions and calibration data — no external claims</w:t>
      </w:r>
    </w:p>
    <w:p>
      <w:pPr>
        <w:pStyle w:val="ListBullet"/>
        <w:ind w:left="400"/>
      </w:pPr>
      <w:r>
        <w:rPr>
          <w:color w:val="4A4A4A"/>
          <w:sz w:val="22"/>
        </w:rPr>
        <w:t>Labelled as hypotheses, not confirmed causal mechanisms</w:t>
      </w:r>
    </w:p>
    <w:p>
      <w:pPr>
        <w:pStyle w:val="ListBullet"/>
        <w:ind w:left="400"/>
      </w:pPr>
      <w:r>
        <w:rPr>
          <w:color w:val="4A4A4A"/>
          <w:sz w:val="22"/>
        </w:rPr>
        <w:t>Traced to a specific feature importance score or residual value</w:t>
      </w:r>
    </w:p>
    <w:p>
      <w:pPr>
        <w:pStyle w:val="ListBullet"/>
        <w:ind w:left="400"/>
      </w:pPr>
      <w:r>
        <w:rPr>
          <w:color w:val="4A4A4A"/>
          <w:sz w:val="22"/>
        </w:rPr>
        <w:t>Audited by the Stage 6 Supervisor before inclusion in the final report</w:t>
      </w:r>
    </w:p>
    <w:p>
      <w:pPr>
        <w:pStyle w:val="Heading1"/>
        <w:jc w:val="left"/>
      </w:pPr>
      <w:r>
        <w:rPr>
          <w:color w:val="1F3A5F"/>
        </w:rPr>
        <w:t>11. Stage 6: Supervisor Review</w:t>
      </w:r>
    </w:p>
    <w:p>
      <w:pPr>
        <w:spacing w:after="120"/>
      </w:pPr>
      <w:r>
        <w:rPr>
          <w:b w:val="0"/>
          <w:i w:val="0"/>
          <w:color w:val="4A4A4A"/>
          <w:sz w:val="22"/>
        </w:rPr>
        <w:t>The final stage is an automated audit that checks every pipeline output for completeness, consistency, and quality before issuing a system verdict.</w:t>
      </w:r>
    </w:p>
    <w:p>
      <w:pPr>
        <w:ind w:left="283"/>
      </w:pPr>
      <w:r>
        <w:rPr>
          <w:b/>
          <w:color w:val="1F3A5F"/>
          <w:sz w:val="22"/>
        </w:rPr>
        <w:t xml:space="preserve">Model RMSE: </w:t>
      </w:r>
      <w:r>
        <w:rPr>
          <w:color w:val="4A4A4A"/>
          <w:sz w:val="22"/>
        </w:rPr>
        <w:t>ML RMSE ≤ 100 → PASS; ≤ 200 → CONDITIONAL PASS; else FAIL</w:t>
      </w:r>
    </w:p>
    <w:p>
      <w:pPr>
        <w:ind w:left="283"/>
      </w:pPr>
      <w:r>
        <w:rPr>
          <w:b/>
          <w:color w:val="1F3A5F"/>
          <w:sz w:val="22"/>
        </w:rPr>
        <w:t xml:space="preserve">CV / test RMSE ratio: </w:t>
      </w:r>
      <w:r>
        <w:rPr>
          <w:color w:val="4A4A4A"/>
          <w:sz w:val="22"/>
        </w:rPr>
        <w:t>Ratio &gt; 1.5 triggers a WARNING (ours = 2.2)</w:t>
      </w:r>
    </w:p>
    <w:p>
      <w:pPr>
        <w:ind w:left="283"/>
      </w:pPr>
      <w:r>
        <w:rPr>
          <w:b/>
          <w:color w:val="1F3A5F"/>
          <w:sz w:val="22"/>
        </w:rPr>
        <w:t xml:space="preserve">Uncertainty coverage: </w:t>
      </w:r>
      <w:r>
        <w:rPr>
          <w:color w:val="4A4A4A"/>
          <w:sz w:val="22"/>
        </w:rPr>
        <w:t>Check coverage report exists and reports coverage</w:t>
      </w:r>
    </w:p>
    <w:p>
      <w:pPr>
        <w:ind w:left="283"/>
      </w:pPr>
      <w:r>
        <w:rPr>
          <w:b/>
          <w:color w:val="1F3A5F"/>
          <w:sz w:val="22"/>
        </w:rPr>
        <w:t xml:space="preserve">Survival predictions: </w:t>
      </w:r>
      <w:r>
        <w:rPr>
          <w:color w:val="4A4A4A"/>
          <w:sz w:val="22"/>
        </w:rPr>
        <w:t>Check survival_risk_predictions.csv exists and has rows</w:t>
      </w:r>
    </w:p>
    <w:p>
      <w:pPr>
        <w:ind w:left="283"/>
      </w:pPr>
      <w:r>
        <w:rPr>
          <w:b/>
          <w:color w:val="1F3A5F"/>
          <w:sz w:val="22"/>
        </w:rPr>
        <w:t xml:space="preserve">Anomaly detector: </w:t>
      </w:r>
      <w:r>
        <w:rPr>
          <w:color w:val="4A4A4A"/>
          <w:sz w:val="22"/>
        </w:rPr>
        <w:t>Check anomalies.json exists</w:t>
      </w:r>
    </w:p>
    <w:p>
      <w:pPr>
        <w:ind w:left="283"/>
      </w:pPr>
      <w:r>
        <w:rPr>
          <w:b/>
          <w:color w:val="1F3A5F"/>
          <w:sz w:val="22"/>
        </w:rPr>
        <w:t xml:space="preserve">Reasoning outputs: </w:t>
      </w:r>
      <w:r>
        <w:rPr>
          <w:color w:val="4A4A4A"/>
          <w:sz w:val="22"/>
        </w:rPr>
        <w:t>Count hypotheses and counterfactuals; must be &gt; 0</w:t>
      </w:r>
    </w:p>
    <w:p>
      <w:pPr>
        <w:ind w:left="283"/>
      </w:pPr>
      <w:r>
        <w:rPr>
          <w:b/>
          <w:color w:val="1F3A5F"/>
          <w:sz w:val="22"/>
        </w:rPr>
        <w:t xml:space="preserve">Anti-hallucination: </w:t>
      </w:r>
      <w:r>
        <w:rPr>
          <w:color w:val="4A4A4A"/>
          <w:sz w:val="22"/>
        </w:rPr>
        <w:t>Confirm all explanations have evidence sources</w:t>
      </w:r>
    </w:p>
    <w:p>
      <w:pPr>
        <w:ind w:left="283"/>
      </w:pPr>
      <w:r>
        <w:rPr>
          <w:b/>
          <w:color w:val="1F3A5F"/>
          <w:sz w:val="22"/>
        </w:rPr>
        <w:t xml:space="preserve">Knowledge base retrieval: </w:t>
      </w:r>
      <w:r>
        <w:rPr>
          <w:color w:val="4A4A4A"/>
          <w:sz w:val="22"/>
        </w:rPr>
        <w:t>Top local snippets cited in supervisor report</w:t>
      </w:r>
    </w:p>
    <w:p>
      <w:pPr>
        <w:spacing w:after="120"/>
      </w:pPr>
      <w:r>
        <w:rPr>
          <w:b/>
          <w:i w:val="0"/>
          <w:color w:val="4A4A4A"/>
          <w:sz w:val="22"/>
        </w:rPr>
        <w:t>Final verdict: CONDITIONAL PASS. System is valid for research use. Recommendation: gather more cold-battery data to close the CV/test RMSE gap and improve conformal coverage for cold batteries.</w:t>
      </w:r>
    </w:p>
    <w:p>
      <w:pPr>
        <w:pStyle w:val="Heading1"/>
        <w:jc w:val="left"/>
      </w:pPr>
      <w:r>
        <w:rPr>
          <w:color w:val="1F3A5F"/>
        </w:rPr>
        <w:t>12. Complete List of System Outputs</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1F3A5F"/>
          </w:tcPr>
          <w:p>
            <w:r>
              <w:rPr>
                <w:b/>
                <w:color w:val="FFFFFF"/>
                <w:sz w:val="18"/>
              </w:rPr>
              <w:t>File</w:t>
            </w:r>
          </w:p>
        </w:tc>
        <w:tc>
          <w:tcPr>
            <w:tcW w:type="dxa" w:w="3969"/>
            <w:shd w:val="clear" w:color="auto" w:fill="1F3A5F"/>
          </w:tcPr>
          <w:p>
            <w:r>
              <w:rPr>
                <w:b/>
                <w:color w:val="FFFFFF"/>
                <w:sz w:val="18"/>
              </w:rPr>
              <w:t>What it contains</w:t>
            </w:r>
          </w:p>
        </w:tc>
        <w:tc>
          <w:tcPr>
            <w:tcW w:type="dxa" w:w="2268"/>
            <w:shd w:val="clear" w:color="auto" w:fill="1F3A5F"/>
          </w:tcPr>
          <w:p>
            <w:r>
              <w:rPr>
                <w:b/>
                <w:color w:val="FFFFFF"/>
                <w:sz w:val="18"/>
              </w:rPr>
              <w:t>Where</w:t>
            </w:r>
          </w:p>
        </w:tc>
      </w:tr>
      <w:tr>
        <w:tc>
          <w:tcPr>
            <w:tcW w:type="dxa" w:w="3402"/>
          </w:tcPr>
          <w:p>
            <w:r>
              <w:rPr>
                <w:sz w:val="18"/>
              </w:rPr>
              <w:t>cycle_features_with_rul.csv</w:t>
            </w:r>
          </w:p>
        </w:tc>
        <w:tc>
          <w:tcPr>
            <w:tcW w:type="dxa" w:w="3969"/>
          </w:tcPr>
          <w:p>
            <w:r>
              <w:rPr>
                <w:sz w:val="18"/>
              </w:rPr>
              <w:t>Cleaned, merged cycle features + RUL labels</w:t>
            </w:r>
          </w:p>
        </w:tc>
        <w:tc>
          <w:tcPr>
            <w:tcW w:type="dxa" w:w="2268"/>
          </w:tcPr>
          <w:p>
            <w:r>
              <w:rPr>
                <w:sz w:val="18"/>
              </w:rPr>
              <w:t>data/processed/</w:t>
            </w:r>
          </w:p>
        </w:tc>
      </w:tr>
      <w:tr>
        <w:tc>
          <w:tcPr>
            <w:tcW w:type="dxa" w:w="3402"/>
          </w:tcPr>
          <w:p>
            <w:r>
              <w:rPr>
                <w:sz w:val="18"/>
              </w:rPr>
              <w:t>xgboost_model/model.ubj</w:t>
            </w:r>
          </w:p>
        </w:tc>
        <w:tc>
          <w:tcPr>
            <w:tcW w:type="dxa" w:w="3969"/>
          </w:tcPr>
          <w:p>
            <w:r>
              <w:rPr>
                <w:sz w:val="18"/>
              </w:rPr>
              <w:t>Trained XGBoost median predictor (native binary)</w:t>
            </w:r>
          </w:p>
        </w:tc>
        <w:tc>
          <w:tcPr>
            <w:tcW w:type="dxa" w:w="2268"/>
          </w:tcPr>
          <w:p>
            <w:r>
              <w:rPr>
                <w:sz w:val="18"/>
              </w:rPr>
              <w:t>trained_models/</w:t>
            </w:r>
          </w:p>
        </w:tc>
      </w:tr>
      <w:tr>
        <w:tc>
          <w:tcPr>
            <w:tcW w:type="dxa" w:w="3402"/>
          </w:tcPr>
          <w:p>
            <w:r>
              <w:rPr>
                <w:sz w:val="18"/>
              </w:rPr>
              <w:t>xgboost_model/model_lower.ubj</w:t>
            </w:r>
          </w:p>
        </w:tc>
        <w:tc>
          <w:tcPr>
            <w:tcW w:type="dxa" w:w="3969"/>
          </w:tcPr>
          <w:p>
            <w:r>
              <w:rPr>
                <w:sz w:val="18"/>
              </w:rPr>
              <w:t>XGBoost 5th-percentile model</w:t>
            </w:r>
          </w:p>
        </w:tc>
        <w:tc>
          <w:tcPr>
            <w:tcW w:type="dxa" w:w="2268"/>
          </w:tcPr>
          <w:p>
            <w:r>
              <w:rPr>
                <w:sz w:val="18"/>
              </w:rPr>
              <w:t>trained_models/</w:t>
            </w:r>
          </w:p>
        </w:tc>
      </w:tr>
      <w:tr>
        <w:tc>
          <w:tcPr>
            <w:tcW w:type="dxa" w:w="3402"/>
          </w:tcPr>
          <w:p>
            <w:r>
              <w:rPr>
                <w:sz w:val="18"/>
              </w:rPr>
              <w:t>xgboost_model/model_upper.ubj</w:t>
            </w:r>
          </w:p>
        </w:tc>
        <w:tc>
          <w:tcPr>
            <w:tcW w:type="dxa" w:w="3969"/>
          </w:tcPr>
          <w:p>
            <w:r>
              <w:rPr>
                <w:sz w:val="18"/>
              </w:rPr>
              <w:t>XGBoost 95th-percentile model</w:t>
            </w:r>
          </w:p>
        </w:tc>
        <w:tc>
          <w:tcPr>
            <w:tcW w:type="dxa" w:w="2268"/>
          </w:tcPr>
          <w:p>
            <w:r>
              <w:rPr>
                <w:sz w:val="18"/>
              </w:rPr>
              <w:t>trained_models/</w:t>
            </w:r>
          </w:p>
        </w:tc>
      </w:tr>
      <w:tr>
        <w:tc>
          <w:tcPr>
            <w:tcW w:type="dxa" w:w="3402"/>
          </w:tcPr>
          <w:p>
            <w:r>
              <w:rPr>
                <w:sz w:val="18"/>
              </w:rPr>
              <w:t>model_metrics.json</w:t>
            </w:r>
          </w:p>
        </w:tc>
        <w:tc>
          <w:tcPr>
            <w:tcW w:type="dxa" w:w="3969"/>
          </w:tcPr>
          <w:p>
            <w:r>
              <w:rPr>
                <w:sz w:val="18"/>
              </w:rPr>
              <w:t>RMSE, MAE, per-battery errors, CV results, drift report, split metadata</w:t>
            </w:r>
          </w:p>
        </w:tc>
        <w:tc>
          <w:tcPr>
            <w:tcW w:type="dxa" w:w="2268"/>
          </w:tcPr>
          <w:p>
            <w:r>
              <w:rPr>
                <w:sz w:val="18"/>
              </w:rPr>
              <w:t>trained_models/</w:t>
            </w:r>
          </w:p>
        </w:tc>
      </w:tr>
      <w:tr>
        <w:tc>
          <w:tcPr>
            <w:tcW w:type="dxa" w:w="3402"/>
          </w:tcPr>
          <w:p>
            <w:r>
              <w:rPr>
                <w:sz w:val="18"/>
              </w:rPr>
              <w:t>conformal_calibrator.json</w:t>
            </w:r>
          </w:p>
        </w:tc>
        <w:tc>
          <w:tcPr>
            <w:tcW w:type="dxa" w:w="3969"/>
          </w:tcPr>
          <w:p>
            <w:r>
              <w:rPr>
                <w:sz w:val="18"/>
              </w:rPr>
              <w:t>q̂ values per temperature group (room, hot, cold)</w:t>
            </w:r>
          </w:p>
        </w:tc>
        <w:tc>
          <w:tcPr>
            <w:tcW w:type="dxa" w:w="2268"/>
          </w:tcPr>
          <w:p>
            <w:r>
              <w:rPr>
                <w:sz w:val="18"/>
              </w:rPr>
              <w:t>trained_models/</w:t>
            </w:r>
          </w:p>
        </w:tc>
      </w:tr>
      <w:tr>
        <w:tc>
          <w:tcPr>
            <w:tcW w:type="dxa" w:w="3402"/>
          </w:tcPr>
          <w:p>
            <w:r>
              <w:rPr>
                <w:sz w:val="18"/>
              </w:rPr>
              <w:t>conformal_ablation.json</w:t>
            </w:r>
          </w:p>
        </w:tc>
        <w:tc>
          <w:tcPr>
            <w:tcW w:type="dxa" w:w="3969"/>
          </w:tcPr>
          <w:p>
            <w:r>
              <w:rPr>
                <w:sz w:val="18"/>
              </w:rPr>
              <w:t>Coverage comparison: global vs stratified vs LOBO</w:t>
            </w:r>
          </w:p>
        </w:tc>
        <w:tc>
          <w:tcPr>
            <w:tcW w:type="dxa" w:w="2268"/>
          </w:tcPr>
          <w:p>
            <w:r>
              <w:rPr>
                <w:sz w:val="18"/>
              </w:rPr>
              <w:t>trained_models/</w:t>
            </w:r>
          </w:p>
        </w:tc>
      </w:tr>
      <w:tr>
        <w:tc>
          <w:tcPr>
            <w:tcW w:type="dxa" w:w="3402"/>
          </w:tcPr>
          <w:p>
            <w:r>
              <w:rPr>
                <w:sz w:val="18"/>
              </w:rPr>
              <w:t>uncertainty_estimates.json</w:t>
            </w:r>
          </w:p>
        </w:tc>
        <w:tc>
          <w:tcPr>
            <w:tcW w:type="dxa" w:w="3969"/>
          </w:tcPr>
          <w:p>
            <w:r>
              <w:rPr>
                <w:sz w:val="18"/>
              </w:rPr>
              <w:t>Per-row RUL prediction + lower/upper bounds + risk category</w:t>
            </w:r>
          </w:p>
        </w:tc>
        <w:tc>
          <w:tcPr>
            <w:tcW w:type="dxa" w:w="2268"/>
          </w:tcPr>
          <w:p>
            <w:r>
              <w:rPr>
                <w:sz w:val="18"/>
              </w:rPr>
              <w:t>data/processed/modeling/</w:t>
            </w:r>
          </w:p>
        </w:tc>
      </w:tr>
      <w:tr>
        <w:tc>
          <w:tcPr>
            <w:tcW w:type="dxa" w:w="3402"/>
          </w:tcPr>
          <w:p>
            <w:r>
              <w:rPr>
                <w:sz w:val="18"/>
              </w:rPr>
              <w:t>uncertainty_metrics.json</w:t>
            </w:r>
          </w:p>
        </w:tc>
        <w:tc>
          <w:tcPr>
            <w:tcW w:type="dxa" w:w="3969"/>
          </w:tcPr>
          <w:p>
            <w:r>
              <w:rPr>
                <w:sz w:val="18"/>
              </w:rPr>
              <w:t>Coverage, risk distribution summary</w:t>
            </w:r>
          </w:p>
        </w:tc>
        <w:tc>
          <w:tcPr>
            <w:tcW w:type="dxa" w:w="2268"/>
          </w:tcPr>
          <w:p>
            <w:r>
              <w:rPr>
                <w:sz w:val="18"/>
              </w:rPr>
              <w:t>data/processed/modeling/</w:t>
            </w:r>
          </w:p>
        </w:tc>
      </w:tr>
      <w:tr>
        <w:tc>
          <w:tcPr>
            <w:tcW w:type="dxa" w:w="3402"/>
          </w:tcPr>
          <w:p>
            <w:r>
              <w:rPr>
                <w:sz w:val="18"/>
              </w:rPr>
              <w:t>conformal_coverage_report.json</w:t>
            </w:r>
          </w:p>
        </w:tc>
        <w:tc>
          <w:tcPr>
            <w:tcW w:type="dxa" w:w="3969"/>
          </w:tcPr>
          <w:p>
            <w:r>
              <w:rPr>
                <w:sz w:val="18"/>
              </w:rPr>
              <w:t>Detailed coverage by temperature group</w:t>
            </w:r>
          </w:p>
        </w:tc>
        <w:tc>
          <w:tcPr>
            <w:tcW w:type="dxa" w:w="2268"/>
          </w:tcPr>
          <w:p>
            <w:r>
              <w:rPr>
                <w:sz w:val="18"/>
              </w:rPr>
              <w:t>data/processed/modeling/</w:t>
            </w:r>
          </w:p>
        </w:tc>
      </w:tr>
      <w:tr>
        <w:tc>
          <w:tcPr>
            <w:tcW w:type="dxa" w:w="3402"/>
          </w:tcPr>
          <w:p>
            <w:r>
              <w:rPr>
                <w:sz w:val="18"/>
              </w:rPr>
              <w:t>survival_risk_predictions.csv</w:t>
            </w:r>
          </w:p>
        </w:tc>
        <w:tc>
          <w:tcPr>
            <w:tcW w:type="dxa" w:w="3969"/>
          </w:tcPr>
          <w:p>
            <w:r>
              <w:rPr>
                <w:sz w:val="18"/>
              </w:rPr>
              <w:t>Per-cycle hazard_prob, failure_prob_horizon, risk_category</w:t>
            </w:r>
          </w:p>
        </w:tc>
        <w:tc>
          <w:tcPr>
            <w:tcW w:type="dxa" w:w="2268"/>
          </w:tcPr>
          <w:p>
            <w:r>
              <w:rPr>
                <w:sz w:val="18"/>
              </w:rPr>
              <w:t>data/processed/modeling/</w:t>
            </w:r>
          </w:p>
        </w:tc>
      </w:tr>
      <w:tr>
        <w:tc>
          <w:tcPr>
            <w:tcW w:type="dxa" w:w="3402"/>
          </w:tcPr>
          <w:p>
            <w:r>
              <w:rPr>
                <w:sz w:val="18"/>
              </w:rPr>
              <w:t>survival_risk_model.json</w:t>
            </w:r>
          </w:p>
        </w:tc>
        <w:tc>
          <w:tcPr>
            <w:tcW w:type="dxa" w:w="3969"/>
          </w:tcPr>
          <w:p>
            <w:r>
              <w:rPr>
                <w:sz w:val="18"/>
              </w:rPr>
              <w:t>KM curves per temperature group</w:t>
            </w:r>
          </w:p>
        </w:tc>
        <w:tc>
          <w:tcPr>
            <w:tcW w:type="dxa" w:w="2268"/>
          </w:tcPr>
          <w:p>
            <w:r>
              <w:rPr>
                <w:sz w:val="18"/>
              </w:rPr>
              <w:t>data/processed/modeling/</w:t>
            </w:r>
          </w:p>
        </w:tc>
      </w:tr>
      <w:tr>
        <w:tc>
          <w:tcPr>
            <w:tcW w:type="dxa" w:w="3402"/>
          </w:tcPr>
          <w:p>
            <w:r>
              <w:rPr>
                <w:sz w:val="18"/>
              </w:rPr>
              <w:t>survival_risk_report.md</w:t>
            </w:r>
          </w:p>
        </w:tc>
        <w:tc>
          <w:tcPr>
            <w:tcW w:type="dxa" w:w="3969"/>
          </w:tcPr>
          <w:p>
            <w:r>
              <w:rPr>
                <w:sz w:val="18"/>
              </w:rPr>
              <w:t>Human-readable survival analysis summary</w:t>
            </w:r>
          </w:p>
        </w:tc>
        <w:tc>
          <w:tcPr>
            <w:tcW w:type="dxa" w:w="2268"/>
          </w:tcPr>
          <w:p>
            <w:r>
              <w:rPr>
                <w:sz w:val="18"/>
              </w:rPr>
              <w:t>data/processed/modeling/</w:t>
            </w:r>
          </w:p>
        </w:tc>
      </w:tr>
      <w:tr>
        <w:tc>
          <w:tcPr>
            <w:tcW w:type="dxa" w:w="3402"/>
          </w:tcPr>
          <w:p>
            <w:r>
              <w:rPr>
                <w:sz w:val="18"/>
              </w:rPr>
              <w:t>anomalies.json</w:t>
            </w:r>
          </w:p>
        </w:tc>
        <w:tc>
          <w:tcPr>
            <w:tcW w:type="dxa" w:w="3969"/>
          </w:tcPr>
          <w:p>
            <w:r>
              <w:rPr>
                <w:sz w:val="18"/>
              </w:rPr>
              <w:t>Flagged anomalous cycles with anomaly scores</w:t>
            </w:r>
          </w:p>
        </w:tc>
        <w:tc>
          <w:tcPr>
            <w:tcW w:type="dxa" w:w="2268"/>
          </w:tcPr>
          <w:p>
            <w:r>
              <w:rPr>
                <w:sz w:val="18"/>
              </w:rPr>
              <w:t>data/processed/modeling/</w:t>
            </w:r>
          </w:p>
        </w:tc>
      </w:tr>
      <w:tr>
        <w:tc>
          <w:tcPr>
            <w:tcW w:type="dxa" w:w="3402"/>
          </w:tcPr>
          <w:p>
            <w:r>
              <w:rPr>
                <w:sz w:val="18"/>
              </w:rPr>
              <w:t>degradation_hypotheses.json</w:t>
            </w:r>
          </w:p>
        </w:tc>
        <w:tc>
          <w:tcPr>
            <w:tcW w:type="dxa" w:w="3969"/>
          </w:tcPr>
          <w:p>
            <w:r>
              <w:rPr>
                <w:sz w:val="18"/>
              </w:rPr>
              <w:t>9 model-grounded degradation hypotheses</w:t>
            </w:r>
          </w:p>
        </w:tc>
        <w:tc>
          <w:tcPr>
            <w:tcW w:type="dxa" w:w="2268"/>
          </w:tcPr>
          <w:p>
            <w:r>
              <w:rPr>
                <w:sz w:val="18"/>
              </w:rPr>
              <w:t>data/processed/modeling/</w:t>
            </w:r>
          </w:p>
        </w:tc>
      </w:tr>
      <w:tr>
        <w:tc>
          <w:tcPr>
            <w:tcW w:type="dxa" w:w="3402"/>
          </w:tcPr>
          <w:p>
            <w:r>
              <w:rPr>
                <w:sz w:val="18"/>
              </w:rPr>
              <w:t>counterfactual_examples.json</w:t>
            </w:r>
          </w:p>
        </w:tc>
        <w:tc>
          <w:tcPr>
            <w:tcW w:type="dxa" w:w="3969"/>
          </w:tcPr>
          <w:p>
            <w:r>
              <w:rPr>
                <w:sz w:val="18"/>
              </w:rPr>
              <w:t>12 what-if examples</w:t>
            </w:r>
          </w:p>
        </w:tc>
        <w:tc>
          <w:tcPr>
            <w:tcW w:type="dxa" w:w="2268"/>
          </w:tcPr>
          <w:p>
            <w:r>
              <w:rPr>
                <w:sz w:val="18"/>
              </w:rPr>
              <w:t>data/processed/modeling/</w:t>
            </w:r>
          </w:p>
        </w:tc>
      </w:tr>
      <w:tr>
        <w:tc>
          <w:tcPr>
            <w:tcW w:type="dxa" w:w="3402"/>
          </w:tcPr>
          <w:p>
            <w:r>
              <w:rPr>
                <w:sz w:val="18"/>
              </w:rPr>
              <w:t>feature_importance.json</w:t>
            </w:r>
          </w:p>
        </w:tc>
        <w:tc>
          <w:tcPr>
            <w:tcW w:type="dxa" w:w="3969"/>
          </w:tcPr>
          <w:p>
            <w:r>
              <w:rPr>
                <w:sz w:val="18"/>
              </w:rPr>
              <w:t>Feature importance scores from XGBoost</w:t>
            </w:r>
          </w:p>
        </w:tc>
        <w:tc>
          <w:tcPr>
            <w:tcW w:type="dxa" w:w="2268"/>
          </w:tcPr>
          <w:p>
            <w:r>
              <w:rPr>
                <w:sz w:val="18"/>
              </w:rPr>
              <w:t>data/processed/modeling/</w:t>
            </w:r>
          </w:p>
        </w:tc>
      </w:tr>
      <w:tr>
        <w:tc>
          <w:tcPr>
            <w:tcW w:type="dxa" w:w="3402"/>
          </w:tcPr>
          <w:p>
            <w:r>
              <w:rPr>
                <w:sz w:val="18"/>
              </w:rPr>
              <w:t>groupkfold_cv_report.json</w:t>
            </w:r>
          </w:p>
        </w:tc>
        <w:tc>
          <w:tcPr>
            <w:tcW w:type="dxa" w:w="3969"/>
          </w:tcPr>
          <w:p>
            <w:r>
              <w:rPr>
                <w:sz w:val="18"/>
              </w:rPr>
              <w:t>5-fold cross-validation RMSE per fold</w:t>
            </w:r>
          </w:p>
        </w:tc>
        <w:tc>
          <w:tcPr>
            <w:tcW w:type="dxa" w:w="2268"/>
          </w:tcPr>
          <w:p>
            <w:r>
              <w:rPr>
                <w:sz w:val="18"/>
              </w:rPr>
              <w:t>data/processed/modeling/</w:t>
            </w:r>
          </w:p>
        </w:tc>
      </w:tr>
      <w:tr>
        <w:tc>
          <w:tcPr>
            <w:tcW w:type="dxa" w:w="3402"/>
          </w:tcPr>
          <w:p>
            <w:r>
              <w:rPr>
                <w:sz w:val="18"/>
              </w:rPr>
              <w:t>drift_report.json</w:t>
            </w:r>
          </w:p>
        </w:tc>
        <w:tc>
          <w:tcPr>
            <w:tcW w:type="dxa" w:w="3969"/>
          </w:tcPr>
          <w:p>
            <w:r>
              <w:rPr>
                <w:sz w:val="18"/>
              </w:rPr>
              <w:t>PSI per feature (train → test drift)</w:t>
            </w:r>
          </w:p>
        </w:tc>
        <w:tc>
          <w:tcPr>
            <w:tcW w:type="dxa" w:w="2268"/>
          </w:tcPr>
          <w:p>
            <w:r>
              <w:rPr>
                <w:sz w:val="18"/>
              </w:rPr>
              <w:t>data/processed/modeling/</w:t>
            </w:r>
          </w:p>
        </w:tc>
      </w:tr>
      <w:tr>
        <w:tc>
          <w:tcPr>
            <w:tcW w:type="dxa" w:w="3402"/>
          </w:tcPr>
          <w:p>
            <w:r>
              <w:rPr>
                <w:sz w:val="18"/>
              </w:rPr>
              <w:t>final_system_report.md</w:t>
            </w:r>
          </w:p>
        </w:tc>
        <w:tc>
          <w:tcPr>
            <w:tcW w:type="dxa" w:w="3969"/>
          </w:tcPr>
          <w:p>
            <w:r>
              <w:rPr>
                <w:sz w:val="18"/>
              </w:rPr>
              <w:t>Stage-by-stage supervisor verdict (CONDITIONAL PASS)</w:t>
            </w:r>
          </w:p>
        </w:tc>
        <w:tc>
          <w:tcPr>
            <w:tcW w:type="dxa" w:w="2268"/>
          </w:tcPr>
          <w:p>
            <w:r>
              <w:rPr>
                <w:sz w:val="18"/>
              </w:rPr>
              <w:t>data/processed/modeling/</w:t>
            </w:r>
          </w:p>
        </w:tc>
      </w:tr>
      <w:tr>
        <w:tc>
          <w:tcPr>
            <w:tcW w:type="dxa" w:w="3402"/>
          </w:tcPr>
          <w:p>
            <w:r>
              <w:rPr>
                <w:sz w:val="18"/>
              </w:rPr>
              <w:t>manifest.json</w:t>
            </w:r>
          </w:p>
        </w:tc>
        <w:tc>
          <w:tcPr>
            <w:tcW w:type="dxa" w:w="3969"/>
          </w:tcPr>
          <w:p>
            <w:r>
              <w:rPr>
                <w:sz w:val="18"/>
              </w:rPr>
              <w:t>Run timestamp, git hash, metrics snapshot</w:t>
            </w:r>
          </w:p>
        </w:tc>
        <w:tc>
          <w:tcPr>
            <w:tcW w:type="dxa" w:w="2268"/>
          </w:tcPr>
          <w:p>
            <w:r>
              <w:rPr>
                <w:sz w:val="18"/>
              </w:rPr>
              <w:t>data/processed/modeling/</w:t>
            </w:r>
          </w:p>
        </w:tc>
      </w:tr>
    </w:tbl>
    <w:p/>
    <w:p>
      <w:r>
        <w:br w:type="page"/>
      </w:r>
    </w:p>
    <w:p>
      <w:pPr>
        <w:pStyle w:val="Heading1"/>
        <w:jc w:val="left"/>
      </w:pPr>
      <w:r>
        <w:rPr>
          <w:color w:val="1F3A5F"/>
        </w:rPr>
        <w:t>13. Summary: Did We Achieve the Targets?</w:t>
      </w:r>
    </w:p>
    <w:tbl>
      <w:tblPr>
        <w:tblStyle w:val="TableGrid"/>
        <w:tblW w:type="auto" w:w="0"/>
        <w:tblLook w:firstColumn="1" w:firstRow="1" w:lastColumn="0" w:lastRow="0" w:noHBand="0" w:noVBand="1" w:val="04A0"/>
      </w:tblPr>
      <w:tblGrid>
        <w:gridCol w:w="2351"/>
        <w:gridCol w:w="2351"/>
        <w:gridCol w:w="2351"/>
        <w:gridCol w:w="2351"/>
      </w:tblGrid>
      <w:tr>
        <w:tc>
          <w:tcPr>
            <w:tcW w:type="dxa" w:w="3118"/>
            <w:shd w:val="clear" w:color="auto" w:fill="1F3A5F"/>
          </w:tcPr>
          <w:p>
            <w:r>
              <w:rPr>
                <w:b/>
                <w:color w:val="FFFFFF"/>
                <w:sz w:val="18"/>
              </w:rPr>
              <w:t>Target</w:t>
            </w:r>
          </w:p>
        </w:tc>
        <w:tc>
          <w:tcPr>
            <w:tcW w:type="dxa" w:w="2551"/>
            <w:shd w:val="clear" w:color="auto" w:fill="1F3A5F"/>
          </w:tcPr>
          <w:p>
            <w:r>
              <w:rPr>
                <w:b/>
                <w:color w:val="FFFFFF"/>
                <w:sz w:val="18"/>
              </w:rPr>
              <w:t>Expected</w:t>
            </w:r>
          </w:p>
        </w:tc>
        <w:tc>
          <w:tcPr>
            <w:tcW w:type="dxa" w:w="3118"/>
            <w:shd w:val="clear" w:color="auto" w:fill="1F3A5F"/>
          </w:tcPr>
          <w:p>
            <w:r>
              <w:rPr>
                <w:b/>
                <w:color w:val="FFFFFF"/>
                <w:sz w:val="18"/>
              </w:rPr>
              <w:t>Achieved</w:t>
            </w:r>
          </w:p>
        </w:tc>
        <w:tc>
          <w:tcPr>
            <w:tcW w:type="dxa" w:w="1417"/>
            <w:shd w:val="clear" w:color="auto" w:fill="1F3A5F"/>
          </w:tcPr>
          <w:p>
            <w:r>
              <w:rPr>
                <w:b/>
                <w:color w:val="FFFFFF"/>
                <w:sz w:val="18"/>
              </w:rPr>
              <w:t>Status</w:t>
            </w:r>
          </w:p>
        </w:tc>
      </w:tr>
      <w:tr>
        <w:tc>
          <w:tcPr>
            <w:tcW w:type="dxa" w:w="3118"/>
          </w:tcPr>
          <w:p>
            <w:r>
              <w:rPr>
                <w:sz w:val="18"/>
              </w:rPr>
              <w:t>RUL prediction error</w:t>
            </w:r>
          </w:p>
        </w:tc>
        <w:tc>
          <w:tcPr>
            <w:tcW w:type="dxa" w:w="2551"/>
          </w:tcPr>
          <w:p>
            <w:r>
              <w:rPr>
                <w:sz w:val="18"/>
              </w:rPr>
              <w:t>RMSE &lt; 100 cycles</w:t>
            </w:r>
          </w:p>
        </w:tc>
        <w:tc>
          <w:tcPr>
            <w:tcW w:type="dxa" w:w="3118"/>
          </w:tcPr>
          <w:p>
            <w:r>
              <w:rPr>
                <w:sz w:val="18"/>
              </w:rPr>
              <w:t>RMSE = 22.08 cycles</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Conformal coverage (overall)</w:t>
            </w:r>
          </w:p>
        </w:tc>
        <w:tc>
          <w:tcPr>
            <w:tcW w:type="dxa" w:w="2551"/>
          </w:tcPr>
          <w:p>
            <w:r>
              <w:rPr>
                <w:sz w:val="18"/>
              </w:rPr>
              <w:t>≥ 90%</w:t>
            </w:r>
          </w:p>
        </w:tc>
        <w:tc>
          <w:tcPr>
            <w:tcW w:type="dxa" w:w="3118"/>
          </w:tcPr>
          <w:p>
            <w:r>
              <w:rPr>
                <w:sz w:val="18"/>
              </w:rPr>
              <w:t>98.3% overall</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Conformal coverage (cold batteries)</w:t>
            </w:r>
          </w:p>
        </w:tc>
        <w:tc>
          <w:tcPr>
            <w:tcW w:type="dxa" w:w="2551"/>
          </w:tcPr>
          <w:p>
            <w:r>
              <w:rPr>
                <w:sz w:val="18"/>
              </w:rPr>
              <w:t>≥ 90%</w:t>
            </w:r>
          </w:p>
        </w:tc>
        <w:tc>
          <w:tcPr>
            <w:tcW w:type="dxa" w:w="3118"/>
          </w:tcPr>
          <w:p>
            <w:r>
              <w:rPr>
                <w:sz w:val="18"/>
              </w:rPr>
              <w:t>88.7% (LOBO method)</w:t>
            </w:r>
          </w:p>
        </w:tc>
        <w:tc>
          <w:tcPr>
            <w:tcW w:type="dxa" w:w="1417"/>
            <w:shd w:val="clear" w:color="auto" w:fill="FDEBD0"/>
            <w:shd w:val="clear" w:color="auto" w:fill="FDEBD0"/>
            <w:shd w:val="clear" w:color="auto" w:fill="FDEBD0"/>
            <w:shd w:val="clear" w:color="auto" w:fill="FDEBD0"/>
          </w:tcPr>
          <w:p>
            <w:r>
              <w:rPr>
                <w:sz w:val="18"/>
              </w:rPr>
              <w:t>⚠ CLOSE (−1.3%)</w:t>
            </w:r>
          </w:p>
        </w:tc>
      </w:tr>
      <w:tr>
        <w:tc>
          <w:tcPr>
            <w:tcW w:type="dxa" w:w="3118"/>
          </w:tcPr>
          <w:p>
            <w:r>
              <w:rPr>
                <w:sz w:val="18"/>
              </w:rPr>
              <w:t>Survival risk predictions</w:t>
            </w:r>
          </w:p>
        </w:tc>
        <w:tc>
          <w:tcPr>
            <w:tcW w:type="dxa" w:w="2551"/>
          </w:tcPr>
          <w:p>
            <w:r>
              <w:rPr>
                <w:sz w:val="18"/>
              </w:rPr>
              <w:t>All test batteries</w:t>
            </w:r>
          </w:p>
        </w:tc>
        <w:tc>
          <w:tcPr>
            <w:tcW w:type="dxa" w:w="3118"/>
          </w:tcPr>
          <w:p>
            <w:r>
              <w:rPr>
                <w:sz w:val="18"/>
              </w:rPr>
              <w:t>638 rows, 6 batteries</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Risk categories assigned</w:t>
            </w:r>
          </w:p>
        </w:tc>
        <w:tc>
          <w:tcPr>
            <w:tcW w:type="dxa" w:w="2551"/>
          </w:tcPr>
          <w:p>
            <w:r>
              <w:rPr>
                <w:sz w:val="18"/>
              </w:rPr>
              <w:t>LOW / MEDIUM / HIGH</w:t>
            </w:r>
          </w:p>
        </w:tc>
        <w:tc>
          <w:tcPr>
            <w:tcW w:type="dxa" w:w="3118"/>
          </w:tcPr>
          <w:p>
            <w:r>
              <w:rPr>
                <w:sz w:val="18"/>
              </w:rPr>
              <w:t>All 3 categories present</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Anomaly detection</w:t>
            </w:r>
          </w:p>
        </w:tc>
        <w:tc>
          <w:tcPr>
            <w:tcW w:type="dxa" w:w="2551"/>
          </w:tcPr>
          <w:p>
            <w:r>
              <w:rPr>
                <w:sz w:val="18"/>
              </w:rPr>
              <w:t>Detector runs</w:t>
            </w:r>
          </w:p>
        </w:tc>
        <w:tc>
          <w:tcPr>
            <w:tcW w:type="dxa" w:w="3118"/>
          </w:tcPr>
          <w:p>
            <w:r>
              <w:rPr>
                <w:sz w:val="18"/>
              </w:rPr>
              <w:t>32 anomalies flagged</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Reasoning outputs</w:t>
            </w:r>
          </w:p>
        </w:tc>
        <w:tc>
          <w:tcPr>
            <w:tcW w:type="dxa" w:w="2551"/>
          </w:tcPr>
          <w:p>
            <w:r>
              <w:rPr>
                <w:sz w:val="18"/>
              </w:rPr>
              <w:t>&gt; 0 hypotheses, counterfactuals</w:t>
            </w:r>
          </w:p>
        </w:tc>
        <w:tc>
          <w:tcPr>
            <w:tcW w:type="dxa" w:w="3118"/>
          </w:tcPr>
          <w:p>
            <w:r>
              <w:rPr>
                <w:sz w:val="18"/>
              </w:rPr>
              <w:t>9 hypotheses, 12 counterfactuals</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Anti-hallucination</w:t>
            </w:r>
          </w:p>
        </w:tc>
        <w:tc>
          <w:tcPr>
            <w:tcW w:type="dxa" w:w="2551"/>
          </w:tcPr>
          <w:p>
            <w:r>
              <w:rPr>
                <w:sz w:val="18"/>
              </w:rPr>
              <w:t>Evidence-grounded only</w:t>
            </w:r>
          </w:p>
        </w:tc>
        <w:tc>
          <w:tcPr>
            <w:tcW w:type="dxa" w:w="3118"/>
          </w:tcPr>
          <w:p>
            <w:r>
              <w:rPr>
                <w:sz w:val="18"/>
              </w:rPr>
              <w:t>All outputs source-traced</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Cross-validation (generalization)</w:t>
            </w:r>
          </w:p>
        </w:tc>
        <w:tc>
          <w:tcPr>
            <w:tcW w:type="dxa" w:w="2551"/>
          </w:tcPr>
          <w:p>
            <w:r>
              <w:rPr>
                <w:sz w:val="18"/>
              </w:rPr>
              <w:t>CV RMSE close to test RMSE</w:t>
            </w:r>
          </w:p>
        </w:tc>
        <w:tc>
          <w:tcPr>
            <w:tcW w:type="dxa" w:w="3118"/>
          </w:tcPr>
          <w:p>
            <w:r>
              <w:rPr>
                <w:sz w:val="18"/>
              </w:rPr>
              <w:t>CV = 48.17 vs test = 22.08 (2.2×)</w:t>
            </w:r>
          </w:p>
        </w:tc>
        <w:tc>
          <w:tcPr>
            <w:tcW w:type="dxa" w:w="1417"/>
            <w:shd w:val="clear" w:color="auto" w:fill="FDEBD0"/>
            <w:shd w:val="clear" w:color="auto" w:fill="FDEBD0"/>
            <w:shd w:val="clear" w:color="auto" w:fill="FDEBD0"/>
            <w:shd w:val="clear" w:color="auto" w:fill="FDEBD0"/>
          </w:tcPr>
          <w:p>
            <w:r>
              <w:rPr>
                <w:sz w:val="18"/>
              </w:rPr>
              <w:t>⚠ GAP — more data needed</w:t>
            </w:r>
          </w:p>
        </w:tc>
      </w:tr>
      <w:tr>
        <w:tc>
          <w:tcPr>
            <w:tcW w:type="dxa" w:w="3118"/>
          </w:tcPr>
          <w:p>
            <w:r>
              <w:rPr>
                <w:sz w:val="18"/>
              </w:rPr>
              <w:t>Feature drift</w:t>
            </w:r>
          </w:p>
        </w:tc>
        <w:tc>
          <w:tcPr>
            <w:tcW w:type="dxa" w:w="2551"/>
          </w:tcPr>
          <w:p>
            <w:r>
              <w:rPr>
                <w:sz w:val="18"/>
              </w:rPr>
              <w:t>Monitored and explained</w:t>
            </w:r>
          </w:p>
        </w:tc>
        <w:tc>
          <w:tcPr>
            <w:tcW w:type="dxa" w:w="3118"/>
          </w:tcPr>
          <w:p>
            <w:r>
              <w:rPr>
                <w:sz w:val="18"/>
              </w:rPr>
              <w:t>5 RED features (expected for cold group)</w:t>
            </w:r>
          </w:p>
        </w:tc>
        <w:tc>
          <w:tcPr>
            <w:tcW w:type="dxa" w:w="1417"/>
            <w:shd w:val="clear" w:color="auto" w:fill="D5F5E3"/>
            <w:shd w:val="clear" w:color="auto" w:fill="D5F5E3"/>
            <w:shd w:val="clear" w:color="auto" w:fill="D5F5E3"/>
            <w:shd w:val="clear" w:color="auto" w:fill="D5F5E3"/>
          </w:tcPr>
          <w:p>
            <w:r>
              <w:rPr>
                <w:sz w:val="18"/>
              </w:rPr>
              <w:t>✓ YES (explained)</w:t>
            </w:r>
          </w:p>
        </w:tc>
      </w:tr>
      <w:tr>
        <w:tc>
          <w:tcPr>
            <w:tcW w:type="dxa" w:w="3118"/>
          </w:tcPr>
          <w:p>
            <w:r>
              <w:rPr>
                <w:sz w:val="18"/>
              </w:rPr>
              <w:t>Overall system verdict</w:t>
            </w:r>
          </w:p>
        </w:tc>
        <w:tc>
          <w:tcPr>
            <w:tcW w:type="dxa" w:w="2551"/>
          </w:tcPr>
          <w:p>
            <w:r>
              <w:rPr>
                <w:sz w:val="18"/>
              </w:rPr>
              <w:t>PASS or CONDITIONAL PASS</w:t>
            </w:r>
          </w:p>
        </w:tc>
        <w:tc>
          <w:tcPr>
            <w:tcW w:type="dxa" w:w="3118"/>
          </w:tcPr>
          <w:p>
            <w:r>
              <w:rPr>
                <w:sz w:val="18"/>
              </w:rPr>
              <w:t>CONDITIONAL PASS</w:t>
            </w:r>
          </w:p>
        </w:tc>
        <w:tc>
          <w:tcPr>
            <w:tcW w:type="dxa" w:w="1417"/>
            <w:shd w:val="clear" w:color="auto" w:fill="D5F5E3"/>
            <w:shd w:val="clear" w:color="auto" w:fill="D5F5E3"/>
            <w:shd w:val="clear" w:color="auto" w:fill="D5F5E3"/>
            <w:shd w:val="clear" w:color="auto" w:fill="D5F5E3"/>
          </w:tcPr>
          <w:p>
            <w:r>
              <w:rPr>
                <w:sz w:val="18"/>
              </w:rPr>
              <w:t>✓ CONDITIONAL PASS</w:t>
            </w:r>
          </w:p>
        </w:tc>
      </w:tr>
    </w:tbl>
    <w:p/>
    <w:p>
      <w:pPr>
        <w:spacing w:after="120"/>
      </w:pPr>
      <w:r>
        <w:rPr>
          <w:b/>
          <w:i w:val="0"/>
          <w:color w:val="4A4A4A"/>
          <w:sz w:val="22"/>
        </w:rPr>
        <w:t>In short: the project delivers everything it set out to deliver. The only gap is the CV/test RMSE ratio (2.2×) and the cold battery conformal coverage being 1.3 percentage points below target — both are data-volume limitations that would improve with more cold-battery training examples.</w:t>
      </w:r>
    </w:p>
    <w:p>
      <w:pPr>
        <w:pStyle w:val="Heading1"/>
        <w:jc w:val="left"/>
      </w:pPr>
      <w:r>
        <w:rPr>
          <w:color w:val="1F3A5F"/>
        </w:rPr>
        <w:t>14. Key Equations Reference</w:t>
      </w:r>
    </w:p>
    <w:tbl>
      <w:tblPr>
        <w:tblStyle w:val="TableGrid"/>
        <w:tblW w:type="auto" w:w="0"/>
        <w:tblLook w:firstColumn="1" w:firstRow="1" w:lastColumn="0" w:lastRow="0" w:noHBand="0" w:noVBand="1" w:val="04A0"/>
      </w:tblPr>
      <w:tblGrid>
        <w:gridCol w:w="4703"/>
        <w:gridCol w:w="4703"/>
      </w:tblGrid>
      <w:tr>
        <w:tc>
          <w:tcPr>
            <w:tcW w:type="dxa" w:w="3402"/>
            <w:shd w:val="clear" w:color="auto" w:fill="1F3A5F"/>
          </w:tcPr>
          <w:p>
            <w:r>
              <w:rPr>
                <w:b/>
                <w:color w:val="FFFFFF"/>
              </w:rPr>
              <w:t>Quantity</w:t>
            </w:r>
          </w:p>
        </w:tc>
        <w:tc>
          <w:tcPr>
            <w:tcW w:type="dxa" w:w="5669"/>
            <w:shd w:val="clear" w:color="auto" w:fill="1F3A5F"/>
          </w:tcPr>
          <w:p>
            <w:r>
              <w:rPr>
                <w:b/>
                <w:color w:val="FFFFFF"/>
              </w:rPr>
              <w:t>Formula</w:t>
            </w:r>
          </w:p>
        </w:tc>
      </w:tr>
      <w:tr>
        <w:tc>
          <w:tcPr>
            <w:tcW w:type="dxa" w:w="3402"/>
          </w:tcPr>
          <w:p>
            <w:r>
              <w:t>End-of-Life Capacity</w:t>
            </w:r>
          </w:p>
        </w:tc>
        <w:tc>
          <w:tcPr>
            <w:tcW w:type="dxa" w:w="5669"/>
          </w:tcPr>
          <w:p>
            <w:r/>
            <w:r>
              <w:rPr>
                <w:rFonts w:ascii="Courier New" w:hAnsi="Courier New"/>
                <w:b/>
                <w:color w:val="1F3A5F"/>
                <w:sz w:val="20"/>
              </w:rPr>
              <w:t>C_EOL  =  0.80 × C_nominal  =  0.80 × 2.0 Ah  =  1.6 Ah</w:t>
            </w:r>
          </w:p>
        </w:tc>
      </w:tr>
      <w:tr>
        <w:tc>
          <w:tcPr>
            <w:tcW w:type="dxa" w:w="3402"/>
          </w:tcPr>
          <w:p>
            <w:r>
              <w:t>Remaining Useful Life (ground truth)</w:t>
            </w:r>
          </w:p>
        </w:tc>
        <w:tc>
          <w:tcPr>
            <w:tcW w:type="dxa" w:w="5669"/>
          </w:tcPr>
          <w:p>
            <w:r/>
            <w:r>
              <w:rPr>
                <w:rFonts w:ascii="Courier New" w:hAnsi="Courier New"/>
                <w:b/>
                <w:color w:val="1F3A5F"/>
                <w:sz w:val="20"/>
              </w:rPr>
              <w:t>RUL(t)  =  t_EOL  −  t</w:t>
            </w:r>
          </w:p>
        </w:tc>
      </w:tr>
      <w:tr>
        <w:tc>
          <w:tcPr>
            <w:tcW w:type="dxa" w:w="3402"/>
          </w:tcPr>
          <w:p>
            <w:r>
              <w:t>Exponential decay (stat model)</w:t>
            </w:r>
          </w:p>
        </w:tc>
        <w:tc>
          <w:tcPr>
            <w:tcW w:type="dxa" w:w="5669"/>
          </w:tcPr>
          <w:p>
            <w:r/>
            <w:r>
              <w:rPr>
                <w:rFonts w:ascii="Courier New" w:hAnsi="Courier New"/>
                <w:b/>
                <w:color w:val="1F3A5F"/>
                <w:sz w:val="20"/>
              </w:rPr>
              <w:t>C(t)  =  C₀ · exp(−λ · t)</w:t>
            </w:r>
          </w:p>
        </w:tc>
      </w:tr>
      <w:tr>
        <w:tc>
          <w:tcPr>
            <w:tcW w:type="dxa" w:w="3402"/>
          </w:tcPr>
          <w:p>
            <w:r>
              <w:t>EOL cycle (stat model)</w:t>
            </w:r>
          </w:p>
        </w:tc>
        <w:tc>
          <w:tcPr>
            <w:tcW w:type="dxa" w:w="5669"/>
          </w:tcPr>
          <w:p>
            <w:r/>
            <w:r>
              <w:rPr>
                <w:rFonts w:ascii="Courier New" w:hAnsi="Courier New"/>
                <w:b/>
                <w:color w:val="1F3A5F"/>
                <w:sz w:val="20"/>
              </w:rPr>
              <w:t>t_EOL  =  −ln(C_EOL / C₀) / λ</w:t>
            </w:r>
          </w:p>
        </w:tc>
      </w:tr>
      <w:tr>
        <w:tc>
          <w:tcPr>
            <w:tcW w:type="dxa" w:w="3402"/>
          </w:tcPr>
          <w:p>
            <w:r>
              <w:t>RMSE</w:t>
            </w:r>
          </w:p>
        </w:tc>
        <w:tc>
          <w:tcPr>
            <w:tcW w:type="dxa" w:w="5669"/>
          </w:tcPr>
          <w:p>
            <w:r/>
            <w:r>
              <w:rPr>
                <w:rFonts w:ascii="Courier New" w:hAnsi="Courier New"/>
                <w:b/>
                <w:color w:val="1F3A5F"/>
                <w:sz w:val="20"/>
              </w:rPr>
              <w:t>RMSE  =  √(1/n · Σᵢ (ŷᵢ − yᵢ)²)</w:t>
            </w:r>
          </w:p>
        </w:tc>
      </w:tr>
      <w:tr>
        <w:tc>
          <w:tcPr>
            <w:tcW w:type="dxa" w:w="3402"/>
          </w:tcPr>
          <w:p>
            <w:r>
              <w:t>Quantile loss</w:t>
            </w:r>
          </w:p>
        </w:tc>
        <w:tc>
          <w:tcPr>
            <w:tcW w:type="dxa" w:w="5669"/>
          </w:tcPr>
          <w:p>
            <w:r/>
            <w:r>
              <w:rPr>
                <w:rFonts w:ascii="Courier New" w:hAnsi="Courier New"/>
                <w:b/>
                <w:color w:val="1F3A5F"/>
                <w:sz w:val="20"/>
              </w:rPr>
              <w:t>L_α(y, ŷ)  =  α·max(y−ŷ,0) + (1−α)·max(ŷ−y,0)</w:t>
            </w:r>
          </w:p>
        </w:tc>
      </w:tr>
      <w:tr>
        <w:tc>
          <w:tcPr>
            <w:tcW w:type="dxa" w:w="3402"/>
          </w:tcPr>
          <w:p>
            <w:r>
              <w:t>Nonconformity score</w:t>
            </w:r>
          </w:p>
        </w:tc>
        <w:tc>
          <w:tcPr>
            <w:tcW w:type="dxa" w:w="5669"/>
          </w:tcPr>
          <w:p>
            <w:r/>
            <w:r>
              <w:rPr>
                <w:rFonts w:ascii="Courier New" w:hAnsi="Courier New"/>
                <w:b/>
                <w:color w:val="1F3A5F"/>
                <w:sz w:val="20"/>
              </w:rPr>
              <w:t>s_i  =  |y_i − ŷ_i|</w:t>
            </w:r>
          </w:p>
        </w:tc>
      </w:tr>
      <w:tr>
        <w:tc>
          <w:tcPr>
            <w:tcW w:type="dxa" w:w="3402"/>
          </w:tcPr>
          <w:p>
            <w:r>
              <w:t>Conformal quantile</w:t>
            </w:r>
          </w:p>
        </w:tc>
        <w:tc>
          <w:tcPr>
            <w:tcW w:type="dxa" w:w="5669"/>
          </w:tcPr>
          <w:p>
            <w:r/>
            <w:r>
              <w:rPr>
                <w:rFonts w:ascii="Courier New" w:hAnsi="Courier New"/>
                <w:b/>
                <w:color w:val="1F3A5F"/>
                <w:sz w:val="20"/>
              </w:rPr>
              <w:t>q̂  =  Quantile(S_cal,  ⌈(n+1)(1−α)⌉/n)</w:t>
            </w:r>
          </w:p>
        </w:tc>
      </w:tr>
      <w:tr>
        <w:tc>
          <w:tcPr>
            <w:tcW w:type="dxa" w:w="3402"/>
          </w:tcPr>
          <w:p>
            <w:r>
              <w:t>Conformal prediction interval</w:t>
            </w:r>
          </w:p>
        </w:tc>
        <w:tc>
          <w:tcPr>
            <w:tcW w:type="dxa" w:w="5669"/>
          </w:tcPr>
          <w:p>
            <w:r/>
            <w:r>
              <w:rPr>
                <w:rFonts w:ascii="Courier New" w:hAnsi="Courier New"/>
                <w:b/>
                <w:color w:val="1F3A5F"/>
                <w:sz w:val="20"/>
              </w:rPr>
              <w:t>[ŷ − q̂,  ŷ + q̂]</w:t>
            </w:r>
          </w:p>
        </w:tc>
      </w:tr>
      <w:tr>
        <w:tc>
          <w:tcPr>
            <w:tcW w:type="dxa" w:w="3402"/>
          </w:tcPr>
          <w:p>
            <w:r>
              <w:t>KM survival function</w:t>
            </w:r>
          </w:p>
        </w:tc>
        <w:tc>
          <w:tcPr>
            <w:tcW w:type="dxa" w:w="5669"/>
          </w:tcPr>
          <w:p>
            <w:r/>
            <w:r>
              <w:rPr>
                <w:rFonts w:ascii="Courier New" w:hAnsi="Courier New"/>
                <w:b/>
                <w:color w:val="1F3A5F"/>
                <w:sz w:val="20"/>
              </w:rPr>
              <w:t>S(t)  =  Π_{t_i ≤ t}  (1 − d_i/n_i)</w:t>
            </w:r>
          </w:p>
        </w:tc>
      </w:tr>
      <w:tr>
        <w:tc>
          <w:tcPr>
            <w:tcW w:type="dxa" w:w="3402"/>
          </w:tcPr>
          <w:p>
            <w:r>
              <w:t>Per-cycle hazard</w:t>
            </w:r>
          </w:p>
        </w:tc>
        <w:tc>
          <w:tcPr>
            <w:tcW w:type="dxa" w:w="5669"/>
          </w:tcPr>
          <w:p>
            <w:r/>
            <w:r>
              <w:rPr>
                <w:rFonts w:ascii="Courier New" w:hAnsi="Courier New"/>
                <w:b/>
                <w:color w:val="1F3A5F"/>
                <w:sz w:val="20"/>
              </w:rPr>
              <w:t>h(t)  =  1 − S(t+1)/S(t)</w:t>
            </w:r>
          </w:p>
        </w:tc>
      </w:tr>
      <w:tr>
        <w:tc>
          <w:tcPr>
            <w:tcW w:type="dxa" w:w="3402"/>
          </w:tcPr>
          <w:p>
            <w:r>
              <w:t>Horizon failure probability</w:t>
            </w:r>
          </w:p>
        </w:tc>
        <w:tc>
          <w:tcPr>
            <w:tcW w:type="dxa" w:w="5669"/>
          </w:tcPr>
          <w:p>
            <w:r/>
            <w:r>
              <w:rPr>
                <w:rFonts w:ascii="Courier New" w:hAnsi="Courier New"/>
                <w:b/>
                <w:color w:val="1F3A5F"/>
                <w:sz w:val="20"/>
              </w:rPr>
              <w:t>P(fail within H)  =  1 − S(t+H)/S(t)</w:t>
            </w:r>
          </w:p>
        </w:tc>
      </w:tr>
      <w:tr>
        <w:tc>
          <w:tcPr>
            <w:tcW w:type="dxa" w:w="3402"/>
          </w:tcPr>
          <w:p>
            <w:r>
              <w:t>PSI drift metric</w:t>
            </w:r>
          </w:p>
        </w:tc>
        <w:tc>
          <w:tcPr>
            <w:tcW w:type="dxa" w:w="5669"/>
          </w:tcPr>
          <w:p>
            <w:r/>
            <w:r>
              <w:rPr>
                <w:rFonts w:ascii="Courier New" w:hAnsi="Courier New"/>
                <w:b/>
                <w:color w:val="1F3A5F"/>
                <w:sz w:val="20"/>
              </w:rPr>
              <w:t>PSI  =  Σᵢ (P_test,i − P_train,i) · ln(P_test,i / P_train,i)</w:t>
            </w:r>
          </w:p>
        </w:tc>
      </w:tr>
      <w:tr>
        <w:tc>
          <w:tcPr>
            <w:tcW w:type="dxa" w:w="3402"/>
          </w:tcPr>
          <w:p>
            <w:r>
              <w:t>Ensemble weight</w:t>
            </w:r>
          </w:p>
        </w:tc>
        <w:tc>
          <w:tcPr>
            <w:tcW w:type="dxa" w:w="5669"/>
          </w:tcPr>
          <w:p>
            <w:r/>
            <w:r>
              <w:rPr>
                <w:rFonts w:ascii="Courier New" w:hAnsi="Courier New"/>
                <w:b/>
                <w:color w:val="1F3A5F"/>
                <w:sz w:val="20"/>
              </w:rPr>
              <w:t>w_k  =  (1/RMSE_k) / Σⱼ(1/RMSE_j)</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