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E133A" w14:textId="77777777" w:rsidR="00F31381" w:rsidRPr="00D95785" w:rsidRDefault="00F31381" w:rsidP="00F31381">
      <w:pPr>
        <w:jc w:val="center"/>
        <w:rPr>
          <w:color w:val="000000" w:themeColor="text1"/>
          <w:sz w:val="40"/>
          <w:szCs w:val="40"/>
        </w:rPr>
      </w:pPr>
      <w:bookmarkStart w:id="0" w:name="_Hlk191052682"/>
      <w:bookmarkEnd w:id="0"/>
    </w:p>
    <w:p w14:paraId="0E3414D9" w14:textId="77777777" w:rsidR="00F31381" w:rsidRPr="00D95785" w:rsidRDefault="00F31381" w:rsidP="00F31381">
      <w:pPr>
        <w:jc w:val="center"/>
        <w:rPr>
          <w:color w:val="000000" w:themeColor="text1"/>
          <w:sz w:val="40"/>
          <w:szCs w:val="40"/>
        </w:rPr>
      </w:pPr>
    </w:p>
    <w:p w14:paraId="34E586BD" w14:textId="77777777" w:rsidR="00F31381" w:rsidRPr="00D95785" w:rsidRDefault="00F31381" w:rsidP="00F31381">
      <w:pPr>
        <w:jc w:val="center"/>
        <w:rPr>
          <w:color w:val="000000" w:themeColor="text1"/>
          <w:sz w:val="40"/>
          <w:szCs w:val="40"/>
        </w:rPr>
      </w:pPr>
    </w:p>
    <w:p w14:paraId="0765E45B" w14:textId="77777777" w:rsidR="00F31381" w:rsidRPr="00D95785" w:rsidRDefault="00F31381" w:rsidP="00F31381">
      <w:pPr>
        <w:jc w:val="center"/>
        <w:rPr>
          <w:color w:val="000000" w:themeColor="text1"/>
          <w:sz w:val="40"/>
          <w:szCs w:val="40"/>
        </w:rPr>
      </w:pPr>
    </w:p>
    <w:p w14:paraId="7EE1F16C" w14:textId="77777777" w:rsidR="00F31381" w:rsidRPr="00D95785" w:rsidRDefault="00F31381" w:rsidP="00F31381">
      <w:pPr>
        <w:jc w:val="center"/>
        <w:rPr>
          <w:color w:val="000000" w:themeColor="text1"/>
          <w:sz w:val="40"/>
          <w:szCs w:val="40"/>
        </w:rPr>
      </w:pPr>
    </w:p>
    <w:p w14:paraId="0874D5E2" w14:textId="77777777" w:rsidR="00F31381" w:rsidRPr="00D95785" w:rsidRDefault="00F31381" w:rsidP="00F31381">
      <w:pPr>
        <w:jc w:val="center"/>
        <w:rPr>
          <w:color w:val="000000" w:themeColor="text1"/>
          <w:sz w:val="40"/>
          <w:szCs w:val="40"/>
        </w:rPr>
      </w:pPr>
    </w:p>
    <w:p w14:paraId="36F9EDA2" w14:textId="77777777" w:rsidR="00F31381" w:rsidRPr="00D95785" w:rsidRDefault="00F31381" w:rsidP="00F31381">
      <w:pPr>
        <w:jc w:val="center"/>
        <w:rPr>
          <w:color w:val="000000" w:themeColor="text1"/>
          <w:sz w:val="40"/>
          <w:szCs w:val="40"/>
        </w:rPr>
      </w:pPr>
    </w:p>
    <w:p w14:paraId="7AF9F415" w14:textId="77777777" w:rsidR="00F31381" w:rsidRDefault="00F31381" w:rsidP="00F31381">
      <w:pPr>
        <w:jc w:val="center"/>
        <w:rPr>
          <w:color w:val="000000" w:themeColor="text1"/>
          <w:sz w:val="40"/>
          <w:szCs w:val="40"/>
        </w:rPr>
      </w:pPr>
    </w:p>
    <w:p w14:paraId="0B5E440D" w14:textId="77777777" w:rsidR="00C62C23" w:rsidRPr="00D95785" w:rsidRDefault="00C62C23" w:rsidP="00F31381">
      <w:pPr>
        <w:jc w:val="center"/>
        <w:rPr>
          <w:color w:val="000000" w:themeColor="text1"/>
          <w:sz w:val="40"/>
          <w:szCs w:val="40"/>
        </w:rPr>
      </w:pPr>
    </w:p>
    <w:p w14:paraId="785468E7" w14:textId="77777777" w:rsidR="00F31381" w:rsidRPr="00D95785" w:rsidRDefault="00F31381" w:rsidP="00F31381">
      <w:pPr>
        <w:jc w:val="center"/>
        <w:rPr>
          <w:color w:val="000000" w:themeColor="text1"/>
          <w:sz w:val="40"/>
          <w:szCs w:val="40"/>
        </w:rPr>
      </w:pPr>
    </w:p>
    <w:p w14:paraId="6E0AFA03" w14:textId="77777777" w:rsidR="00F31381" w:rsidRPr="00D95785" w:rsidRDefault="00F31381" w:rsidP="00F31381">
      <w:pPr>
        <w:jc w:val="center"/>
        <w:rPr>
          <w:color w:val="000000" w:themeColor="text1"/>
          <w:sz w:val="40"/>
          <w:szCs w:val="40"/>
        </w:rPr>
      </w:pPr>
    </w:p>
    <w:p w14:paraId="5DD69F33" w14:textId="594959E8" w:rsidR="00F31381" w:rsidRPr="00D95785" w:rsidRDefault="00F31381" w:rsidP="00F31381">
      <w:pPr>
        <w:jc w:val="center"/>
        <w:rPr>
          <w:color w:val="000000" w:themeColor="text1"/>
          <w:sz w:val="40"/>
          <w:szCs w:val="40"/>
        </w:rPr>
      </w:pPr>
      <w:r w:rsidRPr="00D95785">
        <w:rPr>
          <w:color w:val="000000" w:themeColor="text1"/>
          <w:sz w:val="40"/>
          <w:szCs w:val="40"/>
        </w:rPr>
        <w:t>UnitedHealth Group Incorporated (UNH)</w:t>
      </w:r>
    </w:p>
    <w:p w14:paraId="0DA64D82" w14:textId="1070C5A1" w:rsidR="00F31381" w:rsidRPr="00D95785" w:rsidRDefault="00F31381" w:rsidP="00F31381">
      <w:pPr>
        <w:jc w:val="center"/>
        <w:rPr>
          <w:color w:val="333333"/>
          <w:sz w:val="40"/>
          <w:szCs w:val="40"/>
          <w:shd w:val="clear" w:color="auto" w:fill="FFFFFF"/>
        </w:rPr>
      </w:pPr>
      <w:r w:rsidRPr="00D95785">
        <w:rPr>
          <w:color w:val="333333"/>
          <w:sz w:val="40"/>
          <w:szCs w:val="40"/>
          <w:shd w:val="clear" w:color="auto" w:fill="FFFFFF"/>
        </w:rPr>
        <w:t>Finance &amp; Accounting</w:t>
      </w:r>
      <w:r w:rsidR="00F24751">
        <w:rPr>
          <w:color w:val="333333"/>
          <w:sz w:val="40"/>
          <w:szCs w:val="40"/>
          <w:shd w:val="clear" w:color="auto" w:fill="FFFFFF"/>
        </w:rPr>
        <w:t xml:space="preserve"> Review</w:t>
      </w:r>
    </w:p>
    <w:p w14:paraId="2202682B" w14:textId="407F9A85" w:rsidR="00F31381" w:rsidRPr="00D95785" w:rsidRDefault="00F31381" w:rsidP="00F31381">
      <w:pPr>
        <w:jc w:val="center"/>
        <w:rPr>
          <w:sz w:val="40"/>
          <w:szCs w:val="40"/>
        </w:rPr>
      </w:pPr>
      <w:r w:rsidRPr="00D95785">
        <w:rPr>
          <w:sz w:val="40"/>
          <w:szCs w:val="40"/>
        </w:rPr>
        <w:t xml:space="preserve">Anushareddy Ramachandra Reddy </w:t>
      </w:r>
      <w:r w:rsidRPr="00D95785">
        <w:rPr>
          <w:b/>
          <w:bCs/>
        </w:rPr>
        <w:br w:type="page"/>
      </w:r>
    </w:p>
    <w:p w14:paraId="7606F4B3" w14:textId="1A18E47B" w:rsidR="0026673F" w:rsidRPr="00D95785" w:rsidRDefault="0026673F" w:rsidP="0026673F">
      <w:pPr>
        <w:rPr>
          <w:b/>
          <w:bCs/>
        </w:rPr>
      </w:pPr>
      <w:r w:rsidRPr="00D95785">
        <w:rPr>
          <w:b/>
          <w:bCs/>
        </w:rPr>
        <w:lastRenderedPageBreak/>
        <w:t xml:space="preserve">To: </w:t>
      </w:r>
      <w:r w:rsidR="00D243D4">
        <w:rPr>
          <w:rStyle w:val="normaltextrun"/>
          <w:rFonts w:ascii="Aptos" w:eastAsiaTheme="majorEastAsia" w:hAnsi="Aptos"/>
          <w:color w:val="000000"/>
          <w:sz w:val="22"/>
          <w:szCs w:val="22"/>
          <w:bdr w:val="none" w:sz="0" w:space="0" w:color="auto" w:frame="1"/>
          <w:lang w:val="en-US"/>
        </w:rPr>
        <w:t>CEO of UnitedHealth Group</w:t>
      </w:r>
    </w:p>
    <w:p w14:paraId="698A9A8A" w14:textId="77777777" w:rsidR="005F766C" w:rsidRPr="00D95785" w:rsidRDefault="005F766C" w:rsidP="005F766C">
      <w:pPr>
        <w:rPr>
          <w:b/>
          <w:bCs/>
        </w:rPr>
      </w:pPr>
    </w:p>
    <w:p w14:paraId="4C16440B" w14:textId="2E72C48E" w:rsidR="005F766C" w:rsidRPr="00D95785" w:rsidRDefault="0026673F" w:rsidP="005F766C">
      <w:r w:rsidRPr="00D95785">
        <w:rPr>
          <w:b/>
          <w:bCs/>
        </w:rPr>
        <w:t xml:space="preserve">From: </w:t>
      </w:r>
      <w:r w:rsidR="0015008E">
        <w:t>Anushareddy Ramachandra Reddy</w:t>
      </w:r>
    </w:p>
    <w:p w14:paraId="00A122EB" w14:textId="77777777" w:rsidR="005F766C" w:rsidRPr="00D95785" w:rsidRDefault="005F766C" w:rsidP="005F766C"/>
    <w:p w14:paraId="67F20B6A" w14:textId="610F045C" w:rsidR="0026673F" w:rsidRPr="00D95785" w:rsidRDefault="0026673F" w:rsidP="005F766C">
      <w:pPr>
        <w:rPr>
          <w:sz w:val="40"/>
          <w:szCs w:val="40"/>
        </w:rPr>
      </w:pPr>
      <w:r w:rsidRPr="00D95785">
        <w:rPr>
          <w:rStyle w:val="Strong"/>
          <w:rFonts w:eastAsiaTheme="majorEastAsia"/>
        </w:rPr>
        <w:t>Subject:</w:t>
      </w:r>
      <w:r w:rsidRPr="00D95785">
        <w:t xml:space="preserve"> Financial Analysis of UnitedHealth Group (20</w:t>
      </w:r>
      <w:r w:rsidR="007D2B46">
        <w:t>15</w:t>
      </w:r>
      <w:r w:rsidRPr="00D95785">
        <w:t>-2024)</w:t>
      </w:r>
    </w:p>
    <w:p w14:paraId="49C5B696" w14:textId="77777777" w:rsidR="002B2C5D" w:rsidRDefault="002B2C5D" w:rsidP="007B4157">
      <w:pPr>
        <w:pStyle w:val="NormalWeb"/>
        <w:spacing w:after="0" w:afterAutospacing="0"/>
        <w:rPr>
          <w:b/>
          <w:bCs/>
          <w:sz w:val="28"/>
          <w:szCs w:val="28"/>
        </w:rPr>
      </w:pPr>
    </w:p>
    <w:p w14:paraId="112BA8AE" w14:textId="27C19D8B" w:rsidR="009351C0" w:rsidRPr="00D95785" w:rsidRDefault="009351C0" w:rsidP="00D00DF8">
      <w:pPr>
        <w:pStyle w:val="NormalWeb"/>
        <w:spacing w:before="0" w:beforeAutospacing="0"/>
        <w:rPr>
          <w:b/>
          <w:bCs/>
          <w:sz w:val="28"/>
          <w:szCs w:val="28"/>
        </w:rPr>
      </w:pPr>
      <w:r w:rsidRPr="00D95785">
        <w:rPr>
          <w:b/>
          <w:bCs/>
          <w:sz w:val="28"/>
          <w:szCs w:val="28"/>
        </w:rPr>
        <w:t>Executive Summary:</w:t>
      </w:r>
    </w:p>
    <w:p w14:paraId="6B09FFD0" w14:textId="33EE828A" w:rsidR="0026673F" w:rsidRPr="00D95785" w:rsidRDefault="009351C0" w:rsidP="0026673F">
      <w:r w:rsidRPr="00D95785">
        <w:t>The report analyses UnitedHealth Group Incorporated (UNH)'s financial performance from 20</w:t>
      </w:r>
      <w:r w:rsidR="002A644D">
        <w:t>15</w:t>
      </w:r>
      <w:r w:rsidRPr="00D95785">
        <w:t xml:space="preserve"> to 2024, using 10-K filings and annual reports. The examination concentrates on revenue growth, profitability, financial ratios, balance sheet changes, cash flow management, impairments, and unusual financial events. UNH's financial performance has been good over the last decade, with revenue increasing from $157 billion in 2015 to almost $400 billion in 2024. However, recent obstacles, such as growing healthcare expenses, regulatory requirements, and inflationary headwinds, have all contributed to lower profitability in 2024. The paper investigates financial patterns, dangers, and solutions for achieving long-term financial stability.</w:t>
      </w:r>
    </w:p>
    <w:p w14:paraId="5FE54F54" w14:textId="7FC80A22" w:rsidR="002E658F" w:rsidRPr="002E658F" w:rsidRDefault="002E658F" w:rsidP="002E658F">
      <w:pPr>
        <w:spacing w:before="100" w:beforeAutospacing="1" w:after="100" w:afterAutospacing="1"/>
        <w:outlineLvl w:val="2"/>
        <w:rPr>
          <w:b/>
          <w:bCs/>
          <w:sz w:val="28"/>
          <w:szCs w:val="28"/>
        </w:rPr>
      </w:pPr>
      <w:r w:rsidRPr="002E658F">
        <w:rPr>
          <w:b/>
          <w:bCs/>
          <w:sz w:val="28"/>
          <w:szCs w:val="28"/>
        </w:rPr>
        <w:t>Financial Performance Analysis</w:t>
      </w:r>
      <w:r w:rsidR="0079341A" w:rsidRPr="00D95785">
        <w:rPr>
          <w:b/>
          <w:bCs/>
          <w:sz w:val="28"/>
          <w:szCs w:val="28"/>
        </w:rPr>
        <w:t>:</w:t>
      </w:r>
    </w:p>
    <w:p w14:paraId="6BF46865" w14:textId="403DE276" w:rsidR="00821539" w:rsidRPr="00D95785" w:rsidRDefault="002E658F" w:rsidP="002E658F">
      <w:pPr>
        <w:spacing w:before="100" w:beforeAutospacing="1" w:after="100" w:afterAutospacing="1"/>
        <w:outlineLvl w:val="3"/>
        <w:rPr>
          <w:b/>
          <w:bCs/>
        </w:rPr>
      </w:pPr>
      <w:r w:rsidRPr="002E658F">
        <w:rPr>
          <w:b/>
          <w:bCs/>
        </w:rPr>
        <w:t>1. Revenue and Profit Trends</w:t>
      </w:r>
    </w:p>
    <w:p w14:paraId="3338C375" w14:textId="65D2097F" w:rsidR="0026673F" w:rsidRPr="00D95785" w:rsidRDefault="00821539" w:rsidP="00E607FE">
      <w:pPr>
        <w:spacing w:after="240"/>
      </w:pPr>
      <w:r w:rsidRPr="00D95785">
        <w:t>One of the most important indications of a company's financial health is revenue and profitability. Over the last decade, UnitedHealth Group has achieved significant growth:</w:t>
      </w:r>
    </w:p>
    <w:p w14:paraId="7AD22568" w14:textId="61A107B0" w:rsidR="00F976C8" w:rsidRPr="00D95785" w:rsidRDefault="00F976C8" w:rsidP="002E658F">
      <w:pPr>
        <w:pStyle w:val="ListParagraph"/>
        <w:numPr>
          <w:ilvl w:val="0"/>
          <w:numId w:val="1"/>
        </w:numPr>
      </w:pPr>
      <w:r w:rsidRPr="00D95785">
        <w:rPr>
          <w:b/>
          <w:bCs/>
        </w:rPr>
        <w:t>Revenue Growth:</w:t>
      </w:r>
      <w:r w:rsidRPr="00D95785">
        <w:t xml:space="preserve"> UnitedHealth Group's revenue has steadily increased, owing to its strong market position and expansion activities. The company's sales increased from roughly $157 billion in 2015 to a projected $400 billion in 2024, representing a CAGR (Compound Annual Growth Rate) of almost 10% over this time. This revenue increase has been fuelled by strategic acquisitions, service expansion, and rising demand for health services.</w:t>
      </w:r>
    </w:p>
    <w:p w14:paraId="4D830862" w14:textId="5F8BCB4E" w:rsidR="002E658F" w:rsidRPr="00D95785" w:rsidRDefault="002E658F" w:rsidP="002E658F">
      <w:pPr>
        <w:pStyle w:val="ListParagraph"/>
        <w:numPr>
          <w:ilvl w:val="0"/>
          <w:numId w:val="1"/>
        </w:numPr>
      </w:pPr>
      <w:r w:rsidRPr="00D95785">
        <w:rPr>
          <w:b/>
          <w:bCs/>
        </w:rPr>
        <w:t>Gross Profit Trends:</w:t>
      </w:r>
      <w:r w:rsidRPr="00D95785">
        <w:t xml:space="preserve"> </w:t>
      </w:r>
      <w:r w:rsidR="00F976C8" w:rsidRPr="00D95785">
        <w:t>The company has effectively managed its cost structure, resulting in a large increase in gross profit to $89.4 billion by 2024. Despite rising costs from expansion and inflation, gross margins have stayed steady, suggesting effective cost management measures.</w:t>
      </w:r>
    </w:p>
    <w:p w14:paraId="28E926F4" w14:textId="77777777" w:rsidR="00F976C8" w:rsidRPr="00D95785" w:rsidRDefault="00F976C8" w:rsidP="00F976C8">
      <w:pPr>
        <w:pStyle w:val="ListParagraph"/>
        <w:numPr>
          <w:ilvl w:val="0"/>
          <w:numId w:val="1"/>
        </w:numPr>
      </w:pPr>
      <w:r w:rsidRPr="00D95785">
        <w:rPr>
          <w:b/>
          <w:bCs/>
        </w:rPr>
        <w:t>Operating Income Growth:</w:t>
      </w:r>
      <w:r w:rsidRPr="00D95785">
        <w:t xml:space="preserve"> UnitedHealth Group's operating income has steadily increased, demonstrating the company's capacity to scale its business while retaining operational efficiency. Operating income increased from about $10.8 billion in 2015 to more than $30 billion by 2024.</w:t>
      </w:r>
    </w:p>
    <w:p w14:paraId="0BA89087" w14:textId="596CDCD0" w:rsidR="002E658F" w:rsidRPr="00D95785" w:rsidRDefault="00CB3904" w:rsidP="002E658F">
      <w:pPr>
        <w:pStyle w:val="ListParagraph"/>
        <w:numPr>
          <w:ilvl w:val="0"/>
          <w:numId w:val="1"/>
        </w:numPr>
      </w:pPr>
      <w:r w:rsidRPr="00D95785">
        <w:rPr>
          <w:b/>
          <w:bCs/>
        </w:rPr>
        <w:t>Net Income Growth:</w:t>
      </w:r>
      <w:r w:rsidRPr="00D95785">
        <w:t xml:space="preserve"> The company's net income increased from $5.8 billion in 2015 to $23.1 billion in 2023, resulting in a significant net margin improvement. This is mostly due to more income, improved operational efficiency, and cost-cutting efforts.</w:t>
      </w:r>
    </w:p>
    <w:p w14:paraId="034DB26F" w14:textId="048CE7C3" w:rsidR="00CB3904" w:rsidRDefault="00CB3904" w:rsidP="002E658F">
      <w:pPr>
        <w:pStyle w:val="ListParagraph"/>
        <w:numPr>
          <w:ilvl w:val="0"/>
          <w:numId w:val="1"/>
        </w:numPr>
      </w:pPr>
      <w:r w:rsidRPr="00D95785">
        <w:rPr>
          <w:b/>
          <w:bCs/>
        </w:rPr>
        <w:t>Earnings Per Share (EPS):</w:t>
      </w:r>
      <w:r w:rsidRPr="00D95785">
        <w:t xml:space="preserve"> UnitedHealth Group's EPS has continually increased, demonstrating significant shareholder value creation. EPS growth has been driven by share repurchase programs and organic earnings growth.</w:t>
      </w:r>
    </w:p>
    <w:p w14:paraId="7EF81120" w14:textId="77777777" w:rsidR="00031D6A" w:rsidRDefault="00031D6A" w:rsidP="00031D6A"/>
    <w:p w14:paraId="63E5B7D4" w14:textId="764FBF2B" w:rsidR="00031D6A" w:rsidRPr="00D95785" w:rsidRDefault="000F7EDD" w:rsidP="00031D6A">
      <w:r>
        <w:rPr>
          <w:noProof/>
          <w14:ligatures w14:val="standardContextual"/>
        </w:rPr>
        <w:lastRenderedPageBreak/>
        <w:drawing>
          <wp:inline distT="0" distB="0" distL="0" distR="0" wp14:anchorId="6C65D2F3" wp14:editId="0E4A39B3">
            <wp:extent cx="5731510" cy="4675505"/>
            <wp:effectExtent l="0" t="0" r="0" b="0"/>
            <wp:docPr id="2015714401"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14401" name="Picture 1" descr="A screenshot of a spreadshee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675505"/>
                    </a:xfrm>
                    <a:prstGeom prst="rect">
                      <a:avLst/>
                    </a:prstGeom>
                  </pic:spPr>
                </pic:pic>
              </a:graphicData>
            </a:graphic>
          </wp:inline>
        </w:drawing>
      </w:r>
    </w:p>
    <w:p w14:paraId="15A41052" w14:textId="77777777" w:rsidR="000F7EDD" w:rsidRDefault="000F7EDD" w:rsidP="000F7EDD">
      <w:pPr>
        <w:spacing w:after="160" w:line="278" w:lineRule="auto"/>
        <w:rPr>
          <w:color w:val="172B4D"/>
          <w:shd w:val="clear" w:color="auto" w:fill="FFFFFF"/>
        </w:rPr>
      </w:pPr>
    </w:p>
    <w:p w14:paraId="7468D34B" w14:textId="32633077" w:rsidR="000F7EDD" w:rsidRDefault="000846A3" w:rsidP="00CA6CBF">
      <w:pPr>
        <w:spacing w:after="160" w:line="278" w:lineRule="auto"/>
        <w:jc w:val="center"/>
        <w:rPr>
          <w:b/>
          <w:bCs/>
          <w:color w:val="172B4D"/>
          <w:shd w:val="clear" w:color="auto" w:fill="FFFFFF"/>
        </w:rPr>
      </w:pPr>
      <w:r>
        <w:rPr>
          <w:noProof/>
          <w14:ligatures w14:val="standardContextual"/>
        </w:rPr>
        <w:drawing>
          <wp:inline distT="0" distB="0" distL="0" distR="0" wp14:anchorId="22471C39" wp14:editId="1E66FB82">
            <wp:extent cx="5731510" cy="2685415"/>
            <wp:effectExtent l="0" t="0" r="1905" b="0"/>
            <wp:docPr id="1091573602" name="Chart 1">
              <a:extLst xmlns:a="http://schemas.openxmlformats.org/drawingml/2006/main">
                <a:ext uri="{FF2B5EF4-FFF2-40B4-BE49-F238E27FC236}">
                  <a16:creationId xmlns:a16="http://schemas.microsoft.com/office/drawing/2014/main" id="{AB6C6CA0-DE36-4725-BC51-B17B21D917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1AB3C7F" w14:textId="77777777" w:rsidR="004A563C" w:rsidRDefault="004A563C">
      <w:pPr>
        <w:spacing w:after="160" w:line="278" w:lineRule="auto"/>
        <w:rPr>
          <w:b/>
          <w:bCs/>
          <w:color w:val="172B4D"/>
          <w:shd w:val="clear" w:color="auto" w:fill="FFFFFF"/>
        </w:rPr>
      </w:pPr>
      <w:r>
        <w:rPr>
          <w:b/>
          <w:bCs/>
          <w:color w:val="172B4D"/>
          <w:shd w:val="clear" w:color="auto" w:fill="FFFFFF"/>
        </w:rPr>
        <w:br w:type="page"/>
      </w:r>
    </w:p>
    <w:p w14:paraId="6CE2B57E" w14:textId="07E4700C" w:rsidR="00D11EAD" w:rsidRPr="00D95785" w:rsidRDefault="002E658F" w:rsidP="000F7EDD">
      <w:pPr>
        <w:spacing w:after="160" w:line="278" w:lineRule="auto"/>
        <w:rPr>
          <w:color w:val="172B4D"/>
          <w:shd w:val="clear" w:color="auto" w:fill="FFFFFF"/>
        </w:rPr>
      </w:pPr>
      <w:r w:rsidRPr="002E658F">
        <w:rPr>
          <w:b/>
          <w:bCs/>
          <w:color w:val="172B4D"/>
          <w:shd w:val="clear" w:color="auto" w:fill="FFFFFF"/>
        </w:rPr>
        <w:lastRenderedPageBreak/>
        <w:t>2. Balance Sheet Overview</w:t>
      </w:r>
    </w:p>
    <w:p w14:paraId="08E0CF42" w14:textId="77777777" w:rsidR="006E4A85" w:rsidRPr="00D95785" w:rsidRDefault="006E4A85" w:rsidP="006E4A85">
      <w:pPr>
        <w:pStyle w:val="NormalWeb"/>
      </w:pPr>
      <w:r w:rsidRPr="00D95785">
        <w:t>The balance sheet of UnitedHealth Group provides insights into the company’s financial stability and its ability to meet obligations.</w:t>
      </w:r>
    </w:p>
    <w:p w14:paraId="08F7CD1A" w14:textId="77777777" w:rsidR="006E4A85" w:rsidRPr="00D95785" w:rsidRDefault="006E4A85" w:rsidP="00D11EAD">
      <w:pPr>
        <w:pStyle w:val="ListParagraph"/>
        <w:numPr>
          <w:ilvl w:val="0"/>
          <w:numId w:val="3"/>
        </w:numPr>
      </w:pPr>
      <w:r w:rsidRPr="00D95785">
        <w:rPr>
          <w:b/>
          <w:bCs/>
        </w:rPr>
        <w:t>Cash and cash equivalents:</w:t>
      </w:r>
      <w:r w:rsidRPr="00D95785">
        <w:t xml:space="preserve"> UnitedHealth Group's cash position has significantly improved, rising from $9.2 billion in 2015 to $29.6 billion by 2024, assuring solid liquidity and financial flexibility.</w:t>
      </w:r>
    </w:p>
    <w:p w14:paraId="1AC5B28D" w14:textId="77777777" w:rsidR="00E607FE" w:rsidRPr="00D95785" w:rsidRDefault="00E607FE" w:rsidP="002E658F">
      <w:pPr>
        <w:pStyle w:val="ListParagraph"/>
        <w:numPr>
          <w:ilvl w:val="0"/>
          <w:numId w:val="3"/>
        </w:numPr>
      </w:pPr>
      <w:r w:rsidRPr="00D95785">
        <w:rPr>
          <w:b/>
          <w:bCs/>
        </w:rPr>
        <w:t>Receivables and Prepaid Expenses:</w:t>
      </w:r>
      <w:r w:rsidRPr="00D95785">
        <w:t xml:space="preserve"> The company's increase in receivables indicates an increase in credit-based services, which could have an impact on cash flow if not managed efficiently.</w:t>
      </w:r>
    </w:p>
    <w:p w14:paraId="1B004AD0" w14:textId="4307BC0A" w:rsidR="002E658F" w:rsidRPr="00D95785" w:rsidRDefault="00E607FE" w:rsidP="002E658F">
      <w:pPr>
        <w:pStyle w:val="ListParagraph"/>
        <w:numPr>
          <w:ilvl w:val="0"/>
          <w:numId w:val="3"/>
        </w:numPr>
      </w:pPr>
      <w:r w:rsidRPr="00D95785">
        <w:rPr>
          <w:b/>
          <w:bCs/>
        </w:rPr>
        <w:t>Total Assets and Liabilities:</w:t>
      </w:r>
      <w:r w:rsidRPr="00D95785">
        <w:t xml:space="preserve"> Over time, UnitedHealth Group's total assets and liabilities have grown, indicating expansion through acquisitions, investments in new business lines, and technological breakthroughs in health care services.</w:t>
      </w:r>
    </w:p>
    <w:p w14:paraId="508E0FF8" w14:textId="77777777" w:rsidR="009E28A4" w:rsidRPr="00D95785" w:rsidRDefault="009E28A4"/>
    <w:p w14:paraId="28EE3CFA" w14:textId="1DC7A52F" w:rsidR="001A70D9" w:rsidRDefault="002233D6">
      <w:r>
        <w:rPr>
          <w:noProof/>
          <w14:ligatures w14:val="standardContextual"/>
        </w:rPr>
        <w:drawing>
          <wp:inline distT="0" distB="0" distL="0" distR="0" wp14:anchorId="0F18CD3A" wp14:editId="3189CB55">
            <wp:extent cx="5731510" cy="4300220"/>
            <wp:effectExtent l="0" t="0" r="0" b="5080"/>
            <wp:docPr id="143875683" name="Picture 2"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5683" name="Picture 2" descr="A screenshot of a spreadshee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00220"/>
                    </a:xfrm>
                    <a:prstGeom prst="rect">
                      <a:avLst/>
                    </a:prstGeom>
                  </pic:spPr>
                </pic:pic>
              </a:graphicData>
            </a:graphic>
          </wp:inline>
        </w:drawing>
      </w:r>
    </w:p>
    <w:p w14:paraId="1137FB6E" w14:textId="77777777" w:rsidR="00462A1E" w:rsidRDefault="00462A1E"/>
    <w:p w14:paraId="66F20BFF" w14:textId="77777777" w:rsidR="00462A1E" w:rsidRPr="00D95785" w:rsidRDefault="00462A1E"/>
    <w:p w14:paraId="3BA0E858" w14:textId="6120CF19" w:rsidR="001A70D9" w:rsidRPr="00D95785" w:rsidRDefault="001A70D9">
      <w:pPr>
        <w:rPr>
          <w:b/>
          <w:bCs/>
        </w:rPr>
      </w:pPr>
      <w:r w:rsidRPr="00D95785">
        <w:rPr>
          <w:b/>
          <w:bCs/>
        </w:rPr>
        <w:t>3. Cash Flow Analysis</w:t>
      </w:r>
    </w:p>
    <w:p w14:paraId="18BD5BAF" w14:textId="77777777" w:rsidR="001A70D9" w:rsidRPr="00D95785" w:rsidRDefault="001A70D9"/>
    <w:p w14:paraId="157A7AE7" w14:textId="77777777" w:rsidR="001A70D9" w:rsidRPr="00D95785" w:rsidRDefault="001A70D9">
      <w:r w:rsidRPr="00D95785">
        <w:t>A company’s ability to generate cash from its operations is crucial for sustainability and growth.</w:t>
      </w:r>
    </w:p>
    <w:p w14:paraId="2C29BCFD" w14:textId="77777777" w:rsidR="0052698F" w:rsidRPr="00D95785" w:rsidRDefault="0052698F"/>
    <w:p w14:paraId="12137028" w14:textId="77777777" w:rsidR="001A70D9" w:rsidRPr="00D95785" w:rsidRDefault="001A70D9" w:rsidP="001A70D9">
      <w:pPr>
        <w:pStyle w:val="ListParagraph"/>
        <w:numPr>
          <w:ilvl w:val="0"/>
          <w:numId w:val="4"/>
        </w:numPr>
      </w:pPr>
      <w:r w:rsidRPr="00D95785">
        <w:rPr>
          <w:b/>
          <w:bCs/>
        </w:rPr>
        <w:t>Operating Cash Flow:</w:t>
      </w:r>
      <w:r w:rsidRPr="00D95785">
        <w:t xml:space="preserve"> UnitedHealth Group has routinely reported positive operating cash flows, proving its capacity to produce revenue efficiently.</w:t>
      </w:r>
    </w:p>
    <w:p w14:paraId="72503DD2" w14:textId="77777777" w:rsidR="001A70D9" w:rsidRPr="00D95785" w:rsidRDefault="001A70D9" w:rsidP="001A70D9">
      <w:pPr>
        <w:pStyle w:val="ListParagraph"/>
        <w:numPr>
          <w:ilvl w:val="0"/>
          <w:numId w:val="4"/>
        </w:numPr>
      </w:pPr>
      <w:r w:rsidRPr="00D95785">
        <w:rPr>
          <w:b/>
          <w:bCs/>
        </w:rPr>
        <w:lastRenderedPageBreak/>
        <w:t>Capital Expenditures:</w:t>
      </w:r>
      <w:r w:rsidRPr="00D95785">
        <w:t xml:space="preserve"> The corporation has boosted its investments in technology, infrastructure, and strategic alliances, enabling it to remain competitive.</w:t>
      </w:r>
    </w:p>
    <w:p w14:paraId="5CD4D50C" w14:textId="72383B84" w:rsidR="001A70D9" w:rsidRPr="00D95785" w:rsidRDefault="001A70D9" w:rsidP="001A70D9">
      <w:pPr>
        <w:pStyle w:val="ListParagraph"/>
        <w:numPr>
          <w:ilvl w:val="0"/>
          <w:numId w:val="4"/>
        </w:numPr>
      </w:pPr>
      <w:r w:rsidRPr="00D95785">
        <w:rPr>
          <w:b/>
          <w:bCs/>
        </w:rPr>
        <w:t>Free Cash Flow:</w:t>
      </w:r>
      <w:r w:rsidRPr="00D95785">
        <w:t xml:space="preserve"> The company has maintained a healthy free cash flow position, allowing it to reinvest in business growth, pay dividends, and properly manage debt.</w:t>
      </w:r>
    </w:p>
    <w:p w14:paraId="0B37D0FB" w14:textId="77777777" w:rsidR="00AB4EAB" w:rsidRDefault="00AB4EAB" w:rsidP="00AB4EAB"/>
    <w:p w14:paraId="0C33D925" w14:textId="676DC15F" w:rsidR="002D286C" w:rsidRPr="00D95785" w:rsidRDefault="002D286C" w:rsidP="00AB4EAB">
      <w:r>
        <w:rPr>
          <w:noProof/>
          <w14:ligatures w14:val="standardContextual"/>
        </w:rPr>
        <w:drawing>
          <wp:inline distT="0" distB="0" distL="0" distR="0" wp14:anchorId="78A04209" wp14:editId="15607C35">
            <wp:extent cx="5731510" cy="4297045"/>
            <wp:effectExtent l="0" t="0" r="0" b="0"/>
            <wp:docPr id="940950767" name="Picture 3"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50767" name="Picture 3" descr="A screenshot of a spreadshee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14:paraId="2BF37957" w14:textId="77777777" w:rsidR="003A7447" w:rsidRPr="00D95785" w:rsidRDefault="003A7447" w:rsidP="00AB4EAB">
      <w:pPr>
        <w:rPr>
          <w:sz w:val="28"/>
          <w:szCs w:val="28"/>
        </w:rPr>
      </w:pPr>
    </w:p>
    <w:p w14:paraId="3ED92A2E" w14:textId="77777777" w:rsidR="002D286C" w:rsidRDefault="002D286C" w:rsidP="00AB4EAB">
      <w:pPr>
        <w:rPr>
          <w:b/>
          <w:bCs/>
          <w:sz w:val="28"/>
          <w:szCs w:val="28"/>
        </w:rPr>
      </w:pPr>
    </w:p>
    <w:p w14:paraId="2B950871" w14:textId="5ED8D110" w:rsidR="003A7447" w:rsidRPr="00D95785" w:rsidRDefault="003A7447" w:rsidP="00AB4EAB">
      <w:pPr>
        <w:rPr>
          <w:b/>
          <w:bCs/>
          <w:sz w:val="28"/>
          <w:szCs w:val="28"/>
        </w:rPr>
      </w:pPr>
      <w:r w:rsidRPr="00D95785">
        <w:rPr>
          <w:b/>
          <w:bCs/>
          <w:sz w:val="28"/>
          <w:szCs w:val="28"/>
        </w:rPr>
        <w:t>Financial Ratios Analysis: Trend Insights and Interpretation</w:t>
      </w:r>
    </w:p>
    <w:p w14:paraId="179ECC60" w14:textId="77777777" w:rsidR="003A7447" w:rsidRPr="00D95785" w:rsidRDefault="003A7447" w:rsidP="00AB4EAB">
      <w:pPr>
        <w:rPr>
          <w:b/>
          <w:bCs/>
        </w:rPr>
      </w:pPr>
    </w:p>
    <w:p w14:paraId="74D02041" w14:textId="6510F53B" w:rsidR="003A7447" w:rsidRPr="00D95785" w:rsidRDefault="003A7447" w:rsidP="00AB4EAB">
      <w:r w:rsidRPr="00D95785">
        <w:t>Below is a detailed trend study of UnitedHealth Group's main financial ratios over the last decade, with a focus on profitability, leverage, and efficiency.</w:t>
      </w:r>
    </w:p>
    <w:p w14:paraId="0EE26AFE" w14:textId="77777777" w:rsidR="003A7447" w:rsidRPr="00D95785" w:rsidRDefault="003A7447" w:rsidP="00AB4EAB"/>
    <w:p w14:paraId="74EC98E6" w14:textId="75C060B1" w:rsidR="003A7447" w:rsidRPr="00D95785" w:rsidRDefault="003A7447" w:rsidP="00997DF1">
      <w:pPr>
        <w:pStyle w:val="ListParagraph"/>
        <w:numPr>
          <w:ilvl w:val="0"/>
          <w:numId w:val="12"/>
        </w:numPr>
        <w:rPr>
          <w:b/>
          <w:bCs/>
        </w:rPr>
      </w:pPr>
      <w:r w:rsidRPr="00D95785">
        <w:rPr>
          <w:b/>
          <w:bCs/>
        </w:rPr>
        <w:t>Profitability Ratios:</w:t>
      </w:r>
    </w:p>
    <w:p w14:paraId="10791BF7" w14:textId="38A7395A" w:rsidR="003A7447" w:rsidRPr="00D95785" w:rsidRDefault="003A7447" w:rsidP="000B2ED5">
      <w:pPr>
        <w:ind w:firstLine="360"/>
      </w:pPr>
      <w:r w:rsidRPr="00D95785">
        <w:t>Profitability ratios assess a company's ability to create profits in relation to its revenue,</w:t>
      </w:r>
      <w:r w:rsidR="00C51E13" w:rsidRPr="00D95785">
        <w:t xml:space="preserve"> </w:t>
      </w:r>
      <w:r w:rsidRPr="00D95785">
        <w:t>assets, and equity.</w:t>
      </w:r>
    </w:p>
    <w:p w14:paraId="65E28643" w14:textId="77777777" w:rsidR="007B1A44" w:rsidRPr="00D95785" w:rsidRDefault="007B1A44" w:rsidP="003A7447">
      <w:pPr>
        <w:ind w:left="360" w:firstLine="360"/>
      </w:pPr>
    </w:p>
    <w:p w14:paraId="5B5296C8" w14:textId="34179D8D" w:rsidR="007B1A44" w:rsidRPr="00D95785" w:rsidRDefault="007B1A44" w:rsidP="007B1A44">
      <w:pPr>
        <w:pStyle w:val="ListParagraph"/>
        <w:numPr>
          <w:ilvl w:val="0"/>
          <w:numId w:val="6"/>
        </w:numPr>
        <w:rPr>
          <w:b/>
          <w:bCs/>
        </w:rPr>
      </w:pPr>
      <w:r w:rsidRPr="00D95785">
        <w:rPr>
          <w:b/>
          <w:bCs/>
        </w:rPr>
        <w:t>Gross Margin:</w:t>
      </w:r>
    </w:p>
    <w:p w14:paraId="6E26A5A2" w14:textId="0785A8AC" w:rsidR="009A443B" w:rsidRPr="00D95785" w:rsidRDefault="009A443B" w:rsidP="009A443B">
      <w:pPr>
        <w:jc w:val="center"/>
        <w:rPr>
          <w:b/>
          <w:bCs/>
        </w:rPr>
      </w:pPr>
      <w:r w:rsidRPr="00D95785">
        <w:rPr>
          <w:noProof/>
          <w14:ligatures w14:val="standardContextual"/>
        </w:rPr>
        <w:drawing>
          <wp:inline distT="0" distB="0" distL="0" distR="0" wp14:anchorId="2DA488DB" wp14:editId="1C230025">
            <wp:extent cx="3918857" cy="706008"/>
            <wp:effectExtent l="0" t="0" r="0" b="5715"/>
            <wp:docPr id="1507683349"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3349" name="Picture 1" descr="A close-up of a word&#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001446" cy="720887"/>
                    </a:xfrm>
                    <a:prstGeom prst="rect">
                      <a:avLst/>
                    </a:prstGeom>
                  </pic:spPr>
                </pic:pic>
              </a:graphicData>
            </a:graphic>
          </wp:inline>
        </w:drawing>
      </w:r>
    </w:p>
    <w:p w14:paraId="54BC524F" w14:textId="77777777" w:rsidR="009A443B" w:rsidRPr="00D95785" w:rsidRDefault="009A443B" w:rsidP="009A443B">
      <w:pPr>
        <w:pStyle w:val="ListParagraph"/>
        <w:numPr>
          <w:ilvl w:val="0"/>
          <w:numId w:val="7"/>
        </w:numPr>
      </w:pPr>
      <w:r w:rsidRPr="00D95785">
        <w:rPr>
          <w:b/>
          <w:bCs/>
        </w:rPr>
        <w:t>Trend:</w:t>
      </w:r>
      <w:r w:rsidRPr="00D95785">
        <w:t xml:space="preserve"> UnitedHealth's gross margin has ranged between 22% and 26% over the years.</w:t>
      </w:r>
    </w:p>
    <w:p w14:paraId="57AE9091" w14:textId="77777777" w:rsidR="009A443B" w:rsidRPr="00D95785" w:rsidRDefault="009A443B" w:rsidP="009A443B">
      <w:pPr>
        <w:pStyle w:val="ListParagraph"/>
        <w:numPr>
          <w:ilvl w:val="0"/>
          <w:numId w:val="7"/>
        </w:numPr>
      </w:pPr>
      <w:r w:rsidRPr="00D95785">
        <w:rPr>
          <w:b/>
          <w:bCs/>
        </w:rPr>
        <w:t>Peak in 2020 (26%):</w:t>
      </w:r>
      <w:r w:rsidRPr="00D95785">
        <w:t xml:space="preserve"> Most likely due to increased Optum revenue, cost restrictions, and lower medical claims during the pandemic.</w:t>
      </w:r>
    </w:p>
    <w:p w14:paraId="5EECEBC8" w14:textId="77777777" w:rsidR="009A443B" w:rsidRPr="00D95785" w:rsidRDefault="009A443B" w:rsidP="009A443B">
      <w:pPr>
        <w:pStyle w:val="ListParagraph"/>
        <w:numPr>
          <w:ilvl w:val="0"/>
          <w:numId w:val="7"/>
        </w:numPr>
      </w:pPr>
      <w:r w:rsidRPr="00D95785">
        <w:rPr>
          <w:b/>
          <w:bCs/>
        </w:rPr>
        <w:lastRenderedPageBreak/>
        <w:t>Recent drop to 22% by 2024:</w:t>
      </w:r>
      <w:r w:rsidRPr="00D95785">
        <w:t xml:space="preserve"> Cost increases, inflationary pressures, and increasing service expenses are all possible outcomes.</w:t>
      </w:r>
    </w:p>
    <w:p w14:paraId="421E4115" w14:textId="77777777" w:rsidR="009A443B" w:rsidRPr="00D95785" w:rsidRDefault="009A443B" w:rsidP="009A443B">
      <w:pPr>
        <w:pStyle w:val="ListParagraph"/>
        <w:numPr>
          <w:ilvl w:val="0"/>
          <w:numId w:val="7"/>
        </w:numPr>
      </w:pPr>
      <w:r w:rsidRPr="00D95785">
        <w:rPr>
          <w:b/>
          <w:bCs/>
        </w:rPr>
        <w:t>Interpretation:</w:t>
      </w:r>
      <w:r w:rsidRPr="00D95785">
        <w:t xml:space="preserve"> Despite cost swings, the company's gross margin has remained steady, demonstrating efficient pricing and cost management.</w:t>
      </w:r>
    </w:p>
    <w:p w14:paraId="797C6437" w14:textId="77777777" w:rsidR="009A443B" w:rsidRPr="00D95785" w:rsidRDefault="009A443B" w:rsidP="009A443B">
      <w:pPr>
        <w:rPr>
          <w:b/>
          <w:bCs/>
        </w:rPr>
      </w:pPr>
    </w:p>
    <w:p w14:paraId="13F13569" w14:textId="77777777" w:rsidR="009A443B" w:rsidRPr="00D95785" w:rsidRDefault="009A443B" w:rsidP="009A443B">
      <w:pPr>
        <w:rPr>
          <w:b/>
          <w:bCs/>
        </w:rPr>
      </w:pPr>
    </w:p>
    <w:p w14:paraId="3072632D" w14:textId="26E96E0B" w:rsidR="007B1A44" w:rsidRPr="00D95785" w:rsidRDefault="007B1A44" w:rsidP="009A443B">
      <w:pPr>
        <w:pStyle w:val="ListParagraph"/>
        <w:numPr>
          <w:ilvl w:val="0"/>
          <w:numId w:val="6"/>
        </w:numPr>
        <w:rPr>
          <w:b/>
          <w:bCs/>
        </w:rPr>
      </w:pPr>
      <w:r w:rsidRPr="00D95785">
        <w:rPr>
          <w:b/>
          <w:bCs/>
        </w:rPr>
        <w:t>Net profit margin (%)</w:t>
      </w:r>
      <w:r w:rsidR="006B2F95" w:rsidRPr="00D95785">
        <w:rPr>
          <w:b/>
          <w:bCs/>
        </w:rPr>
        <w:t>:</w:t>
      </w:r>
      <w:r w:rsidRPr="00D95785">
        <w:br/>
      </w:r>
      <w:r w:rsidRPr="00D95785">
        <w:br/>
      </w:r>
      <w:r w:rsidRPr="00D95785">
        <w:rPr>
          <w:noProof/>
          <w14:ligatures w14:val="standardContextual"/>
        </w:rPr>
        <w:drawing>
          <wp:inline distT="0" distB="0" distL="0" distR="0" wp14:anchorId="6B265C63" wp14:editId="538361EC">
            <wp:extent cx="3936274" cy="618847"/>
            <wp:effectExtent l="0" t="0" r="1270" b="3810"/>
            <wp:docPr id="784183660" name="Picture 2"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83660" name="Picture 2" descr="A black text with black letter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017693" cy="631647"/>
                    </a:xfrm>
                    <a:prstGeom prst="rect">
                      <a:avLst/>
                    </a:prstGeom>
                  </pic:spPr>
                </pic:pic>
              </a:graphicData>
            </a:graphic>
          </wp:inline>
        </w:drawing>
      </w:r>
    </w:p>
    <w:p w14:paraId="2F5384EC" w14:textId="77777777" w:rsidR="007B1A44" w:rsidRPr="00D95785" w:rsidRDefault="007B1A44" w:rsidP="007B1A44">
      <w:pPr>
        <w:pStyle w:val="ListParagraph"/>
      </w:pPr>
    </w:p>
    <w:p w14:paraId="1FB05CC3" w14:textId="6C3D3336" w:rsidR="007B1A44" w:rsidRPr="00D95785" w:rsidRDefault="007B1A44" w:rsidP="007B1A44">
      <w:pPr>
        <w:pStyle w:val="ListParagraph"/>
        <w:numPr>
          <w:ilvl w:val="0"/>
          <w:numId w:val="7"/>
        </w:numPr>
      </w:pPr>
      <w:r w:rsidRPr="00D95785">
        <w:t xml:space="preserve">The net profit margin is calculated by multiplying net income </w:t>
      </w:r>
      <w:r w:rsidR="00302505" w:rsidRPr="00D95785">
        <w:t xml:space="preserve">and revenue </w:t>
      </w:r>
      <w:r w:rsidRPr="00D95785">
        <w:t>by 100.</w:t>
      </w:r>
    </w:p>
    <w:p w14:paraId="157882EA" w14:textId="77777777" w:rsidR="007B1A44" w:rsidRPr="00D95785" w:rsidRDefault="007B1A44" w:rsidP="007B1A44">
      <w:pPr>
        <w:pStyle w:val="ListParagraph"/>
        <w:numPr>
          <w:ilvl w:val="0"/>
          <w:numId w:val="7"/>
        </w:numPr>
      </w:pPr>
      <w:r w:rsidRPr="00D95785">
        <w:t>A steady growth from 4% (2015) to 6% (2021-2023) before falling to 4% in 2024.</w:t>
      </w:r>
    </w:p>
    <w:p w14:paraId="3048780F" w14:textId="77777777" w:rsidR="007B1A44" w:rsidRPr="00D95785" w:rsidRDefault="007B1A44" w:rsidP="007B1A44">
      <w:pPr>
        <w:pStyle w:val="ListParagraph"/>
        <w:numPr>
          <w:ilvl w:val="0"/>
          <w:numId w:val="7"/>
        </w:numPr>
      </w:pPr>
      <w:r w:rsidRPr="00D95785">
        <w:rPr>
          <w:b/>
          <w:bCs/>
        </w:rPr>
        <w:t>Growth from 2015 to 2023:</w:t>
      </w:r>
      <w:r w:rsidRPr="00D95785">
        <w:t xml:space="preserve"> Due to excellent operational performance, acquisitions, and cost savings.</w:t>
      </w:r>
    </w:p>
    <w:p w14:paraId="2959ADA5" w14:textId="11D9C336" w:rsidR="007B1A44" w:rsidRPr="00D95785" w:rsidRDefault="007B1A44" w:rsidP="007B1A44">
      <w:pPr>
        <w:pStyle w:val="ListParagraph"/>
        <w:numPr>
          <w:ilvl w:val="0"/>
          <w:numId w:val="7"/>
        </w:numPr>
      </w:pPr>
      <w:r w:rsidRPr="00D95785">
        <w:rPr>
          <w:b/>
          <w:bCs/>
        </w:rPr>
        <w:t>2024 Decline:</w:t>
      </w:r>
      <w:r w:rsidRPr="00D95785">
        <w:t xml:space="preserve"> Higher medical bills, increasing labour costs, or regulatory restrictions could all contribute to the 2024 drop.</w:t>
      </w:r>
    </w:p>
    <w:p w14:paraId="10A66220" w14:textId="4E271F16" w:rsidR="007B1A44" w:rsidRPr="00D95785" w:rsidRDefault="007B1A44" w:rsidP="007B1A44">
      <w:pPr>
        <w:pStyle w:val="ListParagraph"/>
        <w:numPr>
          <w:ilvl w:val="0"/>
          <w:numId w:val="7"/>
        </w:numPr>
      </w:pPr>
      <w:r w:rsidRPr="00D95785">
        <w:rPr>
          <w:b/>
          <w:bCs/>
        </w:rPr>
        <w:t>Interpretation:</w:t>
      </w:r>
      <w:r w:rsidRPr="00D95785">
        <w:t xml:space="preserve"> UnitedHealth has successfully increased its profitability but cost issues in 2024 require attention.</w:t>
      </w:r>
    </w:p>
    <w:p w14:paraId="11D429A4" w14:textId="77777777" w:rsidR="007B1A44" w:rsidRPr="00D95785" w:rsidRDefault="007B1A44" w:rsidP="007B1A44">
      <w:pPr>
        <w:pStyle w:val="ListParagraph"/>
        <w:ind w:left="1080"/>
      </w:pPr>
    </w:p>
    <w:p w14:paraId="1BA16E1D" w14:textId="470E55D1" w:rsidR="007B1A44" w:rsidRPr="00D95785" w:rsidRDefault="007B1A44" w:rsidP="007B1A44">
      <w:pPr>
        <w:pStyle w:val="ListParagraph"/>
        <w:numPr>
          <w:ilvl w:val="0"/>
          <w:numId w:val="6"/>
        </w:numPr>
        <w:rPr>
          <w:b/>
          <w:bCs/>
        </w:rPr>
      </w:pPr>
      <w:r w:rsidRPr="00D95785">
        <w:rPr>
          <w:b/>
          <w:bCs/>
        </w:rPr>
        <w:t>Return on Asset (ROA) (%)</w:t>
      </w:r>
      <w:r w:rsidR="004D0051" w:rsidRPr="00D95785">
        <w:rPr>
          <w:b/>
          <w:bCs/>
        </w:rPr>
        <w:t>:</w:t>
      </w:r>
    </w:p>
    <w:p w14:paraId="0CC5AA23" w14:textId="77777777" w:rsidR="00267B9D" w:rsidRPr="00D95785" w:rsidRDefault="00267B9D" w:rsidP="00267B9D">
      <w:pPr>
        <w:rPr>
          <w:b/>
          <w:bCs/>
        </w:rPr>
      </w:pPr>
    </w:p>
    <w:p w14:paraId="3477CC85" w14:textId="09CB5216" w:rsidR="007B1A44" w:rsidRPr="00D95785" w:rsidRDefault="00997DF1" w:rsidP="00267B9D">
      <w:pPr>
        <w:jc w:val="center"/>
      </w:pPr>
      <w:r w:rsidRPr="00D95785">
        <w:rPr>
          <w:noProof/>
          <w14:ligatures w14:val="standardContextual"/>
        </w:rPr>
        <w:drawing>
          <wp:inline distT="0" distB="0" distL="0" distR="0" wp14:anchorId="49A88D54" wp14:editId="7C2E8EBE">
            <wp:extent cx="2760617" cy="614554"/>
            <wp:effectExtent l="0" t="0" r="0" b="0"/>
            <wp:docPr id="1864125996" name="Picture 4"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25996" name="Picture 4" descr="A close-up of a sig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843623" cy="633032"/>
                    </a:xfrm>
                    <a:prstGeom prst="rect">
                      <a:avLst/>
                    </a:prstGeom>
                  </pic:spPr>
                </pic:pic>
              </a:graphicData>
            </a:graphic>
          </wp:inline>
        </w:drawing>
      </w:r>
    </w:p>
    <w:p w14:paraId="49EA52C8" w14:textId="77777777" w:rsidR="00267B9D" w:rsidRPr="00D95785" w:rsidRDefault="00267B9D" w:rsidP="00267B9D">
      <w:pPr>
        <w:jc w:val="center"/>
      </w:pPr>
    </w:p>
    <w:p w14:paraId="45B82CC7" w14:textId="77777777" w:rsidR="007B1A44" w:rsidRPr="00D95785" w:rsidRDefault="007B1A44" w:rsidP="007B1A44">
      <w:pPr>
        <w:pStyle w:val="ListParagraph"/>
        <w:numPr>
          <w:ilvl w:val="0"/>
          <w:numId w:val="9"/>
        </w:numPr>
      </w:pPr>
      <w:r w:rsidRPr="00D95785">
        <w:t>Consistently high at 9-10% (2017-2023), decreasing to 6% in 2024.</w:t>
      </w:r>
    </w:p>
    <w:p w14:paraId="1DC9330D" w14:textId="77777777" w:rsidR="007B1A44" w:rsidRPr="00D95785" w:rsidRDefault="007B1A44" w:rsidP="007B1A44">
      <w:pPr>
        <w:pStyle w:val="ListParagraph"/>
        <w:numPr>
          <w:ilvl w:val="0"/>
          <w:numId w:val="9"/>
        </w:numPr>
      </w:pPr>
      <w:r w:rsidRPr="00D95785">
        <w:t>Indicates strong asset efficiency, implying that UnitedHealth effectively generates money from its assets.</w:t>
      </w:r>
    </w:p>
    <w:p w14:paraId="2FB692A4" w14:textId="77777777" w:rsidR="007B1A44" w:rsidRPr="00D95785" w:rsidRDefault="007B1A44" w:rsidP="007B1A44">
      <w:pPr>
        <w:pStyle w:val="ListParagraph"/>
        <w:numPr>
          <w:ilvl w:val="0"/>
          <w:numId w:val="9"/>
        </w:numPr>
      </w:pPr>
      <w:r w:rsidRPr="00D95785">
        <w:rPr>
          <w:b/>
          <w:bCs/>
        </w:rPr>
        <w:t>2024 decline:</w:t>
      </w:r>
      <w:r w:rsidRPr="00D95785">
        <w:t xml:space="preserve"> Possible reasons include an enlarged asset base from acquisitions or higher operational costs.</w:t>
      </w:r>
    </w:p>
    <w:p w14:paraId="423A23EC" w14:textId="17B9030C" w:rsidR="007B1A44" w:rsidRPr="00D95785" w:rsidRDefault="007B1A44" w:rsidP="007B1A44">
      <w:pPr>
        <w:pStyle w:val="ListParagraph"/>
        <w:numPr>
          <w:ilvl w:val="0"/>
          <w:numId w:val="9"/>
        </w:numPr>
      </w:pPr>
      <w:r w:rsidRPr="00D95785">
        <w:rPr>
          <w:b/>
          <w:bCs/>
        </w:rPr>
        <w:t>Interpretation:</w:t>
      </w:r>
      <w:r w:rsidRPr="00D95785">
        <w:t xml:space="preserve"> The corporation has generally been efficient in asset utilization, but it must monitor cost increases in 2024.</w:t>
      </w:r>
    </w:p>
    <w:p w14:paraId="02BBB2B9" w14:textId="77777777" w:rsidR="00997DF1" w:rsidRPr="00D95785" w:rsidRDefault="00997DF1" w:rsidP="00AB4EAB"/>
    <w:p w14:paraId="28F337F7" w14:textId="5039E701" w:rsidR="00997DF1" w:rsidRPr="00D95785" w:rsidRDefault="00997DF1" w:rsidP="00997DF1">
      <w:pPr>
        <w:pStyle w:val="ListParagraph"/>
        <w:numPr>
          <w:ilvl w:val="0"/>
          <w:numId w:val="6"/>
        </w:numPr>
        <w:rPr>
          <w:b/>
          <w:bCs/>
        </w:rPr>
      </w:pPr>
      <w:r w:rsidRPr="00D95785">
        <w:rPr>
          <w:b/>
          <w:bCs/>
        </w:rPr>
        <w:t>Return On Equity (ROE) (%)</w:t>
      </w:r>
      <w:r w:rsidR="00023EB8" w:rsidRPr="00D95785">
        <w:rPr>
          <w:b/>
          <w:bCs/>
        </w:rPr>
        <w:t>:</w:t>
      </w:r>
    </w:p>
    <w:p w14:paraId="54E12539" w14:textId="77777777" w:rsidR="00853019" w:rsidRPr="00D95785" w:rsidRDefault="00853019" w:rsidP="00853019">
      <w:pPr>
        <w:rPr>
          <w:b/>
          <w:bCs/>
        </w:rPr>
      </w:pPr>
    </w:p>
    <w:p w14:paraId="16EE4E84" w14:textId="1C80E694" w:rsidR="00997DF1" w:rsidRPr="00D95785" w:rsidRDefault="00997DF1" w:rsidP="00023EB8">
      <w:pPr>
        <w:jc w:val="center"/>
      </w:pPr>
      <w:r w:rsidRPr="00D95785">
        <w:rPr>
          <w:noProof/>
          <w14:ligatures w14:val="standardContextual"/>
        </w:rPr>
        <w:drawing>
          <wp:inline distT="0" distB="0" distL="0" distR="0" wp14:anchorId="181A6C19" wp14:editId="07758061">
            <wp:extent cx="3065417" cy="664023"/>
            <wp:effectExtent l="0" t="0" r="0" b="0"/>
            <wp:docPr id="554052413" name="Picture 5"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52413" name="Picture 5" descr="A close-up of a sig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205205" cy="694303"/>
                    </a:xfrm>
                    <a:prstGeom prst="rect">
                      <a:avLst/>
                    </a:prstGeom>
                  </pic:spPr>
                </pic:pic>
              </a:graphicData>
            </a:graphic>
          </wp:inline>
        </w:drawing>
      </w:r>
    </w:p>
    <w:p w14:paraId="08F4A125" w14:textId="77777777" w:rsidR="00122306" w:rsidRPr="00D95785" w:rsidRDefault="00122306" w:rsidP="00023EB8">
      <w:pPr>
        <w:jc w:val="center"/>
      </w:pPr>
    </w:p>
    <w:p w14:paraId="71D6FB55" w14:textId="77777777" w:rsidR="00997DF1" w:rsidRPr="00D95785" w:rsidRDefault="00997DF1" w:rsidP="00997DF1">
      <w:pPr>
        <w:pStyle w:val="ListParagraph"/>
        <w:numPr>
          <w:ilvl w:val="0"/>
          <w:numId w:val="10"/>
        </w:numPr>
      </w:pPr>
      <w:r w:rsidRPr="00D95785">
        <w:t>Increased from 18% (2015) to 28% (2023), then fell to 16% in 2024.</w:t>
      </w:r>
    </w:p>
    <w:p w14:paraId="5F0C47F2" w14:textId="77777777" w:rsidR="00997DF1" w:rsidRPr="00D95785" w:rsidRDefault="00997DF1" w:rsidP="00997DF1">
      <w:pPr>
        <w:pStyle w:val="ListParagraph"/>
        <w:numPr>
          <w:ilvl w:val="0"/>
          <w:numId w:val="10"/>
        </w:numPr>
      </w:pPr>
      <w:r w:rsidRPr="00D95785">
        <w:rPr>
          <w:b/>
          <w:bCs/>
        </w:rPr>
        <w:t>High ROE from 2017 to 2023</w:t>
      </w:r>
      <w:r w:rsidRPr="00D95785">
        <w:t>: Suggests high earnings growth and efficient capital utilization.</w:t>
      </w:r>
    </w:p>
    <w:p w14:paraId="101F835E" w14:textId="77777777" w:rsidR="00997DF1" w:rsidRPr="00D95785" w:rsidRDefault="00997DF1" w:rsidP="00997DF1">
      <w:pPr>
        <w:pStyle w:val="ListParagraph"/>
        <w:numPr>
          <w:ilvl w:val="0"/>
          <w:numId w:val="10"/>
        </w:numPr>
      </w:pPr>
      <w:r w:rsidRPr="00D95785">
        <w:rPr>
          <w:b/>
          <w:bCs/>
        </w:rPr>
        <w:t>2024 drop:</w:t>
      </w:r>
      <w:r w:rsidRPr="00D95785">
        <w:t xml:space="preserve"> The decline in 2024 is most likely due to lower net income or a bigger equity base from retained earnings and stock issuance.</w:t>
      </w:r>
    </w:p>
    <w:p w14:paraId="39187561" w14:textId="2E65BD64" w:rsidR="00997DF1" w:rsidRDefault="00997DF1" w:rsidP="00997DF1">
      <w:pPr>
        <w:pStyle w:val="ListParagraph"/>
        <w:numPr>
          <w:ilvl w:val="0"/>
          <w:numId w:val="10"/>
        </w:numPr>
      </w:pPr>
      <w:r w:rsidRPr="00D95785">
        <w:rPr>
          <w:b/>
          <w:bCs/>
        </w:rPr>
        <w:lastRenderedPageBreak/>
        <w:t>Interpretation:</w:t>
      </w:r>
      <w:r w:rsidRPr="00D95785">
        <w:t xml:space="preserve"> The corporation has been quite efficient at delivering shareholder profits, but the current downturn necessitates additional investigation.</w:t>
      </w:r>
    </w:p>
    <w:p w14:paraId="29205808" w14:textId="77777777" w:rsidR="00BC11B9" w:rsidRDefault="00BC11B9" w:rsidP="00BC11B9"/>
    <w:p w14:paraId="1574BE07" w14:textId="551006E2" w:rsidR="005755FD" w:rsidRDefault="00BC11B9" w:rsidP="00BC11B9">
      <w:r>
        <w:rPr>
          <w:noProof/>
          <w14:ligatures w14:val="standardContextual"/>
        </w:rPr>
        <w:drawing>
          <wp:inline distT="0" distB="0" distL="0" distR="0" wp14:anchorId="4E5EC6BC" wp14:editId="7C890001">
            <wp:extent cx="5731510" cy="991235"/>
            <wp:effectExtent l="0" t="0" r="0" b="0"/>
            <wp:docPr id="1064627184" name="Picture 4"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27184" name="Picture 4" descr="A table with numbers and percentag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991235"/>
                    </a:xfrm>
                    <a:prstGeom prst="rect">
                      <a:avLst/>
                    </a:prstGeom>
                  </pic:spPr>
                </pic:pic>
              </a:graphicData>
            </a:graphic>
          </wp:inline>
        </w:drawing>
      </w:r>
    </w:p>
    <w:p w14:paraId="4B04C9A2" w14:textId="77777777" w:rsidR="00CE4374" w:rsidRDefault="00CE4374" w:rsidP="00EC0978">
      <w:pPr>
        <w:jc w:val="center"/>
      </w:pPr>
    </w:p>
    <w:p w14:paraId="627C1299" w14:textId="4CE260EE" w:rsidR="00CE4374" w:rsidRDefault="00CE4374" w:rsidP="00EC0978">
      <w:pPr>
        <w:jc w:val="center"/>
      </w:pPr>
      <w:r>
        <w:rPr>
          <w:noProof/>
          <w14:ligatures w14:val="standardContextual"/>
        </w:rPr>
        <w:drawing>
          <wp:inline distT="0" distB="0" distL="0" distR="0" wp14:anchorId="23AD7323" wp14:editId="3961CD54">
            <wp:extent cx="3603125" cy="2324911"/>
            <wp:effectExtent l="0" t="0" r="16510" b="12065"/>
            <wp:docPr id="334434675" name="Chart 1">
              <a:extLst xmlns:a="http://schemas.openxmlformats.org/drawingml/2006/main">
                <a:ext uri="{FF2B5EF4-FFF2-40B4-BE49-F238E27FC236}">
                  <a16:creationId xmlns:a16="http://schemas.microsoft.com/office/drawing/2014/main" id="{018E5FFD-C05D-5043-8B90-FDF0ED0F13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E49EC82" w14:textId="77777777" w:rsidR="00CE4374" w:rsidRDefault="00CE4374" w:rsidP="00EC0978">
      <w:pPr>
        <w:jc w:val="center"/>
      </w:pPr>
    </w:p>
    <w:p w14:paraId="4575943D" w14:textId="11B832A8" w:rsidR="005755FD" w:rsidRPr="00D95785" w:rsidRDefault="005755FD" w:rsidP="00EC0978">
      <w:pPr>
        <w:jc w:val="center"/>
      </w:pPr>
      <w:r>
        <w:rPr>
          <w:noProof/>
          <w14:ligatures w14:val="standardContextual"/>
        </w:rPr>
        <w:drawing>
          <wp:inline distT="0" distB="0" distL="0" distR="0" wp14:anchorId="24863B92" wp14:editId="3AF46D17">
            <wp:extent cx="3622580" cy="2139315"/>
            <wp:effectExtent l="0" t="0" r="10160" b="6985"/>
            <wp:docPr id="1167827296" name="Chart 2">
              <a:extLst xmlns:a="http://schemas.openxmlformats.org/drawingml/2006/main">
                <a:ext uri="{FF2B5EF4-FFF2-40B4-BE49-F238E27FC236}">
                  <a16:creationId xmlns:a16="http://schemas.microsoft.com/office/drawing/2014/main" id="{5BC6BFE4-6AC3-DEEA-D307-EFFB198C8C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224C8C1" w14:textId="77777777" w:rsidR="00997DF1" w:rsidRPr="00D95785" w:rsidRDefault="00997DF1" w:rsidP="00997DF1"/>
    <w:p w14:paraId="1CADEBA4" w14:textId="7957C26D" w:rsidR="00CA6D63" w:rsidRPr="00D95785" w:rsidRDefault="00997DF1" w:rsidP="005B4CDB">
      <w:pPr>
        <w:pStyle w:val="ListParagraph"/>
        <w:numPr>
          <w:ilvl w:val="0"/>
          <w:numId w:val="12"/>
        </w:numPr>
        <w:rPr>
          <w:b/>
          <w:bCs/>
        </w:rPr>
      </w:pPr>
      <w:r w:rsidRPr="00D95785">
        <w:rPr>
          <w:b/>
          <w:bCs/>
        </w:rPr>
        <w:t>Efficiency &amp; Leverage Ratios</w:t>
      </w:r>
      <w:r w:rsidR="005B4CDB" w:rsidRPr="00D95785">
        <w:rPr>
          <w:b/>
          <w:bCs/>
        </w:rPr>
        <w:t>:</w:t>
      </w:r>
    </w:p>
    <w:p w14:paraId="28461532" w14:textId="5735C047" w:rsidR="00997DF1" w:rsidRPr="00D95785" w:rsidRDefault="00997DF1" w:rsidP="005917DA">
      <w:pPr>
        <w:ind w:left="360"/>
      </w:pPr>
      <w:r w:rsidRPr="00D95785">
        <w:t>Efficiency ratios assess how successfully a company uses its resources, whereas leverage ratios evaluate a company's financial risk.</w:t>
      </w:r>
    </w:p>
    <w:p w14:paraId="10939E3B" w14:textId="77777777" w:rsidR="00CA6D63" w:rsidRPr="00D95785" w:rsidRDefault="00CA6D63" w:rsidP="00997DF1"/>
    <w:p w14:paraId="37918EE3" w14:textId="69F69715" w:rsidR="00CA6D63" w:rsidRPr="006446B7" w:rsidRDefault="00CA6D63" w:rsidP="00CA6D63">
      <w:pPr>
        <w:pStyle w:val="ListParagraph"/>
        <w:numPr>
          <w:ilvl w:val="0"/>
          <w:numId w:val="13"/>
        </w:numPr>
        <w:rPr>
          <w:b/>
          <w:bCs/>
        </w:rPr>
      </w:pPr>
      <w:r w:rsidRPr="00D95785">
        <w:rPr>
          <w:b/>
          <w:bCs/>
        </w:rPr>
        <w:t>Debt-to-Equity Ratio:</w:t>
      </w:r>
    </w:p>
    <w:p w14:paraId="2BF29412" w14:textId="11E9A240" w:rsidR="00CA6D63" w:rsidRPr="00D95785" w:rsidRDefault="005D122E" w:rsidP="005D122E">
      <w:pPr>
        <w:ind w:firstLine="360"/>
        <w:jc w:val="center"/>
      </w:pPr>
      <w:r w:rsidRPr="00D95785">
        <w:rPr>
          <w:noProof/>
          <w14:ligatures w14:val="standardContextual"/>
        </w:rPr>
        <w:drawing>
          <wp:inline distT="0" distB="0" distL="0" distR="0" wp14:anchorId="4B0237C2" wp14:editId="5439BD22">
            <wp:extent cx="4206240" cy="739424"/>
            <wp:effectExtent l="0" t="0" r="0" b="0"/>
            <wp:docPr id="1933728994" name="Picture 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28994" name="Picture 6" descr="A black text on a white backgroun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05959" cy="756954"/>
                    </a:xfrm>
                    <a:prstGeom prst="rect">
                      <a:avLst/>
                    </a:prstGeom>
                  </pic:spPr>
                </pic:pic>
              </a:graphicData>
            </a:graphic>
          </wp:inline>
        </w:drawing>
      </w:r>
    </w:p>
    <w:p w14:paraId="61D8BAFF" w14:textId="77777777" w:rsidR="00CA6D63" w:rsidRPr="00D95785" w:rsidRDefault="00CA6D63" w:rsidP="00CA6D63">
      <w:pPr>
        <w:pStyle w:val="ListParagraph"/>
        <w:numPr>
          <w:ilvl w:val="0"/>
          <w:numId w:val="14"/>
        </w:numPr>
      </w:pPr>
      <w:r w:rsidRPr="00D95785">
        <w:t>Fluctuated between 1.66 (2015) and 2.30 (2016), currently at 1.90 in 2024.</w:t>
      </w:r>
    </w:p>
    <w:p w14:paraId="2A427E78" w14:textId="25845C61" w:rsidR="00CA6D63" w:rsidRPr="00D95785" w:rsidRDefault="00CA6D63" w:rsidP="00CA6D63">
      <w:pPr>
        <w:pStyle w:val="ListParagraph"/>
        <w:numPr>
          <w:ilvl w:val="0"/>
          <w:numId w:val="14"/>
        </w:numPr>
        <w:rPr>
          <w:color w:val="172B4D"/>
          <w:shd w:val="clear" w:color="auto" w:fill="FFFFFF"/>
        </w:rPr>
      </w:pPr>
      <w:r w:rsidRPr="00D95785">
        <w:rPr>
          <w:color w:val="172B4D"/>
        </w:rPr>
        <w:t xml:space="preserve">Higher leverage in 2016-2021: Suggests </w:t>
      </w:r>
      <w:r w:rsidRPr="00D95785">
        <w:rPr>
          <w:color w:val="172B4D"/>
          <w:shd w:val="clear" w:color="auto" w:fill="FFFFFF"/>
        </w:rPr>
        <w:t>UnitedHealth relied more on debt financing for expansions and acquisitions.</w:t>
      </w:r>
    </w:p>
    <w:p w14:paraId="5FEFCD4C" w14:textId="77777777" w:rsidR="00CA6D63" w:rsidRPr="00D95785" w:rsidRDefault="00CA6D63" w:rsidP="00CA6D63">
      <w:pPr>
        <w:pStyle w:val="ListParagraph"/>
        <w:numPr>
          <w:ilvl w:val="0"/>
          <w:numId w:val="14"/>
        </w:numPr>
      </w:pPr>
      <w:r w:rsidRPr="00D95785">
        <w:lastRenderedPageBreak/>
        <w:t>2018's lower debt-to-equity ratio (1.79), which suggests potential attempts to lower financial risk.</w:t>
      </w:r>
    </w:p>
    <w:p w14:paraId="4C243FC8" w14:textId="77777777" w:rsidR="00CA6D63" w:rsidRPr="00D95785" w:rsidRDefault="00CA6D63" w:rsidP="00CA6D63">
      <w:pPr>
        <w:pStyle w:val="ListParagraph"/>
        <w:numPr>
          <w:ilvl w:val="0"/>
          <w:numId w:val="14"/>
        </w:numPr>
      </w:pPr>
      <w:r w:rsidRPr="00D95785">
        <w:t>The 2024 level (1.90) is still moderate and shows a fair distribution of debt and equity funding.</w:t>
      </w:r>
    </w:p>
    <w:p w14:paraId="2C260CE1" w14:textId="2DA5C932" w:rsidR="00CA6D63" w:rsidRPr="00D95785" w:rsidRDefault="00CA6D63" w:rsidP="00CA6D63">
      <w:pPr>
        <w:pStyle w:val="ListParagraph"/>
        <w:numPr>
          <w:ilvl w:val="0"/>
          <w:numId w:val="14"/>
        </w:numPr>
      </w:pPr>
      <w:r w:rsidRPr="00D95785">
        <w:rPr>
          <w:b/>
          <w:bCs/>
        </w:rPr>
        <w:t>Interpretation:</w:t>
      </w:r>
      <w:r w:rsidRPr="00D95785">
        <w:t xml:space="preserve"> UnitedHealth has successfully handled debt, guaranteeing financial adaptability while financing expansion.</w:t>
      </w:r>
    </w:p>
    <w:p w14:paraId="2EF9AB17" w14:textId="77777777" w:rsidR="00997DF1" w:rsidRPr="00D95785" w:rsidRDefault="00997DF1" w:rsidP="00997DF1">
      <w:pPr>
        <w:ind w:left="360"/>
      </w:pPr>
    </w:p>
    <w:p w14:paraId="0B7CCC2B" w14:textId="77777777" w:rsidR="00CA6D63" w:rsidRPr="00D95785" w:rsidRDefault="00CA6D63" w:rsidP="00CA6D63">
      <w:pPr>
        <w:pStyle w:val="ListParagraph"/>
        <w:numPr>
          <w:ilvl w:val="0"/>
          <w:numId w:val="13"/>
        </w:numPr>
        <w:rPr>
          <w:b/>
          <w:bCs/>
        </w:rPr>
      </w:pPr>
      <w:r w:rsidRPr="00D95785">
        <w:rPr>
          <w:b/>
          <w:bCs/>
        </w:rPr>
        <w:t>Asset Turnover Ratio:</w:t>
      </w:r>
    </w:p>
    <w:p w14:paraId="6B3AA72A" w14:textId="4E7630AB" w:rsidR="00CA6D63" w:rsidRPr="00D95785" w:rsidRDefault="005D122E" w:rsidP="00BB0E32">
      <w:pPr>
        <w:ind w:left="360"/>
        <w:jc w:val="center"/>
      </w:pPr>
      <w:r w:rsidRPr="00D95785">
        <w:rPr>
          <w:noProof/>
          <w14:ligatures w14:val="standardContextual"/>
        </w:rPr>
        <w:drawing>
          <wp:inline distT="0" distB="0" distL="0" distR="0" wp14:anchorId="36E80E5D" wp14:editId="72E576EF">
            <wp:extent cx="3413760" cy="678512"/>
            <wp:effectExtent l="0" t="0" r="2540" b="0"/>
            <wp:docPr id="1255030640" name="Picture 7"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30640" name="Picture 7" descr="A black text with black lette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525966" cy="700814"/>
                    </a:xfrm>
                    <a:prstGeom prst="rect">
                      <a:avLst/>
                    </a:prstGeom>
                  </pic:spPr>
                </pic:pic>
              </a:graphicData>
            </a:graphic>
          </wp:inline>
        </w:drawing>
      </w:r>
    </w:p>
    <w:p w14:paraId="630B7C19" w14:textId="77777777" w:rsidR="00CA6D63" w:rsidRPr="00D95785" w:rsidRDefault="00CA6D63" w:rsidP="00CA6D63">
      <w:pPr>
        <w:pStyle w:val="ListParagraph"/>
        <w:numPr>
          <w:ilvl w:val="0"/>
          <w:numId w:val="15"/>
        </w:numPr>
      </w:pPr>
      <w:r w:rsidRPr="00D95785">
        <w:t>Declined from 1.82 (2015) to 1.46 (2024), showing a gradual reduction in asset efficiency.</w:t>
      </w:r>
    </w:p>
    <w:p w14:paraId="31A5A105" w14:textId="77777777" w:rsidR="00CA6D63" w:rsidRPr="00D95785" w:rsidRDefault="00CA6D63" w:rsidP="00CA6D63">
      <w:pPr>
        <w:pStyle w:val="ListParagraph"/>
        <w:numPr>
          <w:ilvl w:val="0"/>
          <w:numId w:val="15"/>
        </w:numPr>
      </w:pPr>
      <w:r w:rsidRPr="00D95785">
        <w:t>Potential causes of the decline:</w:t>
      </w:r>
    </w:p>
    <w:p w14:paraId="3A1F1A8D" w14:textId="77777777" w:rsidR="00CA6D63" w:rsidRPr="00D95785" w:rsidRDefault="00CA6D63" w:rsidP="00CA6D63">
      <w:pPr>
        <w:pStyle w:val="ListParagraph"/>
        <w:numPr>
          <w:ilvl w:val="1"/>
          <w:numId w:val="15"/>
        </w:numPr>
      </w:pPr>
      <w:r w:rsidRPr="00D95785">
        <w:t>increased expenditures on healthcare infrastructure, acquisitions, and technology.</w:t>
      </w:r>
    </w:p>
    <w:p w14:paraId="564A75FA" w14:textId="77777777" w:rsidR="00CA6D63" w:rsidRPr="00D95785" w:rsidRDefault="00CA6D63" w:rsidP="00CA6D63">
      <w:pPr>
        <w:pStyle w:val="ListParagraph"/>
        <w:numPr>
          <w:ilvl w:val="1"/>
          <w:numId w:val="15"/>
        </w:numPr>
      </w:pPr>
      <w:r w:rsidRPr="00D95785">
        <w:t>Growth of revenue is slower than that of assets.</w:t>
      </w:r>
    </w:p>
    <w:p w14:paraId="38B1389D" w14:textId="0A54FF27" w:rsidR="005D122E" w:rsidRPr="00D95785" w:rsidRDefault="00CA6D63" w:rsidP="007F05EB">
      <w:pPr>
        <w:pStyle w:val="ListParagraph"/>
        <w:numPr>
          <w:ilvl w:val="0"/>
          <w:numId w:val="16"/>
        </w:numPr>
      </w:pPr>
      <w:r w:rsidRPr="00D95785">
        <w:t>Interpretation: UnitedHealth must increase the effectiveness of its income generation from its growing asset base.</w:t>
      </w:r>
      <w:r w:rsidR="00AB4EAB" w:rsidRPr="00D95785">
        <w:br/>
      </w:r>
    </w:p>
    <w:p w14:paraId="0097EA3D" w14:textId="79CADF80" w:rsidR="005D122E" w:rsidRPr="00D95785" w:rsidRDefault="005D122E" w:rsidP="005D122E">
      <w:pPr>
        <w:pStyle w:val="ListParagraph"/>
        <w:numPr>
          <w:ilvl w:val="0"/>
          <w:numId w:val="13"/>
        </w:numPr>
        <w:rPr>
          <w:b/>
          <w:bCs/>
        </w:rPr>
      </w:pPr>
      <w:r w:rsidRPr="00D95785">
        <w:rPr>
          <w:b/>
          <w:bCs/>
        </w:rPr>
        <w:t>Receivables Turnover Ratio:</w:t>
      </w:r>
    </w:p>
    <w:p w14:paraId="042E3CDA" w14:textId="5E6B335F" w:rsidR="005D122E" w:rsidRPr="00D95785" w:rsidRDefault="005D122E" w:rsidP="005D122E">
      <w:pPr>
        <w:jc w:val="center"/>
      </w:pPr>
      <w:r w:rsidRPr="00D95785">
        <w:rPr>
          <w:noProof/>
          <w14:ligatures w14:val="standardContextual"/>
        </w:rPr>
        <w:drawing>
          <wp:inline distT="0" distB="0" distL="0" distR="0" wp14:anchorId="519EBC4C" wp14:editId="704CCBF1">
            <wp:extent cx="4807131" cy="713387"/>
            <wp:effectExtent l="0" t="0" r="0" b="0"/>
            <wp:docPr id="1776949097" name="Picture 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9097" name="Picture 8" descr="A black text on a white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879544" cy="724133"/>
                    </a:xfrm>
                    <a:prstGeom prst="rect">
                      <a:avLst/>
                    </a:prstGeom>
                  </pic:spPr>
                </pic:pic>
              </a:graphicData>
            </a:graphic>
          </wp:inline>
        </w:drawing>
      </w:r>
    </w:p>
    <w:p w14:paraId="6529A954" w14:textId="77777777" w:rsidR="005D122E" w:rsidRPr="00D95785" w:rsidRDefault="005D122E" w:rsidP="00CA6D63">
      <w:pPr>
        <w:ind w:left="360"/>
      </w:pPr>
    </w:p>
    <w:p w14:paraId="5A4ACABC" w14:textId="77777777" w:rsidR="005D122E" w:rsidRPr="00D95785" w:rsidRDefault="005D122E" w:rsidP="005D122E">
      <w:pPr>
        <w:pStyle w:val="ListParagraph"/>
        <w:numPr>
          <w:ilvl w:val="0"/>
          <w:numId w:val="16"/>
        </w:numPr>
      </w:pPr>
      <w:r w:rsidRPr="00D95785">
        <w:t>Peaked at 21.02 (2023) before declining to 18.81 (2024).</w:t>
      </w:r>
    </w:p>
    <w:p w14:paraId="4C2C167B" w14:textId="77777777" w:rsidR="005D122E" w:rsidRPr="00D95785" w:rsidRDefault="005D122E" w:rsidP="005D122E">
      <w:pPr>
        <w:pStyle w:val="ListParagraph"/>
        <w:numPr>
          <w:ilvl w:val="0"/>
          <w:numId w:val="16"/>
        </w:numPr>
      </w:pPr>
      <w:r w:rsidRPr="00D95785">
        <w:t>Higher turnover (2023) suggests faster collection cycles.</w:t>
      </w:r>
    </w:p>
    <w:p w14:paraId="4F266F14" w14:textId="77777777" w:rsidR="005D122E" w:rsidRPr="00D95785" w:rsidRDefault="005D122E" w:rsidP="005D122E">
      <w:pPr>
        <w:pStyle w:val="ListParagraph"/>
        <w:numPr>
          <w:ilvl w:val="0"/>
          <w:numId w:val="16"/>
        </w:numPr>
      </w:pPr>
      <w:r w:rsidRPr="00D95785">
        <w:rPr>
          <w:b/>
          <w:bCs/>
        </w:rPr>
        <w:t>2024 decline:</w:t>
      </w:r>
      <w:r w:rsidRPr="00D95785">
        <w:t xml:space="preserve"> Could be a sign of higher credit sales or slower collection.</w:t>
      </w:r>
    </w:p>
    <w:p w14:paraId="08149076" w14:textId="77777777" w:rsidR="00C62054" w:rsidRPr="00D95785" w:rsidRDefault="005D122E" w:rsidP="00C62054">
      <w:pPr>
        <w:pStyle w:val="ListParagraph"/>
        <w:numPr>
          <w:ilvl w:val="0"/>
          <w:numId w:val="16"/>
        </w:numPr>
      </w:pPr>
      <w:r w:rsidRPr="00D95785">
        <w:rPr>
          <w:b/>
          <w:bCs/>
        </w:rPr>
        <w:t>Interpretation:</w:t>
      </w:r>
      <w:r w:rsidRPr="00D95785">
        <w:t xml:space="preserve"> Although the business manages its receivables well, variations should be watched to prevent cash flow problems.</w:t>
      </w:r>
    </w:p>
    <w:p w14:paraId="4D909A78" w14:textId="77777777" w:rsidR="009C4E12" w:rsidRDefault="009C4E12" w:rsidP="00C62054"/>
    <w:p w14:paraId="3FD2F5EB" w14:textId="4EC7767A" w:rsidR="00F0066C" w:rsidRDefault="009C4E12" w:rsidP="00C62054">
      <w:r>
        <w:rPr>
          <w:noProof/>
          <w14:ligatures w14:val="standardContextual"/>
        </w:rPr>
        <w:drawing>
          <wp:inline distT="0" distB="0" distL="0" distR="0" wp14:anchorId="5D0A436A" wp14:editId="52CFD9E5">
            <wp:extent cx="5731510" cy="875030"/>
            <wp:effectExtent l="0" t="0" r="0" b="1270"/>
            <wp:docPr id="1659592696" name="Picture 5"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92696" name="Picture 5" descr="A table with numbers and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875030"/>
                    </a:xfrm>
                    <a:prstGeom prst="rect">
                      <a:avLst/>
                    </a:prstGeom>
                  </pic:spPr>
                </pic:pic>
              </a:graphicData>
            </a:graphic>
          </wp:inline>
        </w:drawing>
      </w:r>
    </w:p>
    <w:p w14:paraId="450D2DDB" w14:textId="710A0E16" w:rsidR="00F0066C" w:rsidRDefault="00F0066C" w:rsidP="00F0066C">
      <w:pPr>
        <w:jc w:val="center"/>
      </w:pPr>
      <w:r>
        <w:rPr>
          <w:noProof/>
          <w14:ligatures w14:val="standardContextual"/>
        </w:rPr>
        <w:lastRenderedPageBreak/>
        <w:drawing>
          <wp:inline distT="0" distB="0" distL="0" distR="0" wp14:anchorId="29CB4D84" wp14:editId="5EEF509E">
            <wp:extent cx="3696511" cy="2101174"/>
            <wp:effectExtent l="0" t="0" r="12065" b="7620"/>
            <wp:docPr id="1346156061" name="Chart 1">
              <a:extLst xmlns:a="http://schemas.openxmlformats.org/drawingml/2006/main">
                <a:ext uri="{FF2B5EF4-FFF2-40B4-BE49-F238E27FC236}">
                  <a16:creationId xmlns:a16="http://schemas.microsoft.com/office/drawing/2014/main" id="{AC35D0BF-6714-F6B8-0EE6-BA784D3C3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237069C" w14:textId="77777777" w:rsidR="00A02B3F" w:rsidRDefault="00A02B3F" w:rsidP="00F0066C">
      <w:pPr>
        <w:jc w:val="center"/>
      </w:pPr>
    </w:p>
    <w:p w14:paraId="55F87DBB" w14:textId="32D6D926" w:rsidR="00F0066C" w:rsidRDefault="00F0066C" w:rsidP="00F0066C">
      <w:pPr>
        <w:jc w:val="center"/>
      </w:pPr>
      <w:r>
        <w:rPr>
          <w:noProof/>
          <w14:ligatures w14:val="standardContextual"/>
        </w:rPr>
        <w:drawing>
          <wp:inline distT="0" distB="0" distL="0" distR="0" wp14:anchorId="77555FE4" wp14:editId="1A1C9A38">
            <wp:extent cx="3696335" cy="2412460"/>
            <wp:effectExtent l="0" t="0" r="12065" b="13335"/>
            <wp:docPr id="248382125" name="Chart 1">
              <a:extLst xmlns:a="http://schemas.openxmlformats.org/drawingml/2006/main">
                <a:ext uri="{FF2B5EF4-FFF2-40B4-BE49-F238E27FC236}">
                  <a16:creationId xmlns:a16="http://schemas.microsoft.com/office/drawing/2014/main" id="{3FD67DE6-2C61-824E-DBE9-807936A763D9}"/>
                </a:ext>
                <a:ext uri="{147F2762-F138-4A5C-976F-8EAC2B608ADB}">
                  <a16:predDERef xmlns:a16="http://schemas.microsoft.com/office/drawing/2014/main" pred="{AC35D0BF-6714-F6B8-0EE6-BA784D3C3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9D96D44" w14:textId="77777777" w:rsidR="00CD04B4" w:rsidRDefault="00CD04B4" w:rsidP="00F0066C">
      <w:pPr>
        <w:jc w:val="center"/>
      </w:pPr>
    </w:p>
    <w:p w14:paraId="1460EFB5" w14:textId="27C5C4C0" w:rsidR="00F0066C" w:rsidRDefault="00F0066C" w:rsidP="00F0066C">
      <w:pPr>
        <w:jc w:val="center"/>
      </w:pPr>
      <w:r>
        <w:rPr>
          <w:noProof/>
          <w14:ligatures w14:val="standardContextual"/>
        </w:rPr>
        <w:drawing>
          <wp:inline distT="0" distB="0" distL="0" distR="0" wp14:anchorId="6919B2D8" wp14:editId="16D82A99">
            <wp:extent cx="3706063" cy="2149813"/>
            <wp:effectExtent l="0" t="0" r="15240" b="9525"/>
            <wp:docPr id="2007272986" name="Chart 1">
              <a:extLst xmlns:a="http://schemas.openxmlformats.org/drawingml/2006/main">
                <a:ext uri="{FF2B5EF4-FFF2-40B4-BE49-F238E27FC236}">
                  <a16:creationId xmlns:a16="http://schemas.microsoft.com/office/drawing/2014/main" id="{F4F1F925-629D-6738-9041-62B2910FAC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B91B376" w14:textId="4EA988D5" w:rsidR="005D122E" w:rsidRPr="00D95785" w:rsidRDefault="00AB4EAB" w:rsidP="00C62054">
      <w:r w:rsidRPr="00D95785">
        <w:br/>
      </w:r>
    </w:p>
    <w:p w14:paraId="1AE0E694" w14:textId="77777777" w:rsidR="005D122E" w:rsidRPr="000D5149" w:rsidRDefault="005D122E" w:rsidP="005D122E">
      <w:pPr>
        <w:rPr>
          <w:b/>
          <w:bCs/>
          <w:sz w:val="28"/>
          <w:szCs w:val="28"/>
        </w:rPr>
      </w:pPr>
      <w:r w:rsidRPr="000D5149">
        <w:rPr>
          <w:b/>
          <w:bCs/>
          <w:sz w:val="28"/>
          <w:szCs w:val="28"/>
        </w:rPr>
        <w:t>Impairments and Unusual Items Analysis</w:t>
      </w:r>
    </w:p>
    <w:p w14:paraId="3D0BD827" w14:textId="77777777" w:rsidR="0098434B" w:rsidRPr="00D95785" w:rsidRDefault="0098434B" w:rsidP="005D122E">
      <w:pPr>
        <w:rPr>
          <w:b/>
          <w:bCs/>
          <w:sz w:val="32"/>
          <w:szCs w:val="32"/>
        </w:rPr>
      </w:pPr>
    </w:p>
    <w:p w14:paraId="4132C8E2" w14:textId="655F432B" w:rsidR="005D122E" w:rsidRPr="00D95785" w:rsidRDefault="005D122E" w:rsidP="005D122E">
      <w:pPr>
        <w:pStyle w:val="ListParagraph"/>
        <w:numPr>
          <w:ilvl w:val="0"/>
          <w:numId w:val="17"/>
        </w:numPr>
        <w:rPr>
          <w:b/>
          <w:bCs/>
        </w:rPr>
      </w:pPr>
      <w:r w:rsidRPr="00D95785">
        <w:rPr>
          <w:b/>
          <w:bCs/>
        </w:rPr>
        <w:t>Asset Impairments:</w:t>
      </w:r>
    </w:p>
    <w:p w14:paraId="42D03A17" w14:textId="77777777" w:rsidR="00BE0251" w:rsidRPr="00D95785" w:rsidRDefault="00BE0251" w:rsidP="00BE0251">
      <w:pPr>
        <w:ind w:left="360"/>
      </w:pPr>
      <w:r w:rsidRPr="00D95785">
        <w:t>Asset impairments have occasionally been reported by UnitedHealth Group, usually because of:</w:t>
      </w:r>
    </w:p>
    <w:p w14:paraId="495154FA" w14:textId="77777777" w:rsidR="00BE0251" w:rsidRPr="00D95785" w:rsidRDefault="00BE0251" w:rsidP="00BE0251">
      <w:pPr>
        <w:ind w:left="720"/>
      </w:pPr>
    </w:p>
    <w:p w14:paraId="5035E5BE" w14:textId="77777777" w:rsidR="00BE0251" w:rsidRPr="00D95785" w:rsidRDefault="00BE0251" w:rsidP="00BE0251">
      <w:pPr>
        <w:pStyle w:val="ListParagraph"/>
        <w:numPr>
          <w:ilvl w:val="0"/>
          <w:numId w:val="19"/>
        </w:numPr>
      </w:pPr>
      <w:r w:rsidRPr="00D95785">
        <w:lastRenderedPageBreak/>
        <w:t>changes to regulations that impact compliance costs and healthcare reimbursement methods.</w:t>
      </w:r>
    </w:p>
    <w:p w14:paraId="3EBB8B95" w14:textId="77777777" w:rsidR="00BE0251" w:rsidRPr="00D95785" w:rsidRDefault="00BE0251" w:rsidP="00BE0251">
      <w:pPr>
        <w:pStyle w:val="ListParagraph"/>
        <w:numPr>
          <w:ilvl w:val="0"/>
          <w:numId w:val="19"/>
        </w:numPr>
      </w:pPr>
      <w:r w:rsidRPr="00D95785">
        <w:t>measures for restructuring that result in the sale or devaluation of poorly performing company units.</w:t>
      </w:r>
    </w:p>
    <w:p w14:paraId="3BE699A3" w14:textId="77777777" w:rsidR="00BE0251" w:rsidRPr="00D95785" w:rsidRDefault="00BE0251" w:rsidP="00BE0251">
      <w:pPr>
        <w:pStyle w:val="ListParagraph"/>
        <w:numPr>
          <w:ilvl w:val="0"/>
          <w:numId w:val="19"/>
        </w:numPr>
      </w:pPr>
      <w:r w:rsidRPr="00D95785">
        <w:t>acquisitions and goodwill adjustments in cases when the performance of the purchased assets fell short of expectations.</w:t>
      </w:r>
    </w:p>
    <w:p w14:paraId="62DC4864" w14:textId="77777777" w:rsidR="00643B28" w:rsidRPr="00D95785" w:rsidRDefault="00BE0251" w:rsidP="00643B28">
      <w:pPr>
        <w:pStyle w:val="ListParagraph"/>
        <w:numPr>
          <w:ilvl w:val="0"/>
          <w:numId w:val="19"/>
        </w:numPr>
      </w:pPr>
      <w:r w:rsidRPr="00D95785">
        <w:t>Certain intangible assets are being reassessed because of changes in market demand, particularly in healthcare technology and service-based models.</w:t>
      </w:r>
    </w:p>
    <w:p w14:paraId="2A8AD1EB" w14:textId="77777777" w:rsidR="00643B28" w:rsidRPr="00D95785" w:rsidRDefault="00643B28" w:rsidP="00643B28">
      <w:pPr>
        <w:rPr>
          <w:b/>
          <w:bCs/>
        </w:rPr>
      </w:pPr>
    </w:p>
    <w:p w14:paraId="164F8822" w14:textId="3CE7FABC" w:rsidR="00BE0251" w:rsidRPr="00D95785" w:rsidRDefault="00BE0251" w:rsidP="00643B28">
      <w:pPr>
        <w:ind w:left="720"/>
      </w:pPr>
      <w:r w:rsidRPr="00D95785">
        <w:rPr>
          <w:b/>
          <w:bCs/>
        </w:rPr>
        <w:t>Key Observations:</w:t>
      </w:r>
    </w:p>
    <w:p w14:paraId="04263FF8" w14:textId="77777777" w:rsidR="00BE0251" w:rsidRPr="00D95785" w:rsidRDefault="00BE0251" w:rsidP="00BE0251">
      <w:pPr>
        <w:ind w:left="720"/>
        <w:rPr>
          <w:b/>
          <w:bCs/>
        </w:rPr>
      </w:pPr>
    </w:p>
    <w:p w14:paraId="4A70C8BD" w14:textId="77777777" w:rsidR="00BE0251" w:rsidRPr="00D95785" w:rsidRDefault="00BE0251" w:rsidP="00BE0251">
      <w:pPr>
        <w:pStyle w:val="ListParagraph"/>
        <w:numPr>
          <w:ilvl w:val="0"/>
          <w:numId w:val="20"/>
        </w:numPr>
      </w:pPr>
      <w:r w:rsidRPr="00D95785">
        <w:t>Impairments have primarily been non-cash write-downs to ensure proper financial reporting and minimize overstatement of asset values.</w:t>
      </w:r>
    </w:p>
    <w:p w14:paraId="63D1C49D" w14:textId="77777777" w:rsidR="00BE0251" w:rsidRPr="00D95785" w:rsidRDefault="00BE0251" w:rsidP="00BE0251">
      <w:pPr>
        <w:pStyle w:val="ListParagraph"/>
        <w:numPr>
          <w:ilvl w:val="0"/>
          <w:numId w:val="20"/>
        </w:numPr>
      </w:pPr>
      <w:r w:rsidRPr="00D95785">
        <w:t>The effect on net income has been minimal, since strong operating cash flows have outweighed impairment charges.</w:t>
      </w:r>
    </w:p>
    <w:p w14:paraId="01709F98" w14:textId="77777777" w:rsidR="00BE0251" w:rsidRPr="00D95785" w:rsidRDefault="00BE0251" w:rsidP="00BE0251">
      <w:pPr>
        <w:pStyle w:val="ListParagraph"/>
        <w:numPr>
          <w:ilvl w:val="0"/>
          <w:numId w:val="20"/>
        </w:numPr>
      </w:pPr>
      <w:r w:rsidRPr="00D95785">
        <w:t>The corporation has been vigilant in addressing impairments, ensuring that asset valuations accurately represent their market value.</w:t>
      </w:r>
    </w:p>
    <w:p w14:paraId="2FA9A1F0" w14:textId="77777777" w:rsidR="00BE0251" w:rsidRPr="00D95785" w:rsidRDefault="00BE0251" w:rsidP="00BE0251">
      <w:pPr>
        <w:rPr>
          <w:b/>
          <w:bCs/>
        </w:rPr>
      </w:pPr>
    </w:p>
    <w:p w14:paraId="462D6A6B" w14:textId="31045395" w:rsidR="00840498" w:rsidRPr="00D95785" w:rsidRDefault="00840498" w:rsidP="00BE0251">
      <w:pPr>
        <w:pStyle w:val="ListParagraph"/>
        <w:numPr>
          <w:ilvl w:val="0"/>
          <w:numId w:val="17"/>
        </w:numPr>
        <w:rPr>
          <w:b/>
          <w:bCs/>
        </w:rPr>
      </w:pPr>
      <w:r w:rsidRPr="00D95785">
        <w:rPr>
          <w:b/>
          <w:bCs/>
        </w:rPr>
        <w:t>Non-recurring events</w:t>
      </w:r>
      <w:r w:rsidR="00BE0251" w:rsidRPr="00D95785">
        <w:rPr>
          <w:b/>
          <w:bCs/>
        </w:rPr>
        <w:t>:</w:t>
      </w:r>
      <w:r w:rsidRPr="00D95785">
        <w:br/>
        <w:t>Several one-time or unique factors have affected UnitedHealth Group's financial performance:</w:t>
      </w:r>
    </w:p>
    <w:p w14:paraId="7BF6342C" w14:textId="77777777" w:rsidR="00B52811" w:rsidRPr="00D95785" w:rsidRDefault="00B52811" w:rsidP="00B52811">
      <w:pPr>
        <w:pStyle w:val="ListParagraph"/>
        <w:ind w:left="360"/>
        <w:rPr>
          <w:b/>
          <w:bCs/>
        </w:rPr>
      </w:pPr>
    </w:p>
    <w:p w14:paraId="4A04BE90" w14:textId="29CA0954" w:rsidR="00840498" w:rsidRPr="00D95785" w:rsidRDefault="00840498" w:rsidP="00840498">
      <w:pPr>
        <w:pStyle w:val="ListParagraph"/>
        <w:numPr>
          <w:ilvl w:val="0"/>
          <w:numId w:val="22"/>
        </w:numPr>
        <w:rPr>
          <w:b/>
          <w:bCs/>
        </w:rPr>
      </w:pPr>
      <w:r w:rsidRPr="00D95785">
        <w:rPr>
          <w:b/>
          <w:bCs/>
        </w:rPr>
        <w:t>Legal Settlements and Compliance Costs</w:t>
      </w:r>
      <w:r w:rsidR="00B52811" w:rsidRPr="00D95785">
        <w:rPr>
          <w:b/>
          <w:bCs/>
        </w:rPr>
        <w:t>:</w:t>
      </w:r>
    </w:p>
    <w:p w14:paraId="6FBEA49E" w14:textId="77777777" w:rsidR="001D19A8" w:rsidRPr="00D95785" w:rsidRDefault="001D19A8" w:rsidP="001D19A8">
      <w:pPr>
        <w:pStyle w:val="ListParagraph"/>
        <w:rPr>
          <w:b/>
          <w:bCs/>
        </w:rPr>
      </w:pPr>
    </w:p>
    <w:p w14:paraId="4C131C4D" w14:textId="77777777" w:rsidR="00840498" w:rsidRPr="00D95785" w:rsidRDefault="00840498" w:rsidP="00E61429">
      <w:pPr>
        <w:pStyle w:val="ListParagraph"/>
        <w:numPr>
          <w:ilvl w:val="0"/>
          <w:numId w:val="24"/>
        </w:numPr>
      </w:pPr>
      <w:r w:rsidRPr="00D95785">
        <w:t>UnitedHealth has occasionally incurred litigation costs relating to payment issues, privacy laws, and regulatory compliance.</w:t>
      </w:r>
    </w:p>
    <w:p w14:paraId="475037ED" w14:textId="77777777" w:rsidR="00840498" w:rsidRPr="00D95785" w:rsidRDefault="00840498" w:rsidP="00E61429">
      <w:pPr>
        <w:pStyle w:val="ListParagraph"/>
        <w:numPr>
          <w:ilvl w:val="0"/>
          <w:numId w:val="24"/>
        </w:numPr>
      </w:pPr>
      <w:r w:rsidRPr="00D95785">
        <w:t>Legal settlements have caused transitory variations in net income, but the company's reserves are sufficient to cover these costs.</w:t>
      </w:r>
    </w:p>
    <w:p w14:paraId="3DD3E621" w14:textId="77777777" w:rsidR="001D19A8" w:rsidRPr="00D95785" w:rsidRDefault="001D19A8" w:rsidP="001D19A8">
      <w:pPr>
        <w:pStyle w:val="ListParagraph"/>
        <w:ind w:left="1080"/>
      </w:pPr>
    </w:p>
    <w:p w14:paraId="56E176D4" w14:textId="579D2ED2" w:rsidR="00840498" w:rsidRPr="00D95785" w:rsidRDefault="00840498" w:rsidP="00B52811">
      <w:pPr>
        <w:pStyle w:val="ListParagraph"/>
        <w:numPr>
          <w:ilvl w:val="0"/>
          <w:numId w:val="22"/>
        </w:numPr>
        <w:rPr>
          <w:b/>
          <w:bCs/>
        </w:rPr>
      </w:pPr>
      <w:r w:rsidRPr="00D95785">
        <w:rPr>
          <w:b/>
          <w:bCs/>
        </w:rPr>
        <w:t>Strategic Acquisitions and divestitures</w:t>
      </w:r>
      <w:r w:rsidR="00B52811" w:rsidRPr="00D95785">
        <w:rPr>
          <w:b/>
          <w:bCs/>
        </w:rPr>
        <w:t>:</w:t>
      </w:r>
    </w:p>
    <w:p w14:paraId="28AE45D0" w14:textId="77777777" w:rsidR="001D19A8" w:rsidRPr="00D95785" w:rsidRDefault="001D19A8" w:rsidP="001D19A8">
      <w:pPr>
        <w:pStyle w:val="ListParagraph"/>
        <w:rPr>
          <w:b/>
          <w:bCs/>
        </w:rPr>
      </w:pPr>
    </w:p>
    <w:p w14:paraId="20CC5660" w14:textId="77777777" w:rsidR="00840498" w:rsidRPr="00D95785" w:rsidRDefault="00840498" w:rsidP="00E61429">
      <w:pPr>
        <w:pStyle w:val="ListParagraph"/>
        <w:numPr>
          <w:ilvl w:val="1"/>
          <w:numId w:val="25"/>
        </w:numPr>
      </w:pPr>
      <w:r w:rsidRPr="00D95785">
        <w:t>The company's acquisitions, including Optum and healthcare provider networks, resulted in one-time transaction costs such consulting fees and integration charges.</w:t>
      </w:r>
    </w:p>
    <w:p w14:paraId="123BD31C" w14:textId="5AF26EE1" w:rsidR="00840498" w:rsidRPr="00D95785" w:rsidRDefault="00840498" w:rsidP="00E61429">
      <w:pPr>
        <w:pStyle w:val="ListParagraph"/>
        <w:numPr>
          <w:ilvl w:val="1"/>
          <w:numId w:val="25"/>
        </w:numPr>
      </w:pPr>
      <w:r w:rsidRPr="00D95785">
        <w:t>Financial statement fluctuations occur because of goodwill adjustments and asset revaluations.</w:t>
      </w:r>
    </w:p>
    <w:p w14:paraId="4EA2F67F" w14:textId="409E414C" w:rsidR="00840498" w:rsidRPr="00D95785" w:rsidRDefault="00840498" w:rsidP="00E61429">
      <w:pPr>
        <w:pStyle w:val="ListParagraph"/>
        <w:numPr>
          <w:ilvl w:val="1"/>
          <w:numId w:val="25"/>
        </w:numPr>
      </w:pPr>
      <w:r w:rsidRPr="00D95785">
        <w:t>Some divestitures or corporate restructuring attempts have resulted in short-term financial turbulence while promoting long-term strategic progress.</w:t>
      </w:r>
    </w:p>
    <w:p w14:paraId="15D153C9" w14:textId="77777777" w:rsidR="001D19A8" w:rsidRPr="00D95785" w:rsidRDefault="001D19A8" w:rsidP="001D19A8">
      <w:pPr>
        <w:pStyle w:val="ListParagraph"/>
        <w:ind w:left="1080"/>
      </w:pPr>
    </w:p>
    <w:p w14:paraId="6CC85039" w14:textId="441A037C" w:rsidR="00840498" w:rsidRPr="00D95785" w:rsidRDefault="00840498" w:rsidP="00B52811">
      <w:pPr>
        <w:pStyle w:val="ListParagraph"/>
        <w:numPr>
          <w:ilvl w:val="0"/>
          <w:numId w:val="22"/>
        </w:numPr>
        <w:rPr>
          <w:b/>
          <w:bCs/>
        </w:rPr>
      </w:pPr>
      <w:r w:rsidRPr="00D95785">
        <w:rPr>
          <w:b/>
          <w:bCs/>
        </w:rPr>
        <w:t>Tax Reform and Accounting Adjustments</w:t>
      </w:r>
      <w:r w:rsidR="00B52811" w:rsidRPr="00D95785">
        <w:rPr>
          <w:b/>
          <w:bCs/>
        </w:rPr>
        <w:t>:</w:t>
      </w:r>
      <w:r w:rsidRPr="00D95785">
        <w:rPr>
          <w:b/>
          <w:bCs/>
        </w:rPr>
        <w:br/>
      </w:r>
    </w:p>
    <w:p w14:paraId="10235A4F" w14:textId="77777777" w:rsidR="00840498" w:rsidRPr="00D95785" w:rsidRDefault="00840498" w:rsidP="00CE7B8A">
      <w:pPr>
        <w:pStyle w:val="ListParagraph"/>
        <w:numPr>
          <w:ilvl w:val="1"/>
          <w:numId w:val="26"/>
        </w:numPr>
      </w:pPr>
      <w:r w:rsidRPr="00D95785">
        <w:t>Changes in corporation tax regulations have occasionally affected earnings.</w:t>
      </w:r>
    </w:p>
    <w:p w14:paraId="5E63796C" w14:textId="406F7D36" w:rsidR="00840498" w:rsidRPr="00D95785" w:rsidRDefault="00840498" w:rsidP="00CE7B8A">
      <w:pPr>
        <w:pStyle w:val="ListParagraph"/>
        <w:numPr>
          <w:ilvl w:val="1"/>
          <w:numId w:val="26"/>
        </w:numPr>
      </w:pPr>
      <w:r w:rsidRPr="00D95785">
        <w:t>Revised accounting standards (ASC 606 for revenue recognition and ASC 842 for lease accounting) have resulted in temporary revisions to financial statements.</w:t>
      </w:r>
    </w:p>
    <w:p w14:paraId="6FBC73EC" w14:textId="77777777" w:rsidR="009351C0" w:rsidRPr="00D95785" w:rsidRDefault="009351C0" w:rsidP="009351C0"/>
    <w:p w14:paraId="3EA30E7A" w14:textId="77777777" w:rsidR="00A12CB8" w:rsidRDefault="00A12CB8">
      <w:pPr>
        <w:spacing w:after="160" w:line="278" w:lineRule="auto"/>
        <w:rPr>
          <w:b/>
          <w:bCs/>
          <w:sz w:val="28"/>
          <w:szCs w:val="28"/>
        </w:rPr>
      </w:pPr>
      <w:r>
        <w:rPr>
          <w:b/>
          <w:bCs/>
          <w:sz w:val="28"/>
          <w:szCs w:val="28"/>
        </w:rPr>
        <w:br w:type="page"/>
      </w:r>
    </w:p>
    <w:p w14:paraId="77863A28" w14:textId="55191763" w:rsidR="009351C0" w:rsidRPr="004F49E3" w:rsidRDefault="009351C0" w:rsidP="009351C0">
      <w:pPr>
        <w:rPr>
          <w:b/>
          <w:bCs/>
          <w:sz w:val="28"/>
          <w:szCs w:val="28"/>
        </w:rPr>
      </w:pPr>
      <w:r w:rsidRPr="004F49E3">
        <w:rPr>
          <w:b/>
          <w:bCs/>
          <w:sz w:val="28"/>
          <w:szCs w:val="28"/>
        </w:rPr>
        <w:lastRenderedPageBreak/>
        <w:t>Conclusion</w:t>
      </w:r>
    </w:p>
    <w:p w14:paraId="0008C546" w14:textId="6466556B" w:rsidR="009351C0" w:rsidRPr="00D95785" w:rsidRDefault="009351C0" w:rsidP="009351C0">
      <w:r w:rsidRPr="00D95785">
        <w:br/>
      </w:r>
      <w:r w:rsidR="00A726A9" w:rsidRPr="00D95785">
        <w:t>UnitedHealth Group's financial performance has been robust, with sustained revenue growth, profitability, and positive cash flow. However, obstacles in 2024, such as rising medical costs, inflation, and regulatory pressures, have a detrimental influence on profitability. To maintain long-term financial stability, the organization should prioritize strategic cost control, digital health innovation, and effective debt management. UnitedHealth's ability to adapt to market changes, maximize its asset base, and generate strong cash flow will be critical to maintaining growth and profitability.</w:t>
      </w:r>
    </w:p>
    <w:p w14:paraId="79D64F98" w14:textId="77777777" w:rsidR="009351C0" w:rsidRPr="00D95785" w:rsidRDefault="009351C0" w:rsidP="009351C0"/>
    <w:p w14:paraId="1623F6AE" w14:textId="3F0E2353" w:rsidR="009351C0" w:rsidRPr="00256F23" w:rsidRDefault="009351C0" w:rsidP="009351C0">
      <w:pPr>
        <w:rPr>
          <w:b/>
          <w:bCs/>
          <w:sz w:val="28"/>
          <w:szCs w:val="28"/>
        </w:rPr>
      </w:pPr>
      <w:r w:rsidRPr="00256F23">
        <w:rPr>
          <w:b/>
          <w:bCs/>
          <w:sz w:val="28"/>
          <w:szCs w:val="28"/>
        </w:rPr>
        <w:t>References</w:t>
      </w:r>
    </w:p>
    <w:p w14:paraId="41B332C2" w14:textId="77777777" w:rsidR="009351C0" w:rsidRPr="00D95785" w:rsidRDefault="009351C0" w:rsidP="009351C0"/>
    <w:p w14:paraId="10F141E1" w14:textId="77777777" w:rsidR="00DD6056" w:rsidRDefault="00DD6056" w:rsidP="00DD6056">
      <w:pPr>
        <w:pStyle w:val="NormalWeb"/>
        <w:numPr>
          <w:ilvl w:val="0"/>
          <w:numId w:val="27"/>
        </w:numPr>
      </w:pPr>
      <w:r>
        <w:rPr>
          <w:rStyle w:val="Strong"/>
          <w:rFonts w:eastAsiaTheme="majorEastAsia"/>
        </w:rPr>
        <w:t>UnitedHealth Group.</w:t>
      </w:r>
      <w:r>
        <w:t xml:space="preserve"> (n.d.). UnitedHealth Group. Retrieved from </w:t>
      </w:r>
      <w:hyperlink r:id="rId23" w:tgtFrame="_new" w:history="1">
        <w:r>
          <w:rPr>
            <w:rStyle w:val="Hyperlink"/>
            <w:rFonts w:eastAsiaTheme="majorEastAsia"/>
          </w:rPr>
          <w:t>https://www.unitedhealthgroup.com/</w:t>
        </w:r>
      </w:hyperlink>
    </w:p>
    <w:p w14:paraId="1B07BA4B" w14:textId="77777777" w:rsidR="00DD6056" w:rsidRDefault="00DD6056" w:rsidP="00DD6056">
      <w:pPr>
        <w:pStyle w:val="NormalWeb"/>
        <w:numPr>
          <w:ilvl w:val="0"/>
          <w:numId w:val="27"/>
        </w:numPr>
      </w:pPr>
      <w:r w:rsidRPr="00DD6056">
        <w:rPr>
          <w:rStyle w:val="Strong"/>
          <w:rFonts w:eastAsiaTheme="majorEastAsia"/>
        </w:rPr>
        <w:t>UnitedHealth Group Financial Statements (2015-2024).</w:t>
      </w:r>
      <w:r>
        <w:t xml:space="preserve"> Macro Trends. Retrieved from </w:t>
      </w:r>
      <w:hyperlink r:id="rId24" w:anchor="google_vignette" w:tgtFrame="_new" w:history="1">
        <w:r w:rsidRPr="00DD6056">
          <w:rPr>
            <w:rStyle w:val="Hyperlink"/>
            <w:rFonts w:eastAsiaTheme="majorEastAsia"/>
          </w:rPr>
          <w:t>https://macrotrends.net/stocks/charts/UNH/unitedhealth-group/financial-statements#google_vignette</w:t>
        </w:r>
      </w:hyperlink>
    </w:p>
    <w:p w14:paraId="37ED024A" w14:textId="0388328B" w:rsidR="00DD6056" w:rsidRDefault="00DD6056" w:rsidP="00DD6056">
      <w:pPr>
        <w:pStyle w:val="NormalWeb"/>
        <w:numPr>
          <w:ilvl w:val="0"/>
          <w:numId w:val="27"/>
        </w:numPr>
      </w:pPr>
      <w:r w:rsidRPr="00DD6056">
        <w:rPr>
          <w:rStyle w:val="Strong"/>
          <w:rFonts w:eastAsiaTheme="majorEastAsia"/>
        </w:rPr>
        <w:t>UnitedHealth Group.</w:t>
      </w:r>
      <w:r>
        <w:t xml:space="preserve"> Latest quarterly and annual financial results, along with investor presentations, earnings calls, and other investor-related materials. Retrieved from </w:t>
      </w:r>
      <w:hyperlink r:id="rId25" w:tgtFrame="_new" w:history="1">
        <w:r w:rsidRPr="00DD6056">
          <w:rPr>
            <w:rStyle w:val="Hyperlink"/>
            <w:rFonts w:eastAsiaTheme="majorEastAsia"/>
          </w:rPr>
          <w:t>https://www.unitedhealthgroup.com/investors/financial-reports.html</w:t>
        </w:r>
      </w:hyperlink>
    </w:p>
    <w:p w14:paraId="3D6FFAE4" w14:textId="77777777" w:rsidR="00990FAE" w:rsidRPr="00D95785" w:rsidRDefault="00990FAE" w:rsidP="00D82428">
      <w:pPr>
        <w:pStyle w:val="ListParagraph"/>
      </w:pPr>
    </w:p>
    <w:p w14:paraId="48614EDB" w14:textId="77777777" w:rsidR="00A726A9" w:rsidRPr="00D95785" w:rsidRDefault="00A726A9" w:rsidP="009351C0"/>
    <w:p w14:paraId="21C9186F" w14:textId="77777777" w:rsidR="00A726A9" w:rsidRPr="00D95785" w:rsidRDefault="00A726A9" w:rsidP="009351C0"/>
    <w:sectPr w:rsidR="00A726A9" w:rsidRPr="00D957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650DC"/>
    <w:multiLevelType w:val="hybridMultilevel"/>
    <w:tmpl w:val="E30E41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5D025AA"/>
    <w:multiLevelType w:val="hybridMultilevel"/>
    <w:tmpl w:val="34C83B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2A4D63"/>
    <w:multiLevelType w:val="hybridMultilevel"/>
    <w:tmpl w:val="68422668"/>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3205841"/>
    <w:multiLevelType w:val="hybridMultilevel"/>
    <w:tmpl w:val="F5B0F4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799062A"/>
    <w:multiLevelType w:val="hybridMultilevel"/>
    <w:tmpl w:val="70888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A0095D"/>
    <w:multiLevelType w:val="hybridMultilevel"/>
    <w:tmpl w:val="815E54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DAD3531"/>
    <w:multiLevelType w:val="hybridMultilevel"/>
    <w:tmpl w:val="C0C24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212C5"/>
    <w:multiLevelType w:val="hybridMultilevel"/>
    <w:tmpl w:val="2D0C96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F013FC"/>
    <w:multiLevelType w:val="hybridMultilevel"/>
    <w:tmpl w:val="CC2C6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EB1F3B"/>
    <w:multiLevelType w:val="hybridMultilevel"/>
    <w:tmpl w:val="48FE9820"/>
    <w:lvl w:ilvl="0" w:tplc="08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BDC47E8"/>
    <w:multiLevelType w:val="hybridMultilevel"/>
    <w:tmpl w:val="A522A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A81CC0"/>
    <w:multiLevelType w:val="hybridMultilevel"/>
    <w:tmpl w:val="28C4302C"/>
    <w:lvl w:ilvl="0" w:tplc="AE021CB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80C6AD1"/>
    <w:multiLevelType w:val="hybridMultilevel"/>
    <w:tmpl w:val="33A82A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A4E02B8"/>
    <w:multiLevelType w:val="hybridMultilevel"/>
    <w:tmpl w:val="E7CAC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032222"/>
    <w:multiLevelType w:val="hybridMultilevel"/>
    <w:tmpl w:val="9A1A50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2A1CC2"/>
    <w:multiLevelType w:val="hybridMultilevel"/>
    <w:tmpl w:val="C5F4D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B37FCF"/>
    <w:multiLevelType w:val="hybridMultilevel"/>
    <w:tmpl w:val="76E21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E77E00"/>
    <w:multiLevelType w:val="hybridMultilevel"/>
    <w:tmpl w:val="3F8E8AC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9BA0A09"/>
    <w:multiLevelType w:val="hybridMultilevel"/>
    <w:tmpl w:val="79CE39C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E3356D"/>
    <w:multiLevelType w:val="hybridMultilevel"/>
    <w:tmpl w:val="86C6F552"/>
    <w:lvl w:ilvl="0" w:tplc="FFFFFFFF">
      <w:start w:val="1"/>
      <w:numFmt w:val="bullet"/>
      <w:lvlText w:val="o"/>
      <w:lvlJc w:val="left"/>
      <w:pPr>
        <w:ind w:left="1080" w:hanging="360"/>
      </w:pPr>
      <w:rPr>
        <w:rFonts w:ascii="Courier New" w:hAnsi="Courier New" w:cs="Courier New" w:hint="default"/>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ADF5FC2"/>
    <w:multiLevelType w:val="hybridMultilevel"/>
    <w:tmpl w:val="AC9C83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F517C37"/>
    <w:multiLevelType w:val="hybridMultilevel"/>
    <w:tmpl w:val="D67605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E516D49"/>
    <w:multiLevelType w:val="hybridMultilevel"/>
    <w:tmpl w:val="F54866B8"/>
    <w:lvl w:ilvl="0" w:tplc="FFFFFFFF">
      <w:start w:val="1"/>
      <w:numFmt w:val="bullet"/>
      <w:lvlText w:val="o"/>
      <w:lvlJc w:val="left"/>
      <w:pPr>
        <w:ind w:left="1080" w:hanging="360"/>
      </w:pPr>
      <w:rPr>
        <w:rFonts w:ascii="Courier New" w:hAnsi="Courier New" w:cs="Courier New" w:hint="default"/>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701A6F7E"/>
    <w:multiLevelType w:val="hybridMultilevel"/>
    <w:tmpl w:val="0E449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2600CF4"/>
    <w:multiLevelType w:val="hybridMultilevel"/>
    <w:tmpl w:val="0FFA4B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2EC1C40"/>
    <w:multiLevelType w:val="hybridMultilevel"/>
    <w:tmpl w:val="841C8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E87AC2"/>
    <w:multiLevelType w:val="hybridMultilevel"/>
    <w:tmpl w:val="829E6C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497228532">
    <w:abstractNumId w:val="16"/>
  </w:num>
  <w:num w:numId="2" w16cid:durableId="1883781237">
    <w:abstractNumId w:val="6"/>
  </w:num>
  <w:num w:numId="3" w16cid:durableId="1147094097">
    <w:abstractNumId w:val="8"/>
  </w:num>
  <w:num w:numId="4" w16cid:durableId="92823470">
    <w:abstractNumId w:val="23"/>
  </w:num>
  <w:num w:numId="5" w16cid:durableId="1427847890">
    <w:abstractNumId w:val="25"/>
  </w:num>
  <w:num w:numId="6" w16cid:durableId="1887795480">
    <w:abstractNumId w:val="18"/>
  </w:num>
  <w:num w:numId="7" w16cid:durableId="775566900">
    <w:abstractNumId w:val="5"/>
  </w:num>
  <w:num w:numId="8" w16cid:durableId="316570523">
    <w:abstractNumId w:val="13"/>
  </w:num>
  <w:num w:numId="9" w16cid:durableId="945192781">
    <w:abstractNumId w:val="26"/>
  </w:num>
  <w:num w:numId="10" w16cid:durableId="2071003557">
    <w:abstractNumId w:val="12"/>
  </w:num>
  <w:num w:numId="11" w16cid:durableId="1912765112">
    <w:abstractNumId w:val="10"/>
  </w:num>
  <w:num w:numId="12" w16cid:durableId="1370644843">
    <w:abstractNumId w:val="0"/>
  </w:num>
  <w:num w:numId="13" w16cid:durableId="59595600">
    <w:abstractNumId w:val="7"/>
  </w:num>
  <w:num w:numId="14" w16cid:durableId="408308490">
    <w:abstractNumId w:val="1"/>
  </w:num>
  <w:num w:numId="15" w16cid:durableId="510608954">
    <w:abstractNumId w:val="17"/>
  </w:num>
  <w:num w:numId="16" w16cid:durableId="1359818267">
    <w:abstractNumId w:val="24"/>
  </w:num>
  <w:num w:numId="17" w16cid:durableId="2061980232">
    <w:abstractNumId w:val="11"/>
  </w:num>
  <w:num w:numId="18" w16cid:durableId="1203248251">
    <w:abstractNumId w:val="15"/>
  </w:num>
  <w:num w:numId="19" w16cid:durableId="936330124">
    <w:abstractNumId w:val="3"/>
  </w:num>
  <w:num w:numId="20" w16cid:durableId="441849235">
    <w:abstractNumId w:val="20"/>
  </w:num>
  <w:num w:numId="21" w16cid:durableId="901061839">
    <w:abstractNumId w:val="2"/>
  </w:num>
  <w:num w:numId="22" w16cid:durableId="981155332">
    <w:abstractNumId w:val="14"/>
  </w:num>
  <w:num w:numId="23" w16cid:durableId="1153329081">
    <w:abstractNumId w:val="21"/>
  </w:num>
  <w:num w:numId="24" w16cid:durableId="1636056432">
    <w:abstractNumId w:val="9"/>
  </w:num>
  <w:num w:numId="25" w16cid:durableId="1203978832">
    <w:abstractNumId w:val="19"/>
  </w:num>
  <w:num w:numId="26" w16cid:durableId="1364361180">
    <w:abstractNumId w:val="22"/>
  </w:num>
  <w:num w:numId="27" w16cid:durableId="9952995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73F"/>
    <w:rsid w:val="00023EB8"/>
    <w:rsid w:val="00031D6A"/>
    <w:rsid w:val="00045BD1"/>
    <w:rsid w:val="000846A3"/>
    <w:rsid w:val="000B2ED5"/>
    <w:rsid w:val="000B67E3"/>
    <w:rsid w:val="000D5149"/>
    <w:rsid w:val="000E0805"/>
    <w:rsid w:val="000F7EDD"/>
    <w:rsid w:val="00122306"/>
    <w:rsid w:val="0015008E"/>
    <w:rsid w:val="00160292"/>
    <w:rsid w:val="0017178F"/>
    <w:rsid w:val="00171EB6"/>
    <w:rsid w:val="001A70D9"/>
    <w:rsid w:val="001D19A8"/>
    <w:rsid w:val="001D24EA"/>
    <w:rsid w:val="00200A19"/>
    <w:rsid w:val="002233D6"/>
    <w:rsid w:val="00256F23"/>
    <w:rsid w:val="0026673F"/>
    <w:rsid w:val="00267B9D"/>
    <w:rsid w:val="00297BD9"/>
    <w:rsid w:val="002A644D"/>
    <w:rsid w:val="002B2C5D"/>
    <w:rsid w:val="002D286C"/>
    <w:rsid w:val="002E658F"/>
    <w:rsid w:val="002E73C7"/>
    <w:rsid w:val="00302505"/>
    <w:rsid w:val="00385029"/>
    <w:rsid w:val="003A7447"/>
    <w:rsid w:val="003D56A5"/>
    <w:rsid w:val="00436E38"/>
    <w:rsid w:val="00440B94"/>
    <w:rsid w:val="0045219E"/>
    <w:rsid w:val="00462A1E"/>
    <w:rsid w:val="004A563C"/>
    <w:rsid w:val="004D0051"/>
    <w:rsid w:val="004D51E1"/>
    <w:rsid w:val="004F49E3"/>
    <w:rsid w:val="0052698F"/>
    <w:rsid w:val="00563E90"/>
    <w:rsid w:val="005755FD"/>
    <w:rsid w:val="00590D8E"/>
    <w:rsid w:val="005917DA"/>
    <w:rsid w:val="005B4CDB"/>
    <w:rsid w:val="005D122E"/>
    <w:rsid w:val="005F766C"/>
    <w:rsid w:val="0060744E"/>
    <w:rsid w:val="00643B28"/>
    <w:rsid w:val="006446B7"/>
    <w:rsid w:val="006A5855"/>
    <w:rsid w:val="006B2F95"/>
    <w:rsid w:val="006E4A85"/>
    <w:rsid w:val="007250AB"/>
    <w:rsid w:val="0073670A"/>
    <w:rsid w:val="0074309D"/>
    <w:rsid w:val="00747341"/>
    <w:rsid w:val="0079341A"/>
    <w:rsid w:val="007B1A44"/>
    <w:rsid w:val="007B4157"/>
    <w:rsid w:val="007C205A"/>
    <w:rsid w:val="007D2B46"/>
    <w:rsid w:val="007F05EB"/>
    <w:rsid w:val="00821539"/>
    <w:rsid w:val="00840498"/>
    <w:rsid w:val="0084547C"/>
    <w:rsid w:val="00853019"/>
    <w:rsid w:val="009351C0"/>
    <w:rsid w:val="0098434B"/>
    <w:rsid w:val="00990FAE"/>
    <w:rsid w:val="00997DF1"/>
    <w:rsid w:val="009A443B"/>
    <w:rsid w:val="009C4E12"/>
    <w:rsid w:val="009E28A4"/>
    <w:rsid w:val="00A02B3F"/>
    <w:rsid w:val="00A12CB8"/>
    <w:rsid w:val="00A460CA"/>
    <w:rsid w:val="00A726A9"/>
    <w:rsid w:val="00A74B50"/>
    <w:rsid w:val="00A97274"/>
    <w:rsid w:val="00AB4EAB"/>
    <w:rsid w:val="00AC0943"/>
    <w:rsid w:val="00AC2C37"/>
    <w:rsid w:val="00B277B9"/>
    <w:rsid w:val="00B52811"/>
    <w:rsid w:val="00BB0E32"/>
    <w:rsid w:val="00BC11B9"/>
    <w:rsid w:val="00BE016D"/>
    <w:rsid w:val="00BE0251"/>
    <w:rsid w:val="00C51E13"/>
    <w:rsid w:val="00C62054"/>
    <w:rsid w:val="00C62C23"/>
    <w:rsid w:val="00CA6CBF"/>
    <w:rsid w:val="00CA6D63"/>
    <w:rsid w:val="00CB27AA"/>
    <w:rsid w:val="00CB3904"/>
    <w:rsid w:val="00CD04B4"/>
    <w:rsid w:val="00CE4374"/>
    <w:rsid w:val="00CE666E"/>
    <w:rsid w:val="00CE7B8A"/>
    <w:rsid w:val="00D00DF8"/>
    <w:rsid w:val="00D11EAD"/>
    <w:rsid w:val="00D14DA8"/>
    <w:rsid w:val="00D243D4"/>
    <w:rsid w:val="00D368FD"/>
    <w:rsid w:val="00D82428"/>
    <w:rsid w:val="00D95785"/>
    <w:rsid w:val="00DA242A"/>
    <w:rsid w:val="00DD6056"/>
    <w:rsid w:val="00DE1DA0"/>
    <w:rsid w:val="00E031B3"/>
    <w:rsid w:val="00E607FE"/>
    <w:rsid w:val="00E61429"/>
    <w:rsid w:val="00EC0978"/>
    <w:rsid w:val="00F0066C"/>
    <w:rsid w:val="00F241DC"/>
    <w:rsid w:val="00F24751"/>
    <w:rsid w:val="00F31381"/>
    <w:rsid w:val="00F97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04E6B"/>
  <w15:chartTrackingRefBased/>
  <w15:docId w15:val="{2B1C9E3B-7622-C943-A508-FE481CE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6C8"/>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266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6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667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667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67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67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67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67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67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7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67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667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667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67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67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67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67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673F"/>
    <w:rPr>
      <w:rFonts w:eastAsiaTheme="majorEastAsia" w:cstheme="majorBidi"/>
      <w:color w:val="272727" w:themeColor="text1" w:themeTint="D8"/>
    </w:rPr>
  </w:style>
  <w:style w:type="paragraph" w:styleId="Title">
    <w:name w:val="Title"/>
    <w:basedOn w:val="Normal"/>
    <w:next w:val="Normal"/>
    <w:link w:val="TitleChar"/>
    <w:uiPriority w:val="10"/>
    <w:qFormat/>
    <w:rsid w:val="0026673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7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67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67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673F"/>
    <w:pPr>
      <w:spacing w:before="160"/>
      <w:jc w:val="center"/>
    </w:pPr>
    <w:rPr>
      <w:i/>
      <w:iCs/>
      <w:color w:val="404040" w:themeColor="text1" w:themeTint="BF"/>
    </w:rPr>
  </w:style>
  <w:style w:type="character" w:customStyle="1" w:styleId="QuoteChar">
    <w:name w:val="Quote Char"/>
    <w:basedOn w:val="DefaultParagraphFont"/>
    <w:link w:val="Quote"/>
    <w:uiPriority w:val="29"/>
    <w:rsid w:val="0026673F"/>
    <w:rPr>
      <w:i/>
      <w:iCs/>
      <w:color w:val="404040" w:themeColor="text1" w:themeTint="BF"/>
    </w:rPr>
  </w:style>
  <w:style w:type="paragraph" w:styleId="ListParagraph">
    <w:name w:val="List Paragraph"/>
    <w:basedOn w:val="Normal"/>
    <w:uiPriority w:val="34"/>
    <w:qFormat/>
    <w:rsid w:val="0026673F"/>
    <w:pPr>
      <w:ind w:left="720"/>
      <w:contextualSpacing/>
    </w:pPr>
  </w:style>
  <w:style w:type="character" w:styleId="IntenseEmphasis">
    <w:name w:val="Intense Emphasis"/>
    <w:basedOn w:val="DefaultParagraphFont"/>
    <w:uiPriority w:val="21"/>
    <w:qFormat/>
    <w:rsid w:val="0026673F"/>
    <w:rPr>
      <w:i/>
      <w:iCs/>
      <w:color w:val="0F4761" w:themeColor="accent1" w:themeShade="BF"/>
    </w:rPr>
  </w:style>
  <w:style w:type="paragraph" w:styleId="IntenseQuote">
    <w:name w:val="Intense Quote"/>
    <w:basedOn w:val="Normal"/>
    <w:next w:val="Normal"/>
    <w:link w:val="IntenseQuoteChar"/>
    <w:uiPriority w:val="30"/>
    <w:qFormat/>
    <w:rsid w:val="00266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673F"/>
    <w:rPr>
      <w:i/>
      <w:iCs/>
      <w:color w:val="0F4761" w:themeColor="accent1" w:themeShade="BF"/>
    </w:rPr>
  </w:style>
  <w:style w:type="character" w:styleId="IntenseReference">
    <w:name w:val="Intense Reference"/>
    <w:basedOn w:val="DefaultParagraphFont"/>
    <w:uiPriority w:val="32"/>
    <w:qFormat/>
    <w:rsid w:val="0026673F"/>
    <w:rPr>
      <w:b/>
      <w:bCs/>
      <w:smallCaps/>
      <w:color w:val="0F4761" w:themeColor="accent1" w:themeShade="BF"/>
      <w:spacing w:val="5"/>
    </w:rPr>
  </w:style>
  <w:style w:type="paragraph" w:styleId="NormalWeb">
    <w:name w:val="Normal (Web)"/>
    <w:basedOn w:val="Normal"/>
    <w:uiPriority w:val="99"/>
    <w:semiHidden/>
    <w:unhideWhenUsed/>
    <w:rsid w:val="0026673F"/>
    <w:pPr>
      <w:spacing w:before="100" w:beforeAutospacing="1" w:after="100" w:afterAutospacing="1"/>
    </w:pPr>
  </w:style>
  <w:style w:type="character" w:styleId="Strong">
    <w:name w:val="Strong"/>
    <w:basedOn w:val="DefaultParagraphFont"/>
    <w:uiPriority w:val="22"/>
    <w:qFormat/>
    <w:rsid w:val="0026673F"/>
    <w:rPr>
      <w:b/>
      <w:bCs/>
    </w:rPr>
  </w:style>
  <w:style w:type="paragraph" w:customStyle="1" w:styleId="paragraph">
    <w:name w:val="paragraph"/>
    <w:basedOn w:val="Normal"/>
    <w:rsid w:val="009351C0"/>
    <w:pPr>
      <w:spacing w:before="100" w:beforeAutospacing="1" w:after="100" w:afterAutospacing="1"/>
    </w:pPr>
  </w:style>
  <w:style w:type="character" w:customStyle="1" w:styleId="normaltextrun">
    <w:name w:val="normaltextrun"/>
    <w:basedOn w:val="DefaultParagraphFont"/>
    <w:rsid w:val="009351C0"/>
  </w:style>
  <w:style w:type="character" w:customStyle="1" w:styleId="eop">
    <w:name w:val="eop"/>
    <w:basedOn w:val="DefaultParagraphFont"/>
    <w:rsid w:val="009351C0"/>
  </w:style>
  <w:style w:type="character" w:styleId="Hyperlink">
    <w:name w:val="Hyperlink"/>
    <w:basedOn w:val="DefaultParagraphFont"/>
    <w:uiPriority w:val="99"/>
    <w:unhideWhenUsed/>
    <w:rsid w:val="00A726A9"/>
    <w:rPr>
      <w:color w:val="0000FF"/>
      <w:u w:val="single"/>
    </w:rPr>
  </w:style>
  <w:style w:type="character" w:styleId="FollowedHyperlink">
    <w:name w:val="FollowedHyperlink"/>
    <w:basedOn w:val="DefaultParagraphFont"/>
    <w:uiPriority w:val="99"/>
    <w:semiHidden/>
    <w:unhideWhenUsed/>
    <w:rsid w:val="00A726A9"/>
    <w:rPr>
      <w:color w:val="96607D" w:themeColor="followedHyperlink"/>
      <w:u w:val="single"/>
    </w:rPr>
  </w:style>
  <w:style w:type="character" w:styleId="UnresolvedMention">
    <w:name w:val="Unresolved Mention"/>
    <w:basedOn w:val="DefaultParagraphFont"/>
    <w:uiPriority w:val="99"/>
    <w:semiHidden/>
    <w:unhideWhenUsed/>
    <w:rsid w:val="00990F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144167">
      <w:bodyDiv w:val="1"/>
      <w:marLeft w:val="0"/>
      <w:marRight w:val="0"/>
      <w:marTop w:val="0"/>
      <w:marBottom w:val="0"/>
      <w:divBdr>
        <w:top w:val="none" w:sz="0" w:space="0" w:color="auto"/>
        <w:left w:val="none" w:sz="0" w:space="0" w:color="auto"/>
        <w:bottom w:val="none" w:sz="0" w:space="0" w:color="auto"/>
        <w:right w:val="none" w:sz="0" w:space="0" w:color="auto"/>
      </w:divBdr>
    </w:div>
    <w:div w:id="327056628">
      <w:bodyDiv w:val="1"/>
      <w:marLeft w:val="0"/>
      <w:marRight w:val="0"/>
      <w:marTop w:val="0"/>
      <w:marBottom w:val="0"/>
      <w:divBdr>
        <w:top w:val="none" w:sz="0" w:space="0" w:color="auto"/>
        <w:left w:val="none" w:sz="0" w:space="0" w:color="auto"/>
        <w:bottom w:val="none" w:sz="0" w:space="0" w:color="auto"/>
        <w:right w:val="none" w:sz="0" w:space="0" w:color="auto"/>
      </w:divBdr>
    </w:div>
    <w:div w:id="481509047">
      <w:bodyDiv w:val="1"/>
      <w:marLeft w:val="0"/>
      <w:marRight w:val="0"/>
      <w:marTop w:val="0"/>
      <w:marBottom w:val="0"/>
      <w:divBdr>
        <w:top w:val="none" w:sz="0" w:space="0" w:color="auto"/>
        <w:left w:val="none" w:sz="0" w:space="0" w:color="auto"/>
        <w:bottom w:val="none" w:sz="0" w:space="0" w:color="auto"/>
        <w:right w:val="none" w:sz="0" w:space="0" w:color="auto"/>
      </w:divBdr>
    </w:div>
    <w:div w:id="689992803">
      <w:bodyDiv w:val="1"/>
      <w:marLeft w:val="0"/>
      <w:marRight w:val="0"/>
      <w:marTop w:val="0"/>
      <w:marBottom w:val="0"/>
      <w:divBdr>
        <w:top w:val="none" w:sz="0" w:space="0" w:color="auto"/>
        <w:left w:val="none" w:sz="0" w:space="0" w:color="auto"/>
        <w:bottom w:val="none" w:sz="0" w:space="0" w:color="auto"/>
        <w:right w:val="none" w:sz="0" w:space="0" w:color="auto"/>
      </w:divBdr>
    </w:div>
    <w:div w:id="829366652">
      <w:bodyDiv w:val="1"/>
      <w:marLeft w:val="0"/>
      <w:marRight w:val="0"/>
      <w:marTop w:val="0"/>
      <w:marBottom w:val="0"/>
      <w:divBdr>
        <w:top w:val="none" w:sz="0" w:space="0" w:color="auto"/>
        <w:left w:val="none" w:sz="0" w:space="0" w:color="auto"/>
        <w:bottom w:val="none" w:sz="0" w:space="0" w:color="auto"/>
        <w:right w:val="none" w:sz="0" w:space="0" w:color="auto"/>
      </w:divBdr>
      <w:divsChild>
        <w:div w:id="1053503567">
          <w:marLeft w:val="0"/>
          <w:marRight w:val="0"/>
          <w:marTop w:val="0"/>
          <w:marBottom w:val="0"/>
          <w:divBdr>
            <w:top w:val="none" w:sz="0" w:space="0" w:color="auto"/>
            <w:left w:val="none" w:sz="0" w:space="0" w:color="auto"/>
            <w:bottom w:val="none" w:sz="0" w:space="0" w:color="auto"/>
            <w:right w:val="none" w:sz="0" w:space="0" w:color="auto"/>
          </w:divBdr>
        </w:div>
        <w:div w:id="1529872952">
          <w:marLeft w:val="0"/>
          <w:marRight w:val="0"/>
          <w:marTop w:val="0"/>
          <w:marBottom w:val="0"/>
          <w:divBdr>
            <w:top w:val="none" w:sz="0" w:space="0" w:color="auto"/>
            <w:left w:val="none" w:sz="0" w:space="0" w:color="auto"/>
            <w:bottom w:val="none" w:sz="0" w:space="0" w:color="auto"/>
            <w:right w:val="none" w:sz="0" w:space="0" w:color="auto"/>
          </w:divBdr>
        </w:div>
      </w:divsChild>
    </w:div>
    <w:div w:id="1050957167">
      <w:bodyDiv w:val="1"/>
      <w:marLeft w:val="0"/>
      <w:marRight w:val="0"/>
      <w:marTop w:val="0"/>
      <w:marBottom w:val="0"/>
      <w:divBdr>
        <w:top w:val="none" w:sz="0" w:space="0" w:color="auto"/>
        <w:left w:val="none" w:sz="0" w:space="0" w:color="auto"/>
        <w:bottom w:val="none" w:sz="0" w:space="0" w:color="auto"/>
        <w:right w:val="none" w:sz="0" w:space="0" w:color="auto"/>
      </w:divBdr>
    </w:div>
    <w:div w:id="1287392213">
      <w:bodyDiv w:val="1"/>
      <w:marLeft w:val="0"/>
      <w:marRight w:val="0"/>
      <w:marTop w:val="0"/>
      <w:marBottom w:val="0"/>
      <w:divBdr>
        <w:top w:val="none" w:sz="0" w:space="0" w:color="auto"/>
        <w:left w:val="none" w:sz="0" w:space="0" w:color="auto"/>
        <w:bottom w:val="none" w:sz="0" w:space="0" w:color="auto"/>
        <w:right w:val="none" w:sz="0" w:space="0" w:color="auto"/>
      </w:divBdr>
    </w:div>
    <w:div w:id="1340497718">
      <w:bodyDiv w:val="1"/>
      <w:marLeft w:val="0"/>
      <w:marRight w:val="0"/>
      <w:marTop w:val="0"/>
      <w:marBottom w:val="0"/>
      <w:divBdr>
        <w:top w:val="none" w:sz="0" w:space="0" w:color="auto"/>
        <w:left w:val="none" w:sz="0" w:space="0" w:color="auto"/>
        <w:bottom w:val="none" w:sz="0" w:space="0" w:color="auto"/>
        <w:right w:val="none" w:sz="0" w:space="0" w:color="auto"/>
      </w:divBdr>
    </w:div>
    <w:div w:id="2113547380">
      <w:bodyDiv w:val="1"/>
      <w:marLeft w:val="0"/>
      <w:marRight w:val="0"/>
      <w:marTop w:val="0"/>
      <w:marBottom w:val="0"/>
      <w:divBdr>
        <w:top w:val="none" w:sz="0" w:space="0" w:color="auto"/>
        <w:left w:val="none" w:sz="0" w:space="0" w:color="auto"/>
        <w:bottom w:val="none" w:sz="0" w:space="0" w:color="auto"/>
        <w:right w:val="none" w:sz="0" w:space="0" w:color="auto"/>
      </w:divBdr>
    </w:div>
    <w:div w:id="213544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unitedhealthgroup.com/investors/financial-report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png"/><Relationship Id="rId24" Type="http://schemas.openxmlformats.org/officeDocument/2006/relationships/hyperlink" Target="https://macrotrends.net/stocks/charts/UNH/unitedhealth-group/financial-statements" TargetMode="External"/><Relationship Id="rId5" Type="http://schemas.openxmlformats.org/officeDocument/2006/relationships/image" Target="media/image1.png"/><Relationship Id="rId15" Type="http://schemas.openxmlformats.org/officeDocument/2006/relationships/chart" Target="charts/chart3.xml"/><Relationship Id="rId23" Type="http://schemas.openxmlformats.org/officeDocument/2006/relationships/hyperlink" Target="https://www.unitedhealthgroup.com/"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hart" Target="charts/chart2.xml"/><Relationship Id="rId22" Type="http://schemas.openxmlformats.org/officeDocument/2006/relationships/chart" Target="charts/chart6.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ndureddy\Downloads\DSCI%205330%20Assignment%202_Group5_updat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ndureddy\Downloads\DSCI%205330%20Assignment%202_Group5_updat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ndureddy\Downloads\DSCI%205330%20Assignment%202_Group5_updat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ndureddy\Downloads\DSCI%205330%20Assignment%202_Group5_updat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ndureddy\Downloads\DSCI%205330%20Assignment%202_Group5_updat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ndureddy\Downloads\DSCI%205330%20Assignment%202_Group5_updated.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Revenue, Net Income, &amp; Profit Trends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'Income Statement '!$A$3</c:f>
              <c:strCache>
                <c:ptCount val="1"/>
                <c:pt idx="0">
                  <c:v>Revenue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'Income Statement '!$B$2:$K$2</c:f>
              <c:numCache>
                <c:formatCode>0</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'Income Statement '!$B$3:$K$3</c:f>
              <c:numCache>
                <c:formatCode>0</c:formatCode>
                <c:ptCount val="10"/>
                <c:pt idx="0">
                  <c:v>157107</c:v>
                </c:pt>
                <c:pt idx="1">
                  <c:v>184840</c:v>
                </c:pt>
                <c:pt idx="2">
                  <c:v>201159</c:v>
                </c:pt>
                <c:pt idx="3">
                  <c:v>226247</c:v>
                </c:pt>
                <c:pt idx="4">
                  <c:v>242155</c:v>
                </c:pt>
                <c:pt idx="5">
                  <c:v>257141</c:v>
                </c:pt>
                <c:pt idx="6">
                  <c:v>287597</c:v>
                </c:pt>
                <c:pt idx="7">
                  <c:v>324162</c:v>
                </c:pt>
                <c:pt idx="8">
                  <c:v>371622</c:v>
                </c:pt>
                <c:pt idx="9">
                  <c:v>400278</c:v>
                </c:pt>
              </c:numCache>
            </c:numRef>
          </c:val>
          <c:smooth val="0"/>
          <c:extLst>
            <c:ext xmlns:c16="http://schemas.microsoft.com/office/drawing/2014/chart" uri="{C3380CC4-5D6E-409C-BE32-E72D297353CC}">
              <c16:uniqueId val="{00000000-1AD3-CE46-AC93-E7C747FC1ACE}"/>
            </c:ext>
          </c:extLst>
        </c:ser>
        <c:ser>
          <c:idx val="1"/>
          <c:order val="1"/>
          <c:tx>
            <c:strRef>
              <c:f>'Income Statement '!$A$5</c:f>
              <c:strCache>
                <c:ptCount val="1"/>
                <c:pt idx="0">
                  <c:v>Gross Profit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'Income Statement '!$B$2:$K$2</c:f>
              <c:numCache>
                <c:formatCode>0</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'Income Statement '!$B$5:$K$5</c:f>
              <c:numCache>
                <c:formatCode>0</c:formatCode>
                <c:ptCount val="10"/>
                <c:pt idx="0">
                  <c:v>37026</c:v>
                </c:pt>
                <c:pt idx="1">
                  <c:v>43386</c:v>
                </c:pt>
                <c:pt idx="2">
                  <c:v>47011</c:v>
                </c:pt>
                <c:pt idx="3">
                  <c:v>53846</c:v>
                </c:pt>
                <c:pt idx="4">
                  <c:v>57598</c:v>
                </c:pt>
                <c:pt idx="5">
                  <c:v>67000</c:v>
                </c:pt>
                <c:pt idx="6">
                  <c:v>69652</c:v>
                </c:pt>
                <c:pt idx="7">
                  <c:v>79617</c:v>
                </c:pt>
                <c:pt idx="8">
                  <c:v>90958</c:v>
                </c:pt>
                <c:pt idx="9">
                  <c:v>89399</c:v>
                </c:pt>
              </c:numCache>
            </c:numRef>
          </c:val>
          <c:smooth val="0"/>
          <c:extLst>
            <c:ext xmlns:c16="http://schemas.microsoft.com/office/drawing/2014/chart" uri="{C3380CC4-5D6E-409C-BE32-E72D297353CC}">
              <c16:uniqueId val="{00000001-1AD3-CE46-AC93-E7C747FC1ACE}"/>
            </c:ext>
          </c:extLst>
        </c:ser>
        <c:ser>
          <c:idx val="2"/>
          <c:order val="2"/>
          <c:tx>
            <c:strRef>
              <c:f>'Income Statement '!$A$12</c:f>
              <c:strCache>
                <c:ptCount val="1"/>
                <c:pt idx="0">
                  <c:v>Net Income</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'Income Statement '!$B$2:$K$2</c:f>
              <c:numCache>
                <c:formatCode>0</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'Income Statement '!$B$12:$K$12</c:f>
              <c:numCache>
                <c:formatCode>0</c:formatCode>
                <c:ptCount val="10"/>
                <c:pt idx="0">
                  <c:v>5868</c:v>
                </c:pt>
                <c:pt idx="1">
                  <c:v>7073</c:v>
                </c:pt>
                <c:pt idx="2">
                  <c:v>10823</c:v>
                </c:pt>
                <c:pt idx="3">
                  <c:v>12382</c:v>
                </c:pt>
                <c:pt idx="4">
                  <c:v>14239</c:v>
                </c:pt>
                <c:pt idx="5">
                  <c:v>15769</c:v>
                </c:pt>
                <c:pt idx="6">
                  <c:v>17732</c:v>
                </c:pt>
                <c:pt idx="7">
                  <c:v>20639</c:v>
                </c:pt>
                <c:pt idx="8">
                  <c:v>23144</c:v>
                </c:pt>
                <c:pt idx="9">
                  <c:v>15242</c:v>
                </c:pt>
              </c:numCache>
            </c:numRef>
          </c:val>
          <c:smooth val="0"/>
          <c:extLst>
            <c:ext xmlns:c16="http://schemas.microsoft.com/office/drawing/2014/chart" uri="{C3380CC4-5D6E-409C-BE32-E72D297353CC}">
              <c16:uniqueId val="{00000002-1AD3-CE46-AC93-E7C747FC1ACE}"/>
            </c:ext>
          </c:extLst>
        </c:ser>
        <c:dLbls>
          <c:showLegendKey val="0"/>
          <c:showVal val="0"/>
          <c:showCatName val="0"/>
          <c:showSerName val="0"/>
          <c:showPercent val="0"/>
          <c:showBubbleSize val="0"/>
        </c:dLbls>
        <c:smooth val="0"/>
        <c:axId val="1926839632"/>
        <c:axId val="1926840112"/>
      </c:lineChart>
      <c:catAx>
        <c:axId val="192683963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26840112"/>
        <c:crosses val="autoZero"/>
        <c:auto val="1"/>
        <c:lblAlgn val="ctr"/>
        <c:lblOffset val="100"/>
        <c:noMultiLvlLbl val="0"/>
      </c:catAx>
      <c:valAx>
        <c:axId val="192684011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(Millions of Dollars)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2683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Analysis!$A$27</c:f>
              <c:strCache>
                <c:ptCount val="1"/>
                <c:pt idx="0">
                  <c:v>Net Profit Margin</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Analysis!$B$25:$K$25</c:f>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Analysis!$B$27:$K$27</c:f>
              <c:numCache>
                <c:formatCode>0%</c:formatCode>
                <c:ptCount val="10"/>
                <c:pt idx="0">
                  <c:v>3.7350340850503164E-2</c:v>
                </c:pt>
                <c:pt idx="1">
                  <c:v>3.8265526942220296E-2</c:v>
                </c:pt>
                <c:pt idx="2">
                  <c:v>5.3803210395756591E-2</c:v>
                </c:pt>
                <c:pt idx="3">
                  <c:v>5.4727797495657399E-2</c:v>
                </c:pt>
                <c:pt idx="4">
                  <c:v>5.8801181061716667E-2</c:v>
                </c:pt>
                <c:pt idx="5">
                  <c:v>6.1324331786840686E-2</c:v>
                </c:pt>
                <c:pt idx="6">
                  <c:v>6.1655719635462125E-2</c:v>
                </c:pt>
                <c:pt idx="7">
                  <c:v>6.3668782892504369E-2</c:v>
                </c:pt>
                <c:pt idx="8">
                  <c:v>6.2278336589330019E-2</c:v>
                </c:pt>
                <c:pt idx="9">
                  <c:v>3.8078535417884571E-2</c:v>
                </c:pt>
              </c:numCache>
            </c:numRef>
          </c:val>
          <c:extLst>
            <c:ext xmlns:c16="http://schemas.microsoft.com/office/drawing/2014/chart" uri="{C3380CC4-5D6E-409C-BE32-E72D297353CC}">
              <c16:uniqueId val="{00000000-F2CF-9044-94EC-4BA8DA7B1070}"/>
            </c:ext>
          </c:extLst>
        </c:ser>
        <c:dLbls>
          <c:dLblPos val="inEnd"/>
          <c:showLegendKey val="0"/>
          <c:showVal val="1"/>
          <c:showCatName val="0"/>
          <c:showSerName val="0"/>
          <c:showPercent val="0"/>
          <c:showBubbleSize val="0"/>
        </c:dLbls>
        <c:gapWidth val="65"/>
        <c:axId val="186688832"/>
        <c:axId val="186688352"/>
      </c:barChart>
      <c:catAx>
        <c:axId val="18668883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86688352"/>
        <c:crosses val="autoZero"/>
        <c:auto val="1"/>
        <c:lblAlgn val="ctr"/>
        <c:lblOffset val="100"/>
        <c:noMultiLvlLbl val="0"/>
      </c:catAx>
      <c:valAx>
        <c:axId val="18668835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8668883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Analysis!$A$26</c:f>
              <c:strCache>
                <c:ptCount val="1"/>
                <c:pt idx="0">
                  <c:v>Gross Margin</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Analysis!$B$25:$K$25</c:f>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Analysis!$B$26:$K$26</c:f>
              <c:numCache>
                <c:formatCode>0%</c:formatCode>
                <c:ptCount val="10"/>
                <c:pt idx="0">
                  <c:v>0.23567377647081289</c:v>
                </c:pt>
                <c:pt idx="1">
                  <c:v>0.23472192166197792</c:v>
                </c:pt>
                <c:pt idx="2">
                  <c:v>0.23370070441789828</c:v>
                </c:pt>
                <c:pt idx="3">
                  <c:v>0.23799652592078568</c:v>
                </c:pt>
                <c:pt idx="4">
                  <c:v>0.23785591872973921</c:v>
                </c:pt>
                <c:pt idx="5">
                  <c:v>0.26055743735926984</c:v>
                </c:pt>
                <c:pt idx="6">
                  <c:v>0.24218611459785741</c:v>
                </c:pt>
                <c:pt idx="7">
                  <c:v>0.24560867714291001</c:v>
                </c:pt>
                <c:pt idx="8">
                  <c:v>0.2447594598812772</c:v>
                </c:pt>
                <c:pt idx="9">
                  <c:v>0.2233422771174034</c:v>
                </c:pt>
              </c:numCache>
            </c:numRef>
          </c:val>
          <c:extLst>
            <c:ext xmlns:c16="http://schemas.microsoft.com/office/drawing/2014/chart" uri="{C3380CC4-5D6E-409C-BE32-E72D297353CC}">
              <c16:uniqueId val="{00000000-DF4C-AA48-8B80-89F172B3C2D3}"/>
            </c:ext>
          </c:extLst>
        </c:ser>
        <c:dLbls>
          <c:dLblPos val="inEnd"/>
          <c:showLegendKey val="0"/>
          <c:showVal val="1"/>
          <c:showCatName val="0"/>
          <c:showSerName val="0"/>
          <c:showPercent val="0"/>
          <c:showBubbleSize val="0"/>
        </c:dLbls>
        <c:gapWidth val="65"/>
        <c:axId val="125383744"/>
        <c:axId val="125382784"/>
      </c:barChart>
      <c:catAx>
        <c:axId val="12538374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5382784"/>
        <c:crosses val="autoZero"/>
        <c:auto val="1"/>
        <c:lblAlgn val="ctr"/>
        <c:lblOffset val="100"/>
        <c:noMultiLvlLbl val="0"/>
      </c:catAx>
      <c:valAx>
        <c:axId val="12538278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25383744"/>
        <c:crosses val="autoZero"/>
        <c:crossBetween val="between"/>
      </c:valAx>
      <c:spPr>
        <a:noFill/>
        <a:ln w="25400">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Analysis!$A$43</c:f>
              <c:strCache>
                <c:ptCount val="1"/>
                <c:pt idx="0">
                  <c:v>Debt-to-Equity</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Analysis!$B$42:$K$42</c:f>
              <c:numCache>
                <c:formatCode>0</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Analysis!$B$43:$K$43</c:f>
              <c:numCache>
                <c:formatCode>0.00</c:formatCode>
                <c:ptCount val="10"/>
                <c:pt idx="0">
                  <c:v>1.6616749861342208</c:v>
                </c:pt>
                <c:pt idx="1">
                  <c:v>2.2988584136397332</c:v>
                </c:pt>
                <c:pt idx="2">
                  <c:v>2.2168583178353458</c:v>
                </c:pt>
                <c:pt idx="3">
                  <c:v>1.7904802038809624</c:v>
                </c:pt>
                <c:pt idx="4">
                  <c:v>1.8023527679080984</c:v>
                </c:pt>
                <c:pt idx="5">
                  <c:v>1.8772420411675161</c:v>
                </c:pt>
                <c:pt idx="6">
                  <c:v>1.887381454162276</c:v>
                </c:pt>
                <c:pt idx="7">
                  <c:v>1.8277167033113466</c:v>
                </c:pt>
                <c:pt idx="8">
                  <c:v>2.016635972989564</c:v>
                </c:pt>
                <c:pt idx="9">
                  <c:v>1.8989313817900679</c:v>
                </c:pt>
              </c:numCache>
            </c:numRef>
          </c:val>
          <c:extLst>
            <c:ext xmlns:c16="http://schemas.microsoft.com/office/drawing/2014/chart" uri="{C3380CC4-5D6E-409C-BE32-E72D297353CC}">
              <c16:uniqueId val="{00000000-293B-5342-A706-13A4396C4724}"/>
            </c:ext>
          </c:extLst>
        </c:ser>
        <c:dLbls>
          <c:dLblPos val="inEnd"/>
          <c:showLegendKey val="0"/>
          <c:showVal val="1"/>
          <c:showCatName val="0"/>
          <c:showSerName val="0"/>
          <c:showPercent val="0"/>
          <c:showBubbleSize val="0"/>
        </c:dLbls>
        <c:gapWidth val="65"/>
        <c:axId val="1274338096"/>
        <c:axId val="1274334736"/>
      </c:barChart>
      <c:catAx>
        <c:axId val="1274338096"/>
        <c:scaling>
          <c:orientation val="minMax"/>
        </c:scaling>
        <c:delete val="0"/>
        <c:axPos val="b"/>
        <c:numFmt formatCode="0"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74334736"/>
        <c:crosses val="autoZero"/>
        <c:auto val="1"/>
        <c:lblAlgn val="ctr"/>
        <c:lblOffset val="100"/>
        <c:noMultiLvlLbl val="0"/>
      </c:catAx>
      <c:valAx>
        <c:axId val="127433473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sourceLinked="1"/>
        <c:majorTickMark val="none"/>
        <c:minorTickMark val="none"/>
        <c:tickLblPos val="nextTo"/>
        <c:crossAx val="127433809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Analysis!$A$44</c:f>
              <c:strCache>
                <c:ptCount val="1"/>
                <c:pt idx="0">
                  <c:v>Asset Turnover</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Analysis!$B$42:$K$42</c:f>
              <c:numCache>
                <c:formatCode>0</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Analysis!$B$44:$K$44</c:f>
              <c:numCache>
                <c:formatCode>0.00</c:formatCode>
                <c:ptCount val="10"/>
                <c:pt idx="0">
                  <c:v>1.8187469611724665</c:v>
                </c:pt>
                <c:pt idx="1">
                  <c:v>1.661423409495389</c:v>
                </c:pt>
                <c:pt idx="2">
                  <c:v>1.6379692207474961</c:v>
                </c:pt>
                <c:pt idx="3">
                  <c:v>1.6269973680047174</c:v>
                </c:pt>
                <c:pt idx="4">
                  <c:v>1.5908120430164039</c:v>
                </c:pt>
                <c:pt idx="5">
                  <c:v>1.478765189287419</c:v>
                </c:pt>
                <c:pt idx="6">
                  <c:v>1.4577447298126098</c:v>
                </c:pt>
                <c:pt idx="7">
                  <c:v>1.5275816894904009</c:v>
                </c:pt>
                <c:pt idx="8">
                  <c:v>1.5124722736615046</c:v>
                </c:pt>
                <c:pt idx="9">
                  <c:v>1.4623629986847875</c:v>
                </c:pt>
              </c:numCache>
            </c:numRef>
          </c:val>
          <c:smooth val="0"/>
          <c:extLst>
            <c:ext xmlns:c16="http://schemas.microsoft.com/office/drawing/2014/chart" uri="{C3380CC4-5D6E-409C-BE32-E72D297353CC}">
              <c16:uniqueId val="{00000000-F9AF-8443-AF9E-9EC5FCE36FCA}"/>
            </c:ext>
          </c:extLst>
        </c:ser>
        <c:dLbls>
          <c:dLblPos val="ctr"/>
          <c:showLegendKey val="0"/>
          <c:showVal val="1"/>
          <c:showCatName val="0"/>
          <c:showSerName val="0"/>
          <c:showPercent val="0"/>
          <c:showBubbleSize val="0"/>
        </c:dLbls>
        <c:marker val="1"/>
        <c:smooth val="0"/>
        <c:axId val="1279196624"/>
        <c:axId val="1279195664"/>
      </c:lineChart>
      <c:catAx>
        <c:axId val="1279196624"/>
        <c:scaling>
          <c:orientation val="minMax"/>
        </c:scaling>
        <c:delete val="0"/>
        <c:axPos val="b"/>
        <c:numFmt formatCode="0"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79195664"/>
        <c:crosses val="autoZero"/>
        <c:auto val="1"/>
        <c:lblAlgn val="ctr"/>
        <c:lblOffset val="100"/>
        <c:noMultiLvlLbl val="0"/>
      </c:catAx>
      <c:valAx>
        <c:axId val="127919566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sourceLinked="1"/>
        <c:majorTickMark val="none"/>
        <c:minorTickMark val="none"/>
        <c:tickLblPos val="nextTo"/>
        <c:crossAx val="127919662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Analysis!$A$45</c:f>
              <c:strCache>
                <c:ptCount val="1"/>
                <c:pt idx="0">
                  <c:v>Receivables Turnover</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Analysis!$B$42:$K$42</c:f>
              <c:numCache>
                <c:formatCode>0</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Analysis!$B$45:$K$45</c:f>
              <c:numCache>
                <c:formatCode>0.00</c:formatCode>
                <c:ptCount val="10"/>
                <c:pt idx="0">
                  <c:v>16.113538461538461</c:v>
                </c:pt>
                <c:pt idx="1">
                  <c:v>13.872710897628339</c:v>
                </c:pt>
                <c:pt idx="2">
                  <c:v>12.852788959171939</c:v>
                </c:pt>
                <c:pt idx="3">
                  <c:v>14.292293114339861</c:v>
                </c:pt>
                <c:pt idx="4">
                  <c:v>13.268767123287672</c:v>
                </c:pt>
                <c:pt idx="5">
                  <c:v>11.981222626036717</c:v>
                </c:pt>
                <c:pt idx="6">
                  <c:v>11.320933711226578</c:v>
                </c:pt>
                <c:pt idx="7">
                  <c:v>11.543408589131829</c:v>
                </c:pt>
                <c:pt idx="8">
                  <c:v>21.018155081726146</c:v>
                </c:pt>
                <c:pt idx="9">
                  <c:v>18.813592780597858</c:v>
                </c:pt>
              </c:numCache>
            </c:numRef>
          </c:val>
          <c:smooth val="0"/>
          <c:extLst>
            <c:ext xmlns:c16="http://schemas.microsoft.com/office/drawing/2014/chart" uri="{C3380CC4-5D6E-409C-BE32-E72D297353CC}">
              <c16:uniqueId val="{00000000-DEC3-E14A-9362-4713B114C1FA}"/>
            </c:ext>
          </c:extLst>
        </c:ser>
        <c:dLbls>
          <c:dLblPos val="ctr"/>
          <c:showLegendKey val="0"/>
          <c:showVal val="1"/>
          <c:showCatName val="0"/>
          <c:showSerName val="0"/>
          <c:showPercent val="0"/>
          <c:showBubbleSize val="0"/>
        </c:dLbls>
        <c:marker val="1"/>
        <c:smooth val="0"/>
        <c:axId val="181175680"/>
        <c:axId val="181176160"/>
      </c:lineChart>
      <c:catAx>
        <c:axId val="181175680"/>
        <c:scaling>
          <c:orientation val="minMax"/>
        </c:scaling>
        <c:delete val="0"/>
        <c:axPos val="b"/>
        <c:numFmt formatCode="0"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81176160"/>
        <c:crosses val="autoZero"/>
        <c:auto val="1"/>
        <c:lblAlgn val="ctr"/>
        <c:lblOffset val="100"/>
        <c:noMultiLvlLbl val="0"/>
      </c:catAx>
      <c:valAx>
        <c:axId val="18117616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sourceLinked="1"/>
        <c:majorTickMark val="none"/>
        <c:minorTickMark val="none"/>
        <c:tickLblPos val="nextTo"/>
        <c:crossAx val="18117568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11</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Battula, Indu</dc:creator>
  <cp:keywords/>
  <dc:description/>
  <cp:lastModifiedBy>Ramachandra Reddy, Anushareddy</cp:lastModifiedBy>
  <cp:revision>2</cp:revision>
  <dcterms:created xsi:type="dcterms:W3CDTF">2025-07-10T22:34:00Z</dcterms:created>
  <dcterms:modified xsi:type="dcterms:W3CDTF">2025-07-10T22:34:00Z</dcterms:modified>
</cp:coreProperties>
</file>