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7109D" w14:textId="77777777" w:rsidR="00C77C79" w:rsidRDefault="00C77C79" w:rsidP="480B493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p>
    <w:p w14:paraId="37AE875F" w14:textId="77777777" w:rsidR="00C77C79" w:rsidRDefault="00C77C79" w:rsidP="480B4935">
      <w:pPr>
        <w:spacing w:before="240" w:after="240"/>
        <w:jc w:val="center"/>
        <w:rPr>
          <w:rFonts w:ascii="Times New Roman" w:eastAsia="Times New Roman" w:hAnsi="Times New Roman" w:cs="Times New Roman"/>
          <w:b/>
          <w:bCs/>
          <w:sz w:val="40"/>
          <w:szCs w:val="40"/>
        </w:rPr>
      </w:pPr>
    </w:p>
    <w:p w14:paraId="4560DA6D" w14:textId="77777777" w:rsidR="00C77C79" w:rsidRDefault="00C77C79" w:rsidP="480B4935">
      <w:pPr>
        <w:spacing w:before="240" w:after="240"/>
        <w:jc w:val="center"/>
        <w:rPr>
          <w:rFonts w:ascii="Times New Roman" w:eastAsia="Times New Roman" w:hAnsi="Times New Roman" w:cs="Times New Roman"/>
          <w:b/>
          <w:bCs/>
          <w:sz w:val="40"/>
          <w:szCs w:val="40"/>
        </w:rPr>
      </w:pPr>
    </w:p>
    <w:p w14:paraId="69333CEB" w14:textId="77777777" w:rsidR="00C77C79" w:rsidRDefault="00C77C79" w:rsidP="480B4935">
      <w:pPr>
        <w:spacing w:before="240" w:after="240"/>
        <w:jc w:val="center"/>
        <w:rPr>
          <w:rFonts w:ascii="Times New Roman" w:eastAsia="Times New Roman" w:hAnsi="Times New Roman" w:cs="Times New Roman"/>
          <w:b/>
          <w:bCs/>
          <w:sz w:val="40"/>
          <w:szCs w:val="40"/>
        </w:rPr>
      </w:pPr>
    </w:p>
    <w:p w14:paraId="52152A11" w14:textId="77777777" w:rsidR="00C77C79" w:rsidRDefault="00C77C79" w:rsidP="480B4935">
      <w:pPr>
        <w:spacing w:before="240" w:after="240"/>
        <w:jc w:val="center"/>
        <w:rPr>
          <w:rFonts w:ascii="Times New Roman" w:eastAsia="Times New Roman" w:hAnsi="Times New Roman" w:cs="Times New Roman"/>
          <w:b/>
          <w:bCs/>
          <w:sz w:val="40"/>
          <w:szCs w:val="40"/>
        </w:rPr>
      </w:pPr>
    </w:p>
    <w:p w14:paraId="24C20C96" w14:textId="77777777" w:rsidR="00C77C79" w:rsidRDefault="00C77C79" w:rsidP="480B4935">
      <w:pPr>
        <w:spacing w:before="240" w:after="240"/>
        <w:jc w:val="center"/>
        <w:rPr>
          <w:rFonts w:ascii="Times New Roman" w:eastAsia="Times New Roman" w:hAnsi="Times New Roman" w:cs="Times New Roman"/>
          <w:b/>
          <w:bCs/>
          <w:sz w:val="40"/>
          <w:szCs w:val="40"/>
        </w:rPr>
      </w:pPr>
    </w:p>
    <w:p w14:paraId="39B92C2F" w14:textId="10FBBE59" w:rsidR="00C77C79" w:rsidRDefault="5ECC47CD" w:rsidP="480B4935">
      <w:pPr>
        <w:spacing w:before="240" w:after="240"/>
        <w:jc w:val="center"/>
        <w:rPr>
          <w:rFonts w:ascii="Times New Roman" w:eastAsia="Times New Roman" w:hAnsi="Times New Roman" w:cs="Times New Roman"/>
          <w:b/>
          <w:bCs/>
          <w:sz w:val="40"/>
          <w:szCs w:val="40"/>
        </w:rPr>
      </w:pPr>
      <w:r w:rsidRPr="480B4935">
        <w:rPr>
          <w:rFonts w:ascii="Times New Roman" w:eastAsia="Times New Roman" w:hAnsi="Times New Roman" w:cs="Times New Roman"/>
          <w:b/>
          <w:bCs/>
          <w:sz w:val="40"/>
          <w:szCs w:val="40"/>
        </w:rPr>
        <w:t xml:space="preserve">UNITED HEALTH GROUP’S MANAGEMENT STRATEGY </w:t>
      </w:r>
    </w:p>
    <w:p w14:paraId="0FE0E231" w14:textId="77777777" w:rsidR="00C77C79" w:rsidRDefault="00C77C79" w:rsidP="00C77C79">
      <w:pPr>
        <w:spacing w:before="240" w:after="240"/>
        <w:jc w:val="center"/>
        <w:rPr>
          <w:rFonts w:ascii="Times New Roman" w:eastAsia="Times New Roman" w:hAnsi="Times New Roman" w:cs="Times New Roman"/>
        </w:rPr>
      </w:pPr>
    </w:p>
    <w:p w14:paraId="0DB36F70" w14:textId="79B0CA22" w:rsidR="00C77C79" w:rsidRDefault="5ECC47CD" w:rsidP="480B4935">
      <w:pPr>
        <w:spacing w:beforeAutospacing="1" w:afterAutospacing="1"/>
        <w:jc w:val="center"/>
        <w:outlineLvl w:val="2"/>
        <w:rPr>
          <w:rFonts w:ascii="Times New Roman" w:eastAsia="Times New Roman" w:hAnsi="Times New Roman" w:cs="Times New Roman"/>
          <w:sz w:val="28"/>
          <w:szCs w:val="28"/>
        </w:rPr>
      </w:pPr>
      <w:r w:rsidRPr="480B4935">
        <w:rPr>
          <w:rFonts w:ascii="Times New Roman" w:eastAsia="Times New Roman" w:hAnsi="Times New Roman" w:cs="Times New Roman"/>
          <w:sz w:val="28"/>
          <w:szCs w:val="28"/>
        </w:rPr>
        <w:t xml:space="preserve">Anushareddy </w:t>
      </w:r>
      <w:r w:rsidR="00A93A5F" w:rsidRPr="480B4935">
        <w:rPr>
          <w:rFonts w:ascii="Times New Roman" w:eastAsia="Times New Roman" w:hAnsi="Times New Roman" w:cs="Times New Roman"/>
          <w:sz w:val="28"/>
          <w:szCs w:val="28"/>
        </w:rPr>
        <w:t>R</w:t>
      </w:r>
      <w:r w:rsidR="00A93A5F">
        <w:rPr>
          <w:rFonts w:ascii="Times New Roman" w:eastAsia="Times New Roman" w:hAnsi="Times New Roman" w:cs="Times New Roman"/>
          <w:sz w:val="28"/>
          <w:szCs w:val="28"/>
        </w:rPr>
        <w:t>am</w:t>
      </w:r>
      <w:r w:rsidR="00A93A5F" w:rsidRPr="480B4935">
        <w:rPr>
          <w:rFonts w:ascii="Times New Roman" w:eastAsia="Times New Roman" w:hAnsi="Times New Roman" w:cs="Times New Roman"/>
          <w:sz w:val="28"/>
          <w:szCs w:val="28"/>
        </w:rPr>
        <w:t>achandra</w:t>
      </w:r>
      <w:r w:rsidR="00A93A5F">
        <w:rPr>
          <w:rFonts w:ascii="Times New Roman" w:eastAsia="Times New Roman" w:hAnsi="Times New Roman" w:cs="Times New Roman"/>
          <w:sz w:val="28"/>
          <w:szCs w:val="28"/>
        </w:rPr>
        <w:t xml:space="preserve"> Reddy</w:t>
      </w:r>
    </w:p>
    <w:p w14:paraId="699F43D0" w14:textId="540DBA64" w:rsidR="00C77C79" w:rsidRDefault="5ECC47CD" w:rsidP="480B4935">
      <w:pPr>
        <w:spacing w:before="100" w:beforeAutospacing="1" w:afterAutospacing="1"/>
        <w:jc w:val="both"/>
        <w:outlineLvl w:val="2"/>
        <w:rPr>
          <w:rFonts w:ascii="Times New Roman" w:eastAsia="Times New Roman" w:hAnsi="Times New Roman" w:cs="Times New Roman"/>
          <w:sz w:val="28"/>
          <w:szCs w:val="28"/>
        </w:rPr>
      </w:pPr>
      <w:r w:rsidRPr="480B4935">
        <w:rPr>
          <w:rFonts w:ascii="Times New Roman" w:eastAsia="Times New Roman" w:hAnsi="Times New Roman" w:cs="Times New Roman"/>
          <w:sz w:val="28"/>
          <w:szCs w:val="28"/>
        </w:rPr>
        <w:t xml:space="preserve">              </w:t>
      </w:r>
    </w:p>
    <w:p w14:paraId="01E049BB" w14:textId="0F49AFC4" w:rsidR="00C77C79" w:rsidRDefault="00C77C79" w:rsidP="480B4935">
      <w:pPr>
        <w:spacing w:before="100" w:beforeAutospacing="1" w:after="100" w:afterAutospacing="1"/>
        <w:rPr>
          <w:rFonts w:ascii="Times New Roman" w:eastAsia="Times New Roman" w:hAnsi="Times New Roman" w:cs="Times New Roman"/>
        </w:rPr>
      </w:pPr>
      <w:r w:rsidRPr="480B4935">
        <w:rPr>
          <w:rFonts w:ascii="Times New Roman" w:eastAsia="Times New Roman" w:hAnsi="Times New Roman" w:cs="Times New Roman"/>
        </w:rPr>
        <w:br w:type="page"/>
      </w:r>
    </w:p>
    <w:p w14:paraId="23C4278C" w14:textId="5AE5FD6F" w:rsidR="00C77C79" w:rsidRDefault="5ECC47CD" w:rsidP="480B4935">
      <w:pPr>
        <w:spacing w:before="100" w:beforeAutospacing="1" w:afterAutospacing="1"/>
        <w:jc w:val="both"/>
        <w:outlineLvl w:val="2"/>
        <w:rPr>
          <w:rFonts w:ascii="Times New Roman" w:eastAsia="Times New Roman" w:hAnsi="Times New Roman" w:cs="Times New Roman"/>
          <w:b/>
          <w:bCs/>
          <w:color w:val="000000"/>
          <w:kern w:val="0"/>
          <w:sz w:val="27"/>
          <w:szCs w:val="27"/>
          <w:lang w:eastAsia="en-GB"/>
          <w14:ligatures w14:val="none"/>
        </w:rPr>
      </w:pPr>
      <w:r w:rsidRPr="480B4935">
        <w:rPr>
          <w:rFonts w:ascii="Times New Roman" w:eastAsia="Times New Roman" w:hAnsi="Times New Roman" w:cs="Times New Roman"/>
          <w:sz w:val="28"/>
          <w:szCs w:val="28"/>
        </w:rPr>
        <w:lastRenderedPageBreak/>
        <w:t xml:space="preserve">                                              </w:t>
      </w:r>
    </w:p>
    <w:p w14:paraId="26C10D10" w14:textId="36C7D6DF" w:rsidR="004E212D" w:rsidRPr="00C77C79" w:rsidRDefault="013C7C9D" w:rsidP="480B4935">
      <w:pPr>
        <w:pStyle w:val="ListParagraph"/>
        <w:numPr>
          <w:ilvl w:val="0"/>
          <w:numId w:val="21"/>
        </w:numPr>
        <w:spacing w:before="100" w:beforeAutospacing="1" w:after="100" w:afterAutospacing="1"/>
        <w:outlineLvl w:val="2"/>
        <w:rPr>
          <w:rFonts w:ascii="Times New Roman" w:eastAsia="Times New Roman" w:hAnsi="Times New Roman" w:cs="Times New Roman"/>
          <w:b/>
          <w:bCs/>
          <w:color w:val="000000"/>
          <w:kern w:val="0"/>
          <w:sz w:val="28"/>
          <w:szCs w:val="28"/>
          <w:lang w:eastAsia="en-GB"/>
          <w14:ligatures w14:val="none"/>
        </w:rPr>
      </w:pPr>
      <w:r w:rsidRPr="480B4935">
        <w:rPr>
          <w:rFonts w:ascii="Times New Roman" w:eastAsia="Times New Roman" w:hAnsi="Times New Roman" w:cs="Times New Roman"/>
          <w:b/>
          <w:bCs/>
          <w:color w:val="000000"/>
          <w:kern w:val="0"/>
          <w:sz w:val="28"/>
          <w:szCs w:val="28"/>
          <w:lang w:eastAsia="en-GB"/>
          <w14:ligatures w14:val="none"/>
        </w:rPr>
        <w:t>Introduction</w:t>
      </w:r>
    </w:p>
    <w:p w14:paraId="2D8CE732" w14:textId="77777777" w:rsidR="004E212D" w:rsidRDefault="013C7C9D" w:rsidP="480B4935">
      <w:pPr>
        <w:pStyle w:val="NormalWeb"/>
        <w:rPr>
          <w:color w:val="000000"/>
        </w:rPr>
      </w:pPr>
      <w:r w:rsidRPr="480B4935">
        <w:rPr>
          <w:color w:val="000000" w:themeColor="text1"/>
        </w:rPr>
        <w:t>This memo provides an in-depth analysis of UnitedHealth Group’s management strategy over the past five years, evaluates its effectiveness, and offers financial insights into the company's growth and sustainability. The analysis is based on the company’s 10-K reports, external business sources, and industry benchmarks. Additionally, this report highlights critical trends in the healthcare industry and UnitedHealth Group’s position within it.</w:t>
      </w:r>
    </w:p>
    <w:p w14:paraId="34220B1D" w14:textId="77777777" w:rsidR="00F32511" w:rsidRDefault="00F32511" w:rsidP="480B4935">
      <w:pPr>
        <w:spacing w:before="100" w:beforeAutospacing="1" w:after="100" w:afterAutospacing="1"/>
        <w:rPr>
          <w:rFonts w:ascii="Times New Roman" w:eastAsia="Times New Roman" w:hAnsi="Times New Roman" w:cs="Times New Roman"/>
          <w:color w:val="000000"/>
          <w:kern w:val="0"/>
          <w:lang w:eastAsia="en-GB"/>
          <w14:ligatures w14:val="none"/>
        </w:rPr>
      </w:pPr>
    </w:p>
    <w:p w14:paraId="0E8DB538" w14:textId="2FD8F51D" w:rsidR="004E212D" w:rsidRPr="00C77C79" w:rsidRDefault="013C7C9D" w:rsidP="480B4935">
      <w:pPr>
        <w:pStyle w:val="ListParagraph"/>
        <w:numPr>
          <w:ilvl w:val="0"/>
          <w:numId w:val="21"/>
        </w:numPr>
        <w:spacing w:before="100" w:beforeAutospacing="1" w:after="100" w:afterAutospacing="1"/>
        <w:rPr>
          <w:rFonts w:ascii="Times New Roman" w:eastAsia="Times New Roman" w:hAnsi="Times New Roman" w:cs="Times New Roman"/>
          <w:b/>
          <w:bCs/>
          <w:color w:val="000000"/>
          <w:kern w:val="0"/>
          <w:sz w:val="28"/>
          <w:szCs w:val="28"/>
          <w:lang w:eastAsia="en-GB"/>
          <w14:ligatures w14:val="none"/>
        </w:rPr>
      </w:pPr>
      <w:r w:rsidRPr="480B4935">
        <w:rPr>
          <w:rFonts w:ascii="Times New Roman" w:eastAsia="Times New Roman" w:hAnsi="Times New Roman" w:cs="Times New Roman"/>
          <w:b/>
          <w:bCs/>
          <w:color w:val="000000"/>
          <w:kern w:val="0"/>
          <w:sz w:val="28"/>
          <w:szCs w:val="28"/>
          <w:lang w:eastAsia="en-GB"/>
          <w14:ligatures w14:val="none"/>
        </w:rPr>
        <w:t>UnitedHealth Group’s core strategy focuses on:</w:t>
      </w:r>
    </w:p>
    <w:p w14:paraId="6D6DD585" w14:textId="77777777" w:rsidR="004E212D" w:rsidRPr="004E212D" w:rsidRDefault="013C7C9D" w:rsidP="480B4935">
      <w:pPr>
        <w:numPr>
          <w:ilvl w:val="0"/>
          <w:numId w:val="12"/>
        </w:numPr>
        <w:spacing w:before="100" w:beforeAutospacing="1" w:after="100" w:afterAutospacing="1"/>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b/>
          <w:bCs/>
          <w:color w:val="000000"/>
          <w:kern w:val="0"/>
          <w:lang w:eastAsia="en-GB"/>
          <w14:ligatures w14:val="none"/>
        </w:rPr>
        <w:t>Vertical Integration:</w:t>
      </w:r>
      <w:r w:rsidRPr="004E212D">
        <w:rPr>
          <w:rFonts w:ascii="Times New Roman" w:eastAsia="Times New Roman" w:hAnsi="Times New Roman" w:cs="Times New Roman"/>
          <w:color w:val="000000"/>
          <w:kern w:val="0"/>
          <w:lang w:eastAsia="en-GB"/>
          <w14:ligatures w14:val="none"/>
        </w:rPr>
        <w:t> Expanding its Optum business unit (Optum Health, Optum Rx, Optum Insight) to create an end-to-end healthcare ecosystem. The acquisitions of Change Healthcare and LHC Group exemplify this approach, allowing greater control over data analytics and home health services.</w:t>
      </w:r>
    </w:p>
    <w:p w14:paraId="29A547A7" w14:textId="77777777" w:rsidR="004E212D" w:rsidRPr="004E212D" w:rsidRDefault="013C7C9D" w:rsidP="480B4935">
      <w:pPr>
        <w:numPr>
          <w:ilvl w:val="0"/>
          <w:numId w:val="12"/>
        </w:numPr>
        <w:spacing w:before="100" w:beforeAutospacing="1" w:after="100" w:afterAutospacing="1"/>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b/>
          <w:bCs/>
          <w:color w:val="000000"/>
          <w:kern w:val="0"/>
          <w:lang w:eastAsia="en-GB"/>
          <w14:ligatures w14:val="none"/>
        </w:rPr>
        <w:t>Technology-Driven Healthcare:</w:t>
      </w:r>
      <w:r w:rsidRPr="004E212D">
        <w:rPr>
          <w:rFonts w:ascii="Times New Roman" w:eastAsia="Times New Roman" w:hAnsi="Times New Roman" w:cs="Times New Roman"/>
          <w:color w:val="000000"/>
          <w:kern w:val="0"/>
          <w:lang w:eastAsia="en-GB"/>
          <w14:ligatures w14:val="none"/>
        </w:rPr>
        <w:t> Leveraging AI, machine learning, and data analytics to improve healthcare outcomes and reduce costs. UnitedHealth Group has significantly increased investment in predictive analytics, personalized treatment plans, and automation in claims processing.</w:t>
      </w:r>
    </w:p>
    <w:p w14:paraId="44BAA091" w14:textId="42443132" w:rsidR="004E212D" w:rsidRPr="004E212D" w:rsidRDefault="013C7C9D" w:rsidP="480B4935">
      <w:pPr>
        <w:numPr>
          <w:ilvl w:val="0"/>
          <w:numId w:val="12"/>
        </w:numPr>
        <w:spacing w:before="100" w:beforeAutospacing="1" w:after="100" w:afterAutospacing="1"/>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b/>
          <w:bCs/>
          <w:color w:val="000000"/>
          <w:kern w:val="0"/>
          <w:lang w:eastAsia="en-GB"/>
          <w14:ligatures w14:val="none"/>
        </w:rPr>
        <w:t>Value-Based Care Models:</w:t>
      </w:r>
      <w:r w:rsidRPr="004E212D">
        <w:rPr>
          <w:rFonts w:ascii="Times New Roman" w:eastAsia="Times New Roman" w:hAnsi="Times New Roman" w:cs="Times New Roman"/>
          <w:color w:val="000000"/>
          <w:kern w:val="0"/>
          <w:lang w:eastAsia="en-GB"/>
          <w14:ligatures w14:val="none"/>
        </w:rPr>
        <w:t> Transitioning towards value-based healthcare to improve efficiency and patient outcomes. The company continues to strengthen its partnerships with hospitals and care providers to focus on patient-</w:t>
      </w:r>
      <w:r w:rsidR="13F32A79" w:rsidRPr="004E212D">
        <w:rPr>
          <w:rFonts w:ascii="Times New Roman" w:eastAsia="Times New Roman" w:hAnsi="Times New Roman" w:cs="Times New Roman"/>
          <w:color w:val="000000"/>
          <w:kern w:val="0"/>
          <w:lang w:eastAsia="en-GB"/>
          <w14:ligatures w14:val="none"/>
        </w:rPr>
        <w:t>cantered</w:t>
      </w:r>
      <w:r w:rsidRPr="004E212D">
        <w:rPr>
          <w:rFonts w:ascii="Times New Roman" w:eastAsia="Times New Roman" w:hAnsi="Times New Roman" w:cs="Times New Roman"/>
          <w:color w:val="000000"/>
          <w:kern w:val="0"/>
          <w:lang w:eastAsia="en-GB"/>
          <w14:ligatures w14:val="none"/>
        </w:rPr>
        <w:t xml:space="preserve"> care rather than a fee-for-service model.</w:t>
      </w:r>
    </w:p>
    <w:p w14:paraId="46AEBEC8" w14:textId="77777777" w:rsidR="004E212D" w:rsidRPr="004E212D" w:rsidRDefault="013C7C9D" w:rsidP="480B4935">
      <w:pPr>
        <w:numPr>
          <w:ilvl w:val="0"/>
          <w:numId w:val="12"/>
        </w:numPr>
        <w:spacing w:before="100" w:beforeAutospacing="1" w:after="100" w:afterAutospacing="1"/>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b/>
          <w:bCs/>
          <w:color w:val="000000"/>
          <w:kern w:val="0"/>
          <w:lang w:eastAsia="en-GB"/>
          <w14:ligatures w14:val="none"/>
        </w:rPr>
        <w:t>Market Expansion:</w:t>
      </w:r>
      <w:r w:rsidRPr="004E212D">
        <w:rPr>
          <w:rFonts w:ascii="Times New Roman" w:eastAsia="Times New Roman" w:hAnsi="Times New Roman" w:cs="Times New Roman"/>
          <w:color w:val="000000"/>
          <w:kern w:val="0"/>
          <w:lang w:eastAsia="en-GB"/>
          <w14:ligatures w14:val="none"/>
        </w:rPr>
        <w:t> Growing membership base and increasing its presence in Medicare, Medicaid, and international markets. The company’s Medicare Advantage plans have gained substantial traction, contributing to revenue growth.</w:t>
      </w:r>
    </w:p>
    <w:p w14:paraId="38D9CBE8" w14:textId="77777777" w:rsidR="004E212D" w:rsidRPr="004E212D" w:rsidRDefault="013C7C9D" w:rsidP="480B4935">
      <w:pPr>
        <w:numPr>
          <w:ilvl w:val="0"/>
          <w:numId w:val="12"/>
        </w:numPr>
        <w:spacing w:before="100" w:beforeAutospacing="1" w:after="100" w:afterAutospacing="1"/>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b/>
          <w:bCs/>
          <w:color w:val="000000"/>
          <w:kern w:val="0"/>
          <w:lang w:eastAsia="en-GB"/>
          <w14:ligatures w14:val="none"/>
        </w:rPr>
        <w:t>Financial Strength and Shareholder Value:</w:t>
      </w:r>
      <w:r w:rsidRPr="004E212D">
        <w:rPr>
          <w:rFonts w:ascii="Times New Roman" w:eastAsia="Times New Roman" w:hAnsi="Times New Roman" w:cs="Times New Roman"/>
          <w:color w:val="000000"/>
          <w:kern w:val="0"/>
          <w:lang w:eastAsia="en-GB"/>
          <w14:ligatures w14:val="none"/>
        </w:rPr>
        <w:t> Increasing revenue streams, efficient cost management, and reinvesting in acquisitions. The company continues to repurchase shares and increase dividends, reflecting strong financial confidence.</w:t>
      </w:r>
    </w:p>
    <w:p w14:paraId="53C9D3A3" w14:textId="11E1B4F4" w:rsidR="004E212D" w:rsidRPr="004E212D" w:rsidRDefault="004E212D" w:rsidP="004E212D">
      <w:pPr>
        <w:rPr>
          <w:rFonts w:ascii="Times New Roman" w:eastAsia="Times New Roman" w:hAnsi="Times New Roman" w:cs="Times New Roman"/>
          <w:color w:val="000000"/>
          <w:kern w:val="0"/>
          <w:lang w:eastAsia="en-GB"/>
          <w14:ligatures w14:val="none"/>
        </w:rPr>
      </w:pPr>
    </w:p>
    <w:p w14:paraId="4A852BC1" w14:textId="1CA8F49E" w:rsidR="004E212D" w:rsidRPr="004E212D" w:rsidRDefault="13F32A79" w:rsidP="480B4935">
      <w:pPr>
        <w:spacing w:before="100" w:beforeAutospacing="1" w:after="100" w:afterAutospacing="1"/>
        <w:outlineLvl w:val="2"/>
        <w:rPr>
          <w:rFonts w:ascii="Times New Roman" w:eastAsia="Times New Roman" w:hAnsi="Times New Roman" w:cs="Times New Roman"/>
          <w:b/>
          <w:bCs/>
          <w:color w:val="000000"/>
          <w:kern w:val="0"/>
          <w:sz w:val="28"/>
          <w:szCs w:val="28"/>
          <w:lang w:eastAsia="en-GB"/>
          <w14:ligatures w14:val="none"/>
        </w:rPr>
      </w:pPr>
      <w:r w:rsidRPr="480B4935">
        <w:rPr>
          <w:rFonts w:ascii="Times New Roman" w:eastAsia="Times New Roman" w:hAnsi="Times New Roman" w:cs="Times New Roman"/>
          <w:b/>
          <w:bCs/>
          <w:color w:val="000000"/>
          <w:kern w:val="0"/>
          <w:sz w:val="28"/>
          <w:szCs w:val="28"/>
          <w:lang w:eastAsia="en-GB"/>
          <w14:ligatures w14:val="none"/>
        </w:rPr>
        <w:t>3</w:t>
      </w:r>
      <w:r w:rsidR="013C7C9D" w:rsidRPr="480B4935">
        <w:rPr>
          <w:rFonts w:ascii="Times New Roman" w:eastAsia="Times New Roman" w:hAnsi="Times New Roman" w:cs="Times New Roman"/>
          <w:b/>
          <w:bCs/>
          <w:color w:val="000000"/>
          <w:kern w:val="0"/>
          <w:sz w:val="28"/>
          <w:szCs w:val="28"/>
          <w:lang w:eastAsia="en-GB"/>
          <w14:ligatures w14:val="none"/>
        </w:rPr>
        <w:t>. Evaluation of Strategy Effectiveness</w:t>
      </w:r>
    </w:p>
    <w:p w14:paraId="71EC7103" w14:textId="77777777" w:rsidR="004E212D" w:rsidRPr="004E212D" w:rsidRDefault="013C7C9D" w:rsidP="480B4935">
      <w:pPr>
        <w:spacing w:before="100" w:beforeAutospacing="1" w:after="100" w:afterAutospacing="1"/>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UnitedHealth Group’s strategic initiatives have led to significant financial and operational success:</w:t>
      </w:r>
    </w:p>
    <w:p w14:paraId="16B8817E" w14:textId="77777777" w:rsidR="004E212D" w:rsidRDefault="013C7C9D" w:rsidP="480B4935">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b/>
          <w:bCs/>
          <w:color w:val="000000"/>
          <w:kern w:val="0"/>
          <w:lang w:eastAsia="en-GB"/>
          <w14:ligatures w14:val="none"/>
        </w:rPr>
        <w:t>Membership Growth:</w:t>
      </w:r>
      <w:r w:rsidRPr="004E212D">
        <w:rPr>
          <w:rFonts w:ascii="Times New Roman" w:eastAsia="Times New Roman" w:hAnsi="Times New Roman" w:cs="Times New Roman"/>
          <w:color w:val="000000"/>
          <w:kern w:val="0"/>
          <w:lang w:eastAsia="en-GB"/>
          <w14:ligatures w14:val="none"/>
        </w:rPr>
        <w:t> Optum Health served 103 million lives in 2023, up from 98 million in 2020. Domestic memberships increased from 43 million (2020) to 47 million (2023). The company remains a leader in Medicaid and employer-sponsored insurance plans.</w:t>
      </w:r>
    </w:p>
    <w:p w14:paraId="55F19E9F" w14:textId="1B196AC4" w:rsidR="00CA1653" w:rsidRDefault="00CA1653" w:rsidP="480B4935">
      <w:pPr>
        <w:spacing w:before="100" w:beforeAutospacing="1" w:after="100" w:afterAutospacing="1"/>
        <w:jc w:val="center"/>
        <w:rPr>
          <w:rFonts w:ascii="Times New Roman" w:eastAsia="Times New Roman" w:hAnsi="Times New Roman" w:cs="Times New Roman"/>
          <w:color w:val="000000"/>
          <w:kern w:val="0"/>
          <w:lang w:eastAsia="en-GB"/>
          <w14:ligatures w14:val="none"/>
        </w:rPr>
      </w:pPr>
      <w:r>
        <w:rPr>
          <w:noProof/>
        </w:rPr>
        <w:lastRenderedPageBreak/>
        <w:drawing>
          <wp:inline distT="0" distB="0" distL="0" distR="0" wp14:anchorId="3921A16B" wp14:editId="5A3A52E5">
            <wp:extent cx="5006975" cy="2743200"/>
            <wp:effectExtent l="0" t="0" r="9525" b="12700"/>
            <wp:docPr id="1919920108" name="Chart 1">
              <a:extLst xmlns:a="http://schemas.openxmlformats.org/drawingml/2006/main">
                <a:ext uri="{FF2B5EF4-FFF2-40B4-BE49-F238E27FC236}">
                  <a16:creationId xmlns:a16="http://schemas.microsoft.com/office/drawing/2014/main" id="{5404CFF1-8F65-918E-506D-2710B42126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20083FB" w14:textId="17E1F192" w:rsidR="480B4935" w:rsidRDefault="480B4935" w:rsidP="480B4935">
      <w:pPr>
        <w:spacing w:beforeAutospacing="1" w:afterAutospacing="1"/>
        <w:jc w:val="center"/>
        <w:rPr>
          <w:rFonts w:ascii="Times New Roman" w:eastAsia="Times New Roman" w:hAnsi="Times New Roman" w:cs="Times New Roman"/>
          <w:color w:val="000000" w:themeColor="text1"/>
          <w:lang w:eastAsia="en-GB"/>
        </w:rPr>
      </w:pPr>
    </w:p>
    <w:p w14:paraId="67D50A4E" w14:textId="2F6C5660" w:rsidR="00B957F8" w:rsidRDefault="00B957F8" w:rsidP="480B4935">
      <w:pPr>
        <w:spacing w:before="100" w:beforeAutospacing="1" w:after="100" w:afterAutospacing="1"/>
        <w:jc w:val="center"/>
        <w:rPr>
          <w:rFonts w:ascii="Times New Roman" w:eastAsia="Times New Roman" w:hAnsi="Times New Roman" w:cs="Times New Roman"/>
          <w:color w:val="000000"/>
          <w:kern w:val="0"/>
          <w:lang w:eastAsia="en-GB"/>
          <w14:ligatures w14:val="none"/>
        </w:rPr>
      </w:pPr>
      <w:r>
        <w:rPr>
          <w:noProof/>
        </w:rPr>
        <w:drawing>
          <wp:inline distT="0" distB="0" distL="0" distR="0" wp14:anchorId="6A3A7AC9" wp14:editId="60857005">
            <wp:extent cx="4953000" cy="2743200"/>
            <wp:effectExtent l="0" t="0" r="0" b="0"/>
            <wp:docPr id="986673294" name="Chart 1">
              <a:extLst xmlns:a="http://schemas.openxmlformats.org/drawingml/2006/main">
                <a:ext uri="{FF2B5EF4-FFF2-40B4-BE49-F238E27FC236}">
                  <a16:creationId xmlns:a16="http://schemas.microsoft.com/office/drawing/2014/main" id="{A3ADDD3A-5B52-4225-F269-52FEE06C6A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48A2B57" w14:textId="56B8AFF1" w:rsidR="480B4935" w:rsidRDefault="480B4935" w:rsidP="480B4935">
      <w:pPr>
        <w:spacing w:beforeAutospacing="1" w:afterAutospacing="1"/>
        <w:jc w:val="center"/>
        <w:rPr>
          <w:rFonts w:ascii="Times New Roman" w:eastAsia="Times New Roman" w:hAnsi="Times New Roman" w:cs="Times New Roman"/>
          <w:color w:val="000000" w:themeColor="text1"/>
          <w:lang w:eastAsia="en-GB"/>
        </w:rPr>
      </w:pPr>
    </w:p>
    <w:p w14:paraId="74F55FA5" w14:textId="585606AD" w:rsidR="00B957F8" w:rsidRPr="004E212D" w:rsidRDefault="00B957F8" w:rsidP="480B4935">
      <w:pPr>
        <w:spacing w:before="100" w:beforeAutospacing="1" w:after="100" w:afterAutospacing="1"/>
        <w:jc w:val="center"/>
        <w:rPr>
          <w:rFonts w:ascii="Times New Roman" w:eastAsia="Times New Roman" w:hAnsi="Times New Roman" w:cs="Times New Roman"/>
          <w:color w:val="000000"/>
          <w:kern w:val="0"/>
          <w:lang w:eastAsia="en-GB"/>
          <w14:ligatures w14:val="none"/>
        </w:rPr>
      </w:pPr>
    </w:p>
    <w:p w14:paraId="5DBCC22A" w14:textId="66934C9E" w:rsidR="480B4935" w:rsidRDefault="480B4935" w:rsidP="480B4935">
      <w:pPr>
        <w:spacing w:beforeAutospacing="1" w:afterAutospacing="1"/>
        <w:jc w:val="center"/>
        <w:rPr>
          <w:rFonts w:ascii="Times New Roman" w:eastAsia="Times New Roman" w:hAnsi="Times New Roman" w:cs="Times New Roman"/>
          <w:color w:val="000000" w:themeColor="text1"/>
          <w:lang w:eastAsia="en-GB"/>
        </w:rPr>
      </w:pPr>
    </w:p>
    <w:p w14:paraId="3F4C8CED" w14:textId="77777777" w:rsidR="004E212D" w:rsidRDefault="013C7C9D" w:rsidP="751833BF">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b/>
          <w:bCs/>
          <w:color w:val="000000"/>
          <w:kern w:val="0"/>
          <w:lang w:eastAsia="en-GB"/>
          <w14:ligatures w14:val="none"/>
        </w:rPr>
        <w:t>Revenue Growth:</w:t>
      </w:r>
      <w:r w:rsidRPr="004E212D">
        <w:rPr>
          <w:rFonts w:ascii="Times New Roman" w:eastAsia="Times New Roman" w:hAnsi="Times New Roman" w:cs="Times New Roman"/>
          <w:color w:val="000000"/>
          <w:kern w:val="0"/>
          <w:lang w:eastAsia="en-GB"/>
          <w14:ligatures w14:val="none"/>
        </w:rPr>
        <w:t> Total revenue increased from </w:t>
      </w:r>
      <w:r w:rsidRPr="004E212D">
        <w:rPr>
          <w:rFonts w:ascii="Times New Roman" w:eastAsia="Times New Roman" w:hAnsi="Times New Roman" w:cs="Times New Roman"/>
          <w:b/>
          <w:bCs/>
          <w:color w:val="000000"/>
          <w:kern w:val="0"/>
          <w:lang w:eastAsia="en-GB"/>
          <w14:ligatures w14:val="none"/>
        </w:rPr>
        <w:t>$257 billion in 2020 to $372 billion in 2023</w:t>
      </w:r>
      <w:r w:rsidRPr="004E212D">
        <w:rPr>
          <w:rFonts w:ascii="Times New Roman" w:eastAsia="Times New Roman" w:hAnsi="Times New Roman" w:cs="Times New Roman"/>
          <w:color w:val="000000"/>
          <w:kern w:val="0"/>
          <w:lang w:eastAsia="en-GB"/>
          <w14:ligatures w14:val="none"/>
        </w:rPr>
        <w:t>, with projections exceeding </w:t>
      </w:r>
      <w:r w:rsidRPr="004E212D">
        <w:rPr>
          <w:rFonts w:ascii="Times New Roman" w:eastAsia="Times New Roman" w:hAnsi="Times New Roman" w:cs="Times New Roman"/>
          <w:b/>
          <w:bCs/>
          <w:color w:val="000000"/>
          <w:kern w:val="0"/>
          <w:lang w:eastAsia="en-GB"/>
          <w14:ligatures w14:val="none"/>
        </w:rPr>
        <w:t>$400 billion by 2024</w:t>
      </w:r>
      <w:r w:rsidRPr="004E212D">
        <w:rPr>
          <w:rFonts w:ascii="Times New Roman" w:eastAsia="Times New Roman" w:hAnsi="Times New Roman" w:cs="Times New Roman"/>
          <w:color w:val="000000"/>
          <w:kern w:val="0"/>
          <w:lang w:eastAsia="en-GB"/>
          <w14:ligatures w14:val="none"/>
        </w:rPr>
        <w:t xml:space="preserve">. This growth has been primarily driven by increased </w:t>
      </w:r>
      <w:r w:rsidR="72E89961" w:rsidRPr="004E212D">
        <w:rPr>
          <w:rFonts w:ascii="Times New Roman" w:eastAsia="Times New Roman" w:hAnsi="Times New Roman" w:cs="Times New Roman"/>
          <w:color w:val="000000"/>
          <w:kern w:val="0"/>
          <w:lang w:eastAsia="en-GB"/>
          <w14:ligatures w14:val="none"/>
        </w:rPr>
        <w:t>enrolments</w:t>
      </w:r>
      <w:r w:rsidRPr="004E212D">
        <w:rPr>
          <w:rFonts w:ascii="Times New Roman" w:eastAsia="Times New Roman" w:hAnsi="Times New Roman" w:cs="Times New Roman"/>
          <w:color w:val="000000"/>
          <w:kern w:val="0"/>
          <w:lang w:eastAsia="en-GB"/>
          <w14:ligatures w14:val="none"/>
        </w:rPr>
        <w:t>, acquisitions, and expansion in Medicare Advantage plans.</w:t>
      </w:r>
    </w:p>
    <w:p w14:paraId="10D37E89" w14:textId="56D37425" w:rsidR="00A93A5F" w:rsidRDefault="00A93A5F" w:rsidP="00A93A5F">
      <w:pPr>
        <w:spacing w:before="100" w:beforeAutospacing="1" w:after="100" w:afterAutospacing="1"/>
        <w:ind w:left="720"/>
        <w:rPr>
          <w:rFonts w:ascii="Times New Roman" w:eastAsia="Times New Roman" w:hAnsi="Times New Roman" w:cs="Times New Roman"/>
          <w:color w:val="000000"/>
          <w:kern w:val="0"/>
          <w:lang w:eastAsia="en-GB"/>
          <w14:ligatures w14:val="none"/>
        </w:rPr>
      </w:pPr>
      <w:r>
        <w:rPr>
          <w:noProof/>
        </w:rPr>
        <w:lastRenderedPageBreak/>
        <w:drawing>
          <wp:inline distT="0" distB="0" distL="0" distR="0" wp14:anchorId="091B89A9" wp14:editId="007CC030">
            <wp:extent cx="4572000" cy="2743200"/>
            <wp:effectExtent l="0" t="0" r="0" b="0"/>
            <wp:docPr id="1161716459" name="Chart 1">
              <a:extLst xmlns:a="http://schemas.openxmlformats.org/drawingml/2006/main">
                <a:ext uri="{FF2B5EF4-FFF2-40B4-BE49-F238E27FC236}">
                  <a16:creationId xmlns:a16="http://schemas.microsoft.com/office/drawing/2014/main" id="{42D0567F-C4B9-EDF8-23A4-3A11EFBE16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0045BCD" w14:textId="41ABFE41" w:rsidR="480B4935" w:rsidRDefault="480B4935" w:rsidP="480B4935">
      <w:pPr>
        <w:spacing w:beforeAutospacing="1" w:afterAutospacing="1"/>
        <w:ind w:left="720"/>
        <w:rPr>
          <w:rFonts w:ascii="Times New Roman" w:eastAsia="Times New Roman" w:hAnsi="Times New Roman" w:cs="Times New Roman"/>
          <w:color w:val="000000" w:themeColor="text1"/>
          <w:lang w:eastAsia="en-GB"/>
        </w:rPr>
      </w:pPr>
    </w:p>
    <w:p w14:paraId="26E1B952" w14:textId="6C9B60EB" w:rsidR="004B460D" w:rsidRPr="004E212D" w:rsidRDefault="000772BB" w:rsidP="480B4935">
      <w:pPr>
        <w:spacing w:before="100" w:beforeAutospacing="1" w:after="100" w:afterAutospacing="1"/>
        <w:jc w:val="center"/>
        <w:rPr>
          <w:rFonts w:ascii="Times New Roman" w:eastAsia="Times New Roman" w:hAnsi="Times New Roman" w:cs="Times New Roman"/>
          <w:color w:val="000000"/>
          <w:kern w:val="0"/>
          <w:lang w:eastAsia="en-GB"/>
          <w14:ligatures w14:val="none"/>
        </w:rPr>
      </w:pPr>
      <w:r>
        <w:rPr>
          <w:noProof/>
        </w:rPr>
        <w:drawing>
          <wp:inline distT="0" distB="0" distL="0" distR="0" wp14:anchorId="5FF45958" wp14:editId="3C146A1F">
            <wp:extent cx="4921250" cy="2838450"/>
            <wp:effectExtent l="0" t="0" r="6350" b="6350"/>
            <wp:docPr id="1457883335" name="Chart 1">
              <a:extLst xmlns:a="http://schemas.openxmlformats.org/drawingml/2006/main">
                <a:ext uri="{FF2B5EF4-FFF2-40B4-BE49-F238E27FC236}">
                  <a16:creationId xmlns:a16="http://schemas.microsoft.com/office/drawing/2014/main" id="{CB6009CA-FCED-A3D2-B103-D57AC48D00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A69C5F5" w14:textId="5F86DCA5" w:rsidR="480B4935" w:rsidRDefault="480B4935" w:rsidP="480B4935">
      <w:pPr>
        <w:spacing w:beforeAutospacing="1" w:afterAutospacing="1"/>
        <w:jc w:val="center"/>
        <w:rPr>
          <w:rFonts w:ascii="Times New Roman" w:eastAsia="Times New Roman" w:hAnsi="Times New Roman" w:cs="Times New Roman"/>
          <w:color w:val="000000" w:themeColor="text1"/>
          <w:lang w:eastAsia="en-GB"/>
        </w:rPr>
      </w:pPr>
    </w:p>
    <w:p w14:paraId="76C724E1" w14:textId="77777777" w:rsidR="004E212D" w:rsidRPr="004E212D" w:rsidRDefault="013C7C9D" w:rsidP="480B4935">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b/>
          <w:bCs/>
          <w:color w:val="000000"/>
          <w:kern w:val="0"/>
          <w:lang w:eastAsia="en-GB"/>
          <w14:ligatures w14:val="none"/>
        </w:rPr>
        <w:t>Profitability:</w:t>
      </w:r>
      <w:r w:rsidRPr="004E212D">
        <w:rPr>
          <w:rFonts w:ascii="Times New Roman" w:eastAsia="Times New Roman" w:hAnsi="Times New Roman" w:cs="Times New Roman"/>
          <w:color w:val="000000"/>
          <w:kern w:val="0"/>
          <w:lang w:eastAsia="en-GB"/>
          <w14:ligatures w14:val="none"/>
        </w:rPr>
        <w:t> Gross profit rose from </w:t>
      </w:r>
      <w:r w:rsidRPr="004E212D">
        <w:rPr>
          <w:rFonts w:ascii="Times New Roman" w:eastAsia="Times New Roman" w:hAnsi="Times New Roman" w:cs="Times New Roman"/>
          <w:b/>
          <w:bCs/>
          <w:color w:val="000000"/>
          <w:kern w:val="0"/>
          <w:lang w:eastAsia="en-GB"/>
          <w14:ligatures w14:val="none"/>
        </w:rPr>
        <w:t>$67 billion (2020) to $91 billion (2023)</w:t>
      </w:r>
      <w:r w:rsidRPr="004E212D">
        <w:rPr>
          <w:rFonts w:ascii="Times New Roman" w:eastAsia="Times New Roman" w:hAnsi="Times New Roman" w:cs="Times New Roman"/>
          <w:color w:val="000000"/>
          <w:kern w:val="0"/>
          <w:lang w:eastAsia="en-GB"/>
          <w14:ligatures w14:val="none"/>
        </w:rPr>
        <w:t>, indicating strong operational efficiency. The company's cost containment strategies and automation efforts contributed to better margins.</w:t>
      </w:r>
    </w:p>
    <w:p w14:paraId="50DEC233" w14:textId="77777777" w:rsidR="004E212D" w:rsidRPr="004E212D" w:rsidRDefault="013C7C9D" w:rsidP="480B4935">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b/>
          <w:bCs/>
          <w:color w:val="000000"/>
          <w:kern w:val="0"/>
          <w:lang w:eastAsia="en-GB"/>
          <w14:ligatures w14:val="none"/>
        </w:rPr>
        <w:t>Cash Flow &amp; Liquidity:</w:t>
      </w:r>
      <w:r w:rsidRPr="004E212D">
        <w:rPr>
          <w:rFonts w:ascii="Times New Roman" w:eastAsia="Times New Roman" w:hAnsi="Times New Roman" w:cs="Times New Roman"/>
          <w:color w:val="000000"/>
          <w:kern w:val="0"/>
          <w:lang w:eastAsia="en-GB"/>
          <w14:ligatures w14:val="none"/>
        </w:rPr>
        <w:t> Cash on hand grew from </w:t>
      </w:r>
      <w:r w:rsidRPr="004E212D">
        <w:rPr>
          <w:rFonts w:ascii="Times New Roman" w:eastAsia="Times New Roman" w:hAnsi="Times New Roman" w:cs="Times New Roman"/>
          <w:b/>
          <w:bCs/>
          <w:color w:val="000000"/>
          <w:kern w:val="0"/>
          <w:lang w:eastAsia="en-GB"/>
          <w14:ligatures w14:val="none"/>
        </w:rPr>
        <w:t>$14 billion (2020) to $29.6 billion (2024 projection)</w:t>
      </w:r>
      <w:r w:rsidRPr="004E212D">
        <w:rPr>
          <w:rFonts w:ascii="Times New Roman" w:eastAsia="Times New Roman" w:hAnsi="Times New Roman" w:cs="Times New Roman"/>
          <w:color w:val="000000"/>
          <w:kern w:val="0"/>
          <w:lang w:eastAsia="en-GB"/>
          <w14:ligatures w14:val="none"/>
        </w:rPr>
        <w:t>, ensuring financial stability for future investments. The company maintains a solid balance sheet, allowing it to reinvest in research, acquisitions, and infrastructure.</w:t>
      </w:r>
    </w:p>
    <w:p w14:paraId="0CCCFF1D" w14:textId="77777777" w:rsidR="004E212D" w:rsidRDefault="013C7C9D" w:rsidP="480B4935">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b/>
          <w:bCs/>
          <w:color w:val="000000"/>
          <w:kern w:val="0"/>
          <w:lang w:eastAsia="en-GB"/>
          <w14:ligatures w14:val="none"/>
        </w:rPr>
        <w:t>Innovation Investments:</w:t>
      </w:r>
      <w:r w:rsidRPr="004E212D">
        <w:rPr>
          <w:rFonts w:ascii="Times New Roman" w:eastAsia="Times New Roman" w:hAnsi="Times New Roman" w:cs="Times New Roman"/>
          <w:color w:val="000000"/>
          <w:kern w:val="0"/>
          <w:lang w:eastAsia="en-GB"/>
          <w14:ligatures w14:val="none"/>
        </w:rPr>
        <w:t> Increased spending on AI-driven analytics, telehealth, and digital healthcare platforms aligns with industry trends and enhances UnitedHealth Group’s competitive advantage.</w:t>
      </w:r>
    </w:p>
    <w:p w14:paraId="07DED511" w14:textId="77777777" w:rsidR="00A0002B" w:rsidRDefault="1D9D0E77" w:rsidP="480B4935">
      <w:pPr>
        <w:spacing w:before="100" w:beforeAutospacing="1" w:after="100" w:afterAutospacing="1"/>
        <w:rPr>
          <w:rFonts w:ascii="Times New Roman" w:eastAsia="Times New Roman" w:hAnsi="Times New Roman" w:cs="Times New Roman"/>
          <w:b/>
          <w:bCs/>
          <w:color w:val="000000"/>
          <w:kern w:val="0"/>
          <w:sz w:val="28"/>
          <w:szCs w:val="28"/>
          <w:lang w:eastAsia="en-GB"/>
          <w14:ligatures w14:val="none"/>
        </w:rPr>
      </w:pPr>
      <w:r>
        <w:rPr>
          <w:rFonts w:ascii="Times New Roman" w:eastAsia="Times New Roman" w:hAnsi="Times New Roman" w:cs="Times New Roman"/>
          <w:b/>
          <w:bCs/>
          <w:color w:val="000000"/>
          <w:kern w:val="0"/>
          <w:sz w:val="28"/>
          <w:szCs w:val="28"/>
          <w:lang w:eastAsia="en-GB"/>
          <w14:ligatures w14:val="none"/>
        </w:rPr>
        <w:t xml:space="preserve">    </w:t>
      </w:r>
    </w:p>
    <w:p w14:paraId="71BE8833" w14:textId="3A404A90" w:rsidR="007D26D0" w:rsidRPr="00A0002B" w:rsidRDefault="1D9D0E77" w:rsidP="480B4935">
      <w:pPr>
        <w:spacing w:before="100" w:beforeAutospacing="1" w:after="100" w:afterAutospacing="1"/>
        <w:rPr>
          <w:rFonts w:ascii="Times New Roman" w:eastAsia="Times New Roman" w:hAnsi="Times New Roman" w:cs="Times New Roman"/>
          <w:b/>
          <w:bCs/>
          <w:color w:val="000000"/>
          <w:kern w:val="0"/>
          <w:sz w:val="28"/>
          <w:szCs w:val="28"/>
          <w:lang w:eastAsia="en-GB"/>
          <w14:ligatures w14:val="none"/>
        </w:rPr>
      </w:pPr>
      <w:r>
        <w:rPr>
          <w:rFonts w:ascii="Times New Roman" w:eastAsia="Times New Roman" w:hAnsi="Times New Roman" w:cs="Times New Roman"/>
          <w:b/>
          <w:bCs/>
          <w:color w:val="000000"/>
          <w:kern w:val="0"/>
          <w:sz w:val="28"/>
          <w:szCs w:val="28"/>
          <w:lang w:eastAsia="en-GB"/>
          <w14:ligatures w14:val="none"/>
        </w:rPr>
        <w:lastRenderedPageBreak/>
        <w:t xml:space="preserve">4. </w:t>
      </w:r>
      <w:r w:rsidR="15F13C5B" w:rsidRPr="00A0002B">
        <w:rPr>
          <w:rFonts w:ascii="Times New Roman" w:eastAsia="Times New Roman" w:hAnsi="Times New Roman" w:cs="Times New Roman"/>
          <w:b/>
          <w:bCs/>
          <w:color w:val="000000"/>
          <w:kern w:val="0"/>
          <w:sz w:val="28"/>
          <w:szCs w:val="28"/>
          <w:lang w:eastAsia="en-GB"/>
          <w14:ligatures w14:val="none"/>
        </w:rPr>
        <w:t>Operational and Strategic Execution of UnitedHealth Group:</w:t>
      </w:r>
    </w:p>
    <w:p w14:paraId="313DB0CF" w14:textId="666A59BC" w:rsidR="480B4935" w:rsidRDefault="480B4935" w:rsidP="480B4935">
      <w:pPr>
        <w:spacing w:beforeAutospacing="1" w:afterAutospacing="1"/>
        <w:rPr>
          <w:rFonts w:ascii="Times New Roman" w:eastAsia="Times New Roman" w:hAnsi="Times New Roman" w:cs="Times New Roman"/>
          <w:b/>
          <w:bCs/>
          <w:color w:val="000000" w:themeColor="text1"/>
          <w:lang w:eastAsia="en-GB"/>
        </w:rPr>
      </w:pPr>
    </w:p>
    <w:p w14:paraId="36A5AE20" w14:textId="77777777" w:rsidR="00501BF9" w:rsidRDefault="69FC04E5" w:rsidP="00501BF9">
      <w:pPr>
        <w:spacing w:before="100" w:beforeAutospacing="1"/>
        <w:rPr>
          <w:rFonts w:ascii="Times New Roman" w:eastAsia="Times New Roman" w:hAnsi="Times New Roman" w:cs="Times New Roman"/>
          <w:b/>
          <w:bCs/>
          <w:color w:val="000000"/>
          <w:kern w:val="0"/>
          <w:lang w:eastAsia="en-GB"/>
          <w14:ligatures w14:val="none"/>
        </w:rPr>
      </w:pPr>
      <w:r w:rsidRPr="480B4935">
        <w:rPr>
          <w:rFonts w:ascii="Times New Roman" w:eastAsia="Times New Roman" w:hAnsi="Times New Roman" w:cs="Times New Roman"/>
          <w:b/>
          <w:bCs/>
          <w:color w:val="000000"/>
          <w:kern w:val="0"/>
          <w:lang w:eastAsia="en-GB"/>
          <w14:ligatures w14:val="none"/>
        </w:rPr>
        <w:t>Expansion of Home-Based Care Services:</w:t>
      </w:r>
    </w:p>
    <w:p w14:paraId="5E042754" w14:textId="5B646C90" w:rsidR="002D5984" w:rsidRDefault="143142B6" w:rsidP="00501BF9">
      <w:pPr>
        <w:rPr>
          <w:rFonts w:ascii="Times New Roman" w:eastAsia="Times New Roman" w:hAnsi="Times New Roman" w:cs="Times New Roman"/>
          <w:color w:val="000000"/>
          <w:kern w:val="0"/>
          <w:lang w:eastAsia="en-GB"/>
          <w14:ligatures w14:val="none"/>
        </w:rPr>
      </w:pPr>
      <w:r w:rsidRPr="480B4935">
        <w:rPr>
          <w:rFonts w:ascii="Times New Roman" w:eastAsia="Times New Roman" w:hAnsi="Times New Roman" w:cs="Times New Roman"/>
          <w:color w:val="000000"/>
          <w:kern w:val="0"/>
          <w:lang w:eastAsia="en-GB"/>
          <w14:ligatures w14:val="none"/>
        </w:rPr>
        <w:t xml:space="preserve">To provide </w:t>
      </w:r>
      <w:r w:rsidR="53E7B2B1" w:rsidRPr="480B4935">
        <w:rPr>
          <w:rFonts w:ascii="Times New Roman" w:eastAsia="Times New Roman" w:hAnsi="Times New Roman" w:cs="Times New Roman"/>
          <w:color w:val="000000"/>
          <w:kern w:val="0"/>
          <w:lang w:eastAsia="en-GB"/>
          <w14:ligatures w14:val="none"/>
        </w:rPr>
        <w:t xml:space="preserve">in-home </w:t>
      </w:r>
      <w:r w:rsidRPr="480B4935">
        <w:rPr>
          <w:rFonts w:ascii="Times New Roman" w:eastAsia="Times New Roman" w:hAnsi="Times New Roman" w:cs="Times New Roman"/>
          <w:color w:val="000000"/>
          <w:kern w:val="0"/>
          <w:lang w:eastAsia="en-GB"/>
          <w14:ligatures w14:val="none"/>
        </w:rPr>
        <w:t>patient</w:t>
      </w:r>
      <w:r w:rsidR="53E7B2B1" w:rsidRPr="480B4935">
        <w:rPr>
          <w:rFonts w:ascii="Times New Roman" w:eastAsia="Times New Roman" w:hAnsi="Times New Roman" w:cs="Times New Roman"/>
          <w:color w:val="000000"/>
          <w:kern w:val="0"/>
          <w:lang w:eastAsia="en-GB"/>
          <w14:ligatures w14:val="none"/>
        </w:rPr>
        <w:t xml:space="preserve"> </w:t>
      </w:r>
      <w:r w:rsidRPr="480B4935">
        <w:rPr>
          <w:rFonts w:ascii="Times New Roman" w:eastAsia="Times New Roman" w:hAnsi="Times New Roman" w:cs="Times New Roman"/>
          <w:color w:val="000000"/>
          <w:kern w:val="0"/>
          <w:lang w:eastAsia="en-GB"/>
          <w14:ligatures w14:val="none"/>
        </w:rPr>
        <w:t>ca</w:t>
      </w:r>
      <w:r w:rsidR="53E7B2B1" w:rsidRPr="480B4935">
        <w:rPr>
          <w:rFonts w:ascii="Times New Roman" w:eastAsia="Times New Roman" w:hAnsi="Times New Roman" w:cs="Times New Roman"/>
          <w:color w:val="000000"/>
          <w:kern w:val="0"/>
          <w:lang w:eastAsia="en-GB"/>
          <w14:ligatures w14:val="none"/>
        </w:rPr>
        <w:t>r</w:t>
      </w:r>
      <w:r w:rsidRPr="480B4935">
        <w:rPr>
          <w:rFonts w:ascii="Times New Roman" w:eastAsia="Times New Roman" w:hAnsi="Times New Roman" w:cs="Times New Roman"/>
          <w:color w:val="000000"/>
          <w:kern w:val="0"/>
          <w:lang w:eastAsia="en-GB"/>
          <w14:ligatures w14:val="none"/>
        </w:rPr>
        <w:t xml:space="preserve">e which reduces the </w:t>
      </w:r>
      <w:r w:rsidR="6846FDDD" w:rsidRPr="480B4935">
        <w:rPr>
          <w:rFonts w:ascii="Times New Roman" w:eastAsia="Times New Roman" w:hAnsi="Times New Roman" w:cs="Times New Roman"/>
          <w:color w:val="000000"/>
          <w:kern w:val="0"/>
          <w:lang w:eastAsia="en-GB"/>
          <w14:ligatures w14:val="none"/>
        </w:rPr>
        <w:t>admissions in hospitals</w:t>
      </w:r>
      <w:r w:rsidR="3E0124C3" w:rsidRPr="480B4935">
        <w:rPr>
          <w:rFonts w:ascii="Times New Roman" w:eastAsia="Times New Roman" w:hAnsi="Times New Roman" w:cs="Times New Roman"/>
          <w:color w:val="000000"/>
          <w:kern w:val="0"/>
          <w:lang w:eastAsia="en-GB"/>
          <w14:ligatures w14:val="none"/>
        </w:rPr>
        <w:t xml:space="preserve">, </w:t>
      </w:r>
      <w:r w:rsidRPr="480B4935">
        <w:rPr>
          <w:rFonts w:ascii="Times New Roman" w:eastAsia="Times New Roman" w:hAnsi="Times New Roman" w:cs="Times New Roman"/>
          <w:color w:val="000000"/>
          <w:kern w:val="0"/>
          <w:lang w:eastAsia="en-GB"/>
          <w14:ligatures w14:val="none"/>
        </w:rPr>
        <w:t xml:space="preserve">UHG is enhancing its home-based care capabilities, </w:t>
      </w:r>
      <w:r w:rsidR="6E31FABE" w:rsidRPr="480B4935">
        <w:rPr>
          <w:rFonts w:ascii="Times New Roman" w:eastAsia="Times New Roman" w:hAnsi="Times New Roman" w:cs="Times New Roman"/>
          <w:color w:val="000000"/>
          <w:kern w:val="0"/>
          <w:lang w:eastAsia="en-GB"/>
          <w14:ligatures w14:val="none"/>
        </w:rPr>
        <w:t>and</w:t>
      </w:r>
      <w:r w:rsidR="6846FDDD" w:rsidRPr="480B4935">
        <w:rPr>
          <w:rFonts w:ascii="Times New Roman" w:eastAsia="Times New Roman" w:hAnsi="Times New Roman" w:cs="Times New Roman"/>
          <w:color w:val="000000"/>
          <w:kern w:val="0"/>
          <w:lang w:eastAsia="en-GB"/>
          <w14:ligatures w14:val="none"/>
        </w:rPr>
        <w:t xml:space="preserve"> to </w:t>
      </w:r>
      <w:r w:rsidRPr="480B4935">
        <w:rPr>
          <w:rFonts w:ascii="Times New Roman" w:eastAsia="Times New Roman" w:hAnsi="Times New Roman" w:cs="Times New Roman"/>
          <w:color w:val="000000"/>
          <w:kern w:val="0"/>
          <w:lang w:eastAsia="en-GB"/>
          <w14:ligatures w14:val="none"/>
        </w:rPr>
        <w:t>align with patient preferences for receiving care at home.</w:t>
      </w:r>
    </w:p>
    <w:p w14:paraId="31484CEA" w14:textId="77777777" w:rsidR="00501BF9" w:rsidRPr="00501BF9" w:rsidRDefault="00501BF9" w:rsidP="00501BF9">
      <w:pPr>
        <w:rPr>
          <w:rFonts w:ascii="Times New Roman" w:eastAsia="Times New Roman" w:hAnsi="Times New Roman" w:cs="Times New Roman"/>
          <w:b/>
          <w:bCs/>
          <w:color w:val="000000"/>
          <w:kern w:val="0"/>
          <w:lang w:eastAsia="en-GB"/>
          <w14:ligatures w14:val="none"/>
        </w:rPr>
      </w:pPr>
    </w:p>
    <w:p w14:paraId="24D0BD0F" w14:textId="77777777" w:rsidR="00501BF9" w:rsidRDefault="58F90F63" w:rsidP="00501BF9">
      <w:pPr>
        <w:rPr>
          <w:rFonts w:ascii="Times New Roman" w:eastAsia="Times New Roman" w:hAnsi="Times New Roman" w:cs="Times New Roman"/>
          <w:color w:val="000000"/>
          <w:kern w:val="0"/>
          <w:lang w:val="en-US" w:eastAsia="en-GB"/>
          <w14:ligatures w14:val="none"/>
        </w:rPr>
      </w:pPr>
      <w:r w:rsidRPr="480B4935">
        <w:rPr>
          <w:rFonts w:ascii="Times New Roman" w:eastAsia="Times New Roman" w:hAnsi="Times New Roman" w:cs="Times New Roman"/>
          <w:b/>
          <w:bCs/>
          <w:color w:val="000000"/>
          <w:kern w:val="0"/>
          <w:lang w:val="en-US" w:eastAsia="en-GB"/>
          <w14:ligatures w14:val="none"/>
        </w:rPr>
        <w:t>Investment in Technology and Innovation:</w:t>
      </w:r>
    </w:p>
    <w:p w14:paraId="6A1C0F07" w14:textId="1A540857" w:rsidR="00DB15CA" w:rsidRDefault="498034B4" w:rsidP="00501BF9">
      <w:pPr>
        <w:rPr>
          <w:rFonts w:ascii="Times New Roman" w:eastAsia="Times New Roman" w:hAnsi="Times New Roman" w:cs="Times New Roman"/>
          <w:color w:val="000000"/>
          <w:kern w:val="0"/>
          <w:lang w:val="en-US" w:eastAsia="en-GB"/>
          <w14:ligatures w14:val="none"/>
        </w:rPr>
      </w:pPr>
      <w:r w:rsidRPr="480B4935">
        <w:rPr>
          <w:rFonts w:ascii="Times New Roman" w:eastAsia="Times New Roman" w:hAnsi="Times New Roman" w:cs="Times New Roman"/>
          <w:color w:val="000000"/>
          <w:kern w:val="0"/>
          <w:lang w:val="en-US" w:eastAsia="en-GB"/>
          <w14:ligatures w14:val="none"/>
        </w:rPr>
        <w:t>UHG is</w:t>
      </w:r>
      <w:r w:rsidR="42E1E6D0" w:rsidRPr="480B4935">
        <w:rPr>
          <w:rFonts w:ascii="Times New Roman" w:eastAsia="Times New Roman" w:hAnsi="Times New Roman" w:cs="Times New Roman"/>
          <w:color w:val="000000"/>
          <w:kern w:val="0"/>
          <w:lang w:val="en-US" w:eastAsia="en-GB"/>
          <w14:ligatures w14:val="none"/>
        </w:rPr>
        <w:t xml:space="preserve"> </w:t>
      </w:r>
      <w:r w:rsidR="7A4C661E" w:rsidRPr="480B4935">
        <w:rPr>
          <w:rFonts w:ascii="Times New Roman" w:eastAsia="Times New Roman" w:hAnsi="Times New Roman" w:cs="Times New Roman"/>
          <w:color w:val="000000"/>
          <w:kern w:val="0"/>
          <w:lang w:val="en-US" w:eastAsia="en-GB"/>
          <w14:ligatures w14:val="none"/>
        </w:rPr>
        <w:t>investing in</w:t>
      </w:r>
      <w:r w:rsidR="58F90F63" w:rsidRPr="480B4935">
        <w:rPr>
          <w:rFonts w:ascii="Times New Roman" w:eastAsia="Times New Roman" w:hAnsi="Times New Roman" w:cs="Times New Roman"/>
          <w:color w:val="000000"/>
          <w:kern w:val="0"/>
          <w:lang w:val="en-US" w:eastAsia="en-GB"/>
          <w14:ligatures w14:val="none"/>
        </w:rPr>
        <w:t xml:space="preserve"> startups to foster innovation in digital health solutions</w:t>
      </w:r>
      <w:r w:rsidR="42E1E6D0" w:rsidRPr="480B4935">
        <w:rPr>
          <w:rFonts w:ascii="Times New Roman" w:eastAsia="Times New Roman" w:hAnsi="Times New Roman" w:cs="Times New Roman"/>
          <w:color w:val="000000"/>
          <w:kern w:val="0"/>
          <w:lang w:val="en-US" w:eastAsia="en-GB"/>
          <w14:ligatures w14:val="none"/>
        </w:rPr>
        <w:t xml:space="preserve"> through Optum Ventures.</w:t>
      </w:r>
      <w:r w:rsidR="58F90F63" w:rsidRPr="480B4935">
        <w:rPr>
          <w:rFonts w:ascii="Times New Roman" w:eastAsia="Times New Roman" w:hAnsi="Times New Roman" w:cs="Times New Roman"/>
          <w:color w:val="000000"/>
          <w:kern w:val="0"/>
          <w:lang w:val="en-US" w:eastAsia="en-GB"/>
          <w14:ligatures w14:val="none"/>
        </w:rPr>
        <w:t xml:space="preserve"> </w:t>
      </w:r>
      <w:r w:rsidR="5AD915F7" w:rsidRPr="480B4935">
        <w:rPr>
          <w:rFonts w:ascii="Times New Roman" w:eastAsia="Times New Roman" w:hAnsi="Times New Roman" w:cs="Times New Roman"/>
          <w:color w:val="000000"/>
          <w:kern w:val="0"/>
          <w:lang w:val="en-US" w:eastAsia="en-GB"/>
          <w14:ligatures w14:val="none"/>
        </w:rPr>
        <w:t xml:space="preserve">For supporting the early stages businesses, the UnitedHealthcare Accelerator program encourages the development of </w:t>
      </w:r>
      <w:r w:rsidR="7D430794" w:rsidRPr="480B4935">
        <w:rPr>
          <w:rFonts w:ascii="Times New Roman" w:eastAsia="Times New Roman" w:hAnsi="Times New Roman" w:cs="Times New Roman"/>
          <w:color w:val="000000"/>
          <w:kern w:val="0"/>
          <w:lang w:val="en-US" w:eastAsia="en-GB"/>
          <w14:ligatures w14:val="none"/>
        </w:rPr>
        <w:t xml:space="preserve">technology </w:t>
      </w:r>
      <w:r w:rsidR="5AD915F7" w:rsidRPr="480B4935">
        <w:rPr>
          <w:rFonts w:ascii="Times New Roman" w:eastAsia="Times New Roman" w:hAnsi="Times New Roman" w:cs="Times New Roman"/>
          <w:color w:val="000000"/>
          <w:kern w:val="0"/>
          <w:lang w:val="en-US" w:eastAsia="en-GB"/>
          <w14:ligatures w14:val="none"/>
        </w:rPr>
        <w:t>which improve patient outcomes and healthcare delivery.</w:t>
      </w:r>
    </w:p>
    <w:p w14:paraId="1600EF2F" w14:textId="77777777" w:rsidR="00501BF9" w:rsidRDefault="00501BF9" w:rsidP="00501BF9">
      <w:pPr>
        <w:rPr>
          <w:rFonts w:ascii="Times New Roman" w:eastAsia="Times New Roman" w:hAnsi="Times New Roman" w:cs="Times New Roman"/>
          <w:b/>
          <w:bCs/>
          <w:color w:val="000000"/>
          <w:kern w:val="0"/>
          <w:lang w:eastAsia="en-GB"/>
          <w14:ligatures w14:val="none"/>
        </w:rPr>
      </w:pPr>
    </w:p>
    <w:p w14:paraId="76AF3DD2" w14:textId="77777777" w:rsidR="00501BF9" w:rsidRDefault="3F4B5744" w:rsidP="00501BF9">
      <w:pPr>
        <w:rPr>
          <w:rFonts w:ascii="Times New Roman" w:eastAsia="Times New Roman" w:hAnsi="Times New Roman" w:cs="Times New Roman"/>
          <w:color w:val="000000"/>
          <w:kern w:val="0"/>
          <w:lang w:eastAsia="en-GB"/>
          <w14:ligatures w14:val="none"/>
        </w:rPr>
      </w:pPr>
      <w:r w:rsidRPr="480B4935">
        <w:rPr>
          <w:rFonts w:ascii="Times New Roman" w:eastAsia="Times New Roman" w:hAnsi="Times New Roman" w:cs="Times New Roman"/>
          <w:b/>
          <w:bCs/>
          <w:color w:val="000000"/>
          <w:kern w:val="0"/>
          <w:lang w:eastAsia="en-GB"/>
          <w14:ligatures w14:val="none"/>
        </w:rPr>
        <w:t>Change Healthcare Merger</w:t>
      </w:r>
      <w:r w:rsidRPr="480B4935">
        <w:rPr>
          <w:rFonts w:ascii="Times New Roman" w:eastAsia="Times New Roman" w:hAnsi="Times New Roman" w:cs="Times New Roman"/>
          <w:color w:val="000000"/>
          <w:kern w:val="0"/>
          <w:lang w:eastAsia="en-GB"/>
          <w14:ligatures w14:val="none"/>
        </w:rPr>
        <w:t xml:space="preserve">: </w:t>
      </w:r>
    </w:p>
    <w:p w14:paraId="49B4A917" w14:textId="29ECA629" w:rsidR="004E212D" w:rsidRDefault="2EC16D6B" w:rsidP="00501BF9">
      <w:pPr>
        <w:rPr>
          <w:rFonts w:ascii="Times New Roman" w:eastAsia="Times New Roman" w:hAnsi="Times New Roman" w:cs="Times New Roman"/>
          <w:color w:val="000000"/>
          <w:kern w:val="0"/>
          <w:lang w:eastAsia="en-GB"/>
          <w14:ligatures w14:val="none"/>
        </w:rPr>
      </w:pPr>
      <w:r w:rsidRPr="480B4935">
        <w:rPr>
          <w:rFonts w:ascii="Times New Roman" w:eastAsia="Times New Roman" w:hAnsi="Times New Roman" w:cs="Times New Roman"/>
          <w:color w:val="000000"/>
          <w:kern w:val="0"/>
          <w:lang w:eastAsia="en-GB"/>
          <w14:ligatures w14:val="none"/>
        </w:rPr>
        <w:t xml:space="preserve">To create a more </w:t>
      </w:r>
      <w:r w:rsidR="405D8661" w:rsidRPr="480B4935">
        <w:rPr>
          <w:rFonts w:ascii="Times New Roman" w:eastAsia="Times New Roman" w:hAnsi="Times New Roman" w:cs="Times New Roman"/>
          <w:color w:val="000000"/>
          <w:kern w:val="0"/>
          <w:lang w:eastAsia="en-GB"/>
          <w14:ligatures w14:val="none"/>
        </w:rPr>
        <w:t xml:space="preserve">informative </w:t>
      </w:r>
      <w:r w:rsidRPr="480B4935">
        <w:rPr>
          <w:rFonts w:ascii="Times New Roman" w:eastAsia="Times New Roman" w:hAnsi="Times New Roman" w:cs="Times New Roman"/>
          <w:color w:val="000000"/>
          <w:kern w:val="0"/>
          <w:lang w:eastAsia="en-GB"/>
          <w14:ligatures w14:val="none"/>
        </w:rPr>
        <w:t xml:space="preserve">healthcare platform UHG's </w:t>
      </w:r>
      <w:r w:rsidR="16F34C3F" w:rsidRPr="480B4935">
        <w:rPr>
          <w:rFonts w:ascii="Times New Roman" w:eastAsia="Times New Roman" w:hAnsi="Times New Roman" w:cs="Times New Roman"/>
          <w:color w:val="000000"/>
          <w:kern w:val="0"/>
          <w:lang w:eastAsia="en-GB"/>
          <w14:ligatures w14:val="none"/>
        </w:rPr>
        <w:t>Optum Insight</w:t>
      </w:r>
      <w:r w:rsidRPr="480B4935">
        <w:rPr>
          <w:rFonts w:ascii="Times New Roman" w:eastAsia="Times New Roman" w:hAnsi="Times New Roman" w:cs="Times New Roman"/>
          <w:color w:val="000000"/>
          <w:kern w:val="0"/>
          <w:lang w:eastAsia="en-GB"/>
          <w14:ligatures w14:val="none"/>
        </w:rPr>
        <w:t xml:space="preserve"> </w:t>
      </w:r>
      <w:r w:rsidR="405D8661" w:rsidRPr="480B4935">
        <w:rPr>
          <w:rFonts w:ascii="Times New Roman" w:eastAsia="Times New Roman" w:hAnsi="Times New Roman" w:cs="Times New Roman"/>
          <w:color w:val="000000"/>
          <w:kern w:val="0"/>
          <w:lang w:eastAsia="en-GB"/>
          <w14:ligatures w14:val="none"/>
        </w:rPr>
        <w:t xml:space="preserve">was merged with the </w:t>
      </w:r>
      <w:r w:rsidRPr="480B4935">
        <w:rPr>
          <w:rFonts w:ascii="Times New Roman" w:eastAsia="Times New Roman" w:hAnsi="Times New Roman" w:cs="Times New Roman"/>
          <w:color w:val="000000"/>
          <w:kern w:val="0"/>
          <w:lang w:eastAsia="en-GB"/>
          <w14:ligatures w14:val="none"/>
        </w:rPr>
        <w:t xml:space="preserve">Change Healthcare, which </w:t>
      </w:r>
      <w:r w:rsidR="405D8661" w:rsidRPr="480B4935">
        <w:rPr>
          <w:rFonts w:ascii="Times New Roman" w:eastAsia="Times New Roman" w:hAnsi="Times New Roman" w:cs="Times New Roman"/>
          <w:color w:val="000000"/>
          <w:kern w:val="0"/>
          <w:lang w:eastAsia="en-GB"/>
          <w14:ligatures w14:val="none"/>
        </w:rPr>
        <w:t xml:space="preserve">helps in </w:t>
      </w:r>
      <w:r w:rsidR="47B1F095" w:rsidRPr="480B4935">
        <w:rPr>
          <w:rFonts w:ascii="Times New Roman" w:eastAsia="Times New Roman" w:hAnsi="Times New Roman" w:cs="Times New Roman"/>
          <w:color w:val="000000"/>
          <w:kern w:val="0"/>
          <w:lang w:eastAsia="en-GB"/>
          <w14:ligatures w14:val="none"/>
        </w:rPr>
        <w:t>improving revenue</w:t>
      </w:r>
      <w:r w:rsidRPr="480B4935">
        <w:rPr>
          <w:rFonts w:ascii="Times New Roman" w:eastAsia="Times New Roman" w:hAnsi="Times New Roman" w:cs="Times New Roman"/>
          <w:color w:val="000000"/>
          <w:kern w:val="0"/>
          <w:lang w:eastAsia="en-GB"/>
          <w14:ligatures w14:val="none"/>
        </w:rPr>
        <w:t xml:space="preserve"> cycle management and data analytics capabilities.</w:t>
      </w:r>
    </w:p>
    <w:p w14:paraId="0029CED3" w14:textId="77777777" w:rsidR="009C0C49" w:rsidRDefault="009C0C49" w:rsidP="480B4935">
      <w:pPr>
        <w:rPr>
          <w:rFonts w:ascii="Times New Roman" w:eastAsia="Times New Roman" w:hAnsi="Times New Roman" w:cs="Times New Roman"/>
          <w:color w:val="000000"/>
          <w:kern w:val="0"/>
          <w:lang w:eastAsia="en-GB"/>
          <w14:ligatures w14:val="none"/>
        </w:rPr>
      </w:pPr>
    </w:p>
    <w:p w14:paraId="3FF0BC8E" w14:textId="283900DA" w:rsidR="004E0E68" w:rsidRDefault="680623C4" w:rsidP="480B4935">
      <w:pPr>
        <w:rPr>
          <w:rFonts w:ascii="Times New Roman" w:eastAsia="Times New Roman" w:hAnsi="Times New Roman" w:cs="Times New Roman"/>
          <w:b/>
          <w:bCs/>
          <w:color w:val="000000"/>
          <w:kern w:val="0"/>
          <w:lang w:val="en-US" w:eastAsia="en-GB"/>
          <w14:ligatures w14:val="none"/>
        </w:rPr>
      </w:pPr>
      <w:r w:rsidRPr="480B4935">
        <w:rPr>
          <w:rFonts w:ascii="Times New Roman" w:eastAsia="Times New Roman" w:hAnsi="Times New Roman" w:cs="Times New Roman"/>
          <w:b/>
          <w:bCs/>
          <w:color w:val="000000"/>
          <w:kern w:val="0"/>
          <w:lang w:val="en-US" w:eastAsia="en-GB"/>
          <w14:ligatures w14:val="none"/>
        </w:rPr>
        <w:t>Vertical Integration through Acquisitions:</w:t>
      </w:r>
    </w:p>
    <w:p w14:paraId="65FC9D1A" w14:textId="77777777" w:rsidR="004E0E68" w:rsidRPr="004E0E68" w:rsidRDefault="004E0E68" w:rsidP="480B4935">
      <w:pPr>
        <w:rPr>
          <w:rFonts w:ascii="Times New Roman" w:eastAsia="Times New Roman" w:hAnsi="Times New Roman" w:cs="Times New Roman"/>
          <w:color w:val="000000"/>
          <w:kern w:val="0"/>
          <w:lang w:val="en-US" w:eastAsia="en-GB"/>
          <w14:ligatures w14:val="none"/>
        </w:rPr>
      </w:pPr>
    </w:p>
    <w:p w14:paraId="3F657E79" w14:textId="544B8B60" w:rsidR="009C0C49" w:rsidRDefault="680623C4" w:rsidP="480B4935">
      <w:pPr>
        <w:rPr>
          <w:rFonts w:ascii="Times New Roman" w:eastAsia="Times New Roman" w:hAnsi="Times New Roman" w:cs="Times New Roman"/>
          <w:color w:val="000000"/>
          <w:kern w:val="0"/>
          <w:lang w:eastAsia="en-GB"/>
          <w14:ligatures w14:val="none"/>
        </w:rPr>
      </w:pPr>
      <w:r w:rsidRPr="480B4935">
        <w:rPr>
          <w:rFonts w:ascii="Times New Roman" w:eastAsia="Times New Roman" w:hAnsi="Times New Roman" w:cs="Times New Roman"/>
          <w:b/>
          <w:bCs/>
          <w:color w:val="000000"/>
          <w:kern w:val="0"/>
          <w:lang w:val="en-US" w:eastAsia="en-GB"/>
          <w14:ligatures w14:val="none"/>
        </w:rPr>
        <w:t>LHC Group Acquisition</w:t>
      </w:r>
      <w:r w:rsidRPr="480B4935">
        <w:rPr>
          <w:rFonts w:ascii="Times New Roman" w:eastAsia="Times New Roman" w:hAnsi="Times New Roman" w:cs="Times New Roman"/>
          <w:color w:val="000000"/>
          <w:kern w:val="0"/>
          <w:lang w:val="en-US" w:eastAsia="en-GB"/>
          <w14:ligatures w14:val="none"/>
        </w:rPr>
        <w:t xml:space="preserve">: </w:t>
      </w:r>
      <w:r w:rsidR="40D4B949" w:rsidRPr="480B4935">
        <w:rPr>
          <w:rFonts w:ascii="Times New Roman" w:eastAsia="Times New Roman" w:hAnsi="Times New Roman" w:cs="Times New Roman"/>
          <w:color w:val="000000"/>
          <w:kern w:val="0"/>
          <w:lang w:eastAsia="en-GB"/>
          <w14:ligatures w14:val="none"/>
        </w:rPr>
        <w:t>LHC Group was purchased by UHG for $5.4 billion in 2023, and it was incorporated into Optum to increase the availability of home healthcare services. With this move, Optum's resources and LHC's vast home health network will be combined to provide complete care.</w:t>
      </w:r>
    </w:p>
    <w:p w14:paraId="1D76C4B2" w14:textId="77777777" w:rsidR="00215B92" w:rsidRDefault="00215B92" w:rsidP="004E212D">
      <w:pPr>
        <w:rPr>
          <w:rFonts w:ascii="Times New Roman" w:eastAsia="Times New Roman" w:hAnsi="Times New Roman" w:cs="Times New Roman"/>
          <w:color w:val="000000"/>
          <w:kern w:val="0"/>
          <w:lang w:eastAsia="en-GB"/>
          <w14:ligatures w14:val="none"/>
        </w:rPr>
      </w:pPr>
    </w:p>
    <w:p w14:paraId="7AB8D2AB" w14:textId="77777777" w:rsidR="00E025D9" w:rsidRDefault="00E025D9" w:rsidP="004E212D">
      <w:pPr>
        <w:rPr>
          <w:rFonts w:ascii="Times New Roman" w:eastAsia="Times New Roman" w:hAnsi="Times New Roman" w:cs="Times New Roman"/>
          <w:b/>
          <w:bCs/>
          <w:color w:val="000000"/>
          <w:kern w:val="0"/>
          <w:sz w:val="28"/>
          <w:szCs w:val="28"/>
          <w:lang w:eastAsia="en-GB"/>
          <w14:ligatures w14:val="none"/>
        </w:rPr>
      </w:pPr>
    </w:p>
    <w:p w14:paraId="15794E9C" w14:textId="50961A3F" w:rsidR="00E025D9" w:rsidRDefault="00E025D9" w:rsidP="480B4935">
      <w:pPr>
        <w:rPr>
          <w:rFonts w:ascii="Times New Roman" w:eastAsia="Times New Roman" w:hAnsi="Times New Roman" w:cs="Times New Roman"/>
          <w:b/>
          <w:bCs/>
          <w:color w:val="000000"/>
          <w:kern w:val="0"/>
          <w:sz w:val="28"/>
          <w:szCs w:val="28"/>
          <w:lang w:eastAsia="en-GB"/>
          <w14:ligatures w14:val="none"/>
        </w:rPr>
      </w:pPr>
    </w:p>
    <w:p w14:paraId="6C437BDA" w14:textId="7DEA02C6" w:rsidR="00553F67" w:rsidRDefault="608BBE71" w:rsidP="004E212D">
      <w:pPr>
        <w:rPr>
          <w:rFonts w:ascii="Times New Roman" w:eastAsia="Times New Roman" w:hAnsi="Times New Roman" w:cs="Times New Roman"/>
          <w:b/>
          <w:bCs/>
          <w:color w:val="000000"/>
          <w:kern w:val="0"/>
          <w:sz w:val="28"/>
          <w:szCs w:val="28"/>
          <w:lang w:eastAsia="en-GB"/>
          <w14:ligatures w14:val="none"/>
        </w:rPr>
      </w:pPr>
      <w:r>
        <w:rPr>
          <w:rFonts w:ascii="Times New Roman" w:eastAsia="Times New Roman" w:hAnsi="Times New Roman" w:cs="Times New Roman"/>
          <w:b/>
          <w:bCs/>
          <w:color w:val="000000"/>
          <w:kern w:val="0"/>
          <w:sz w:val="28"/>
          <w:szCs w:val="28"/>
          <w:lang w:eastAsia="en-GB"/>
          <w14:ligatures w14:val="none"/>
        </w:rPr>
        <w:t xml:space="preserve">5. </w:t>
      </w:r>
      <w:r w:rsidR="4CDD36F2" w:rsidRPr="00011792">
        <w:rPr>
          <w:rFonts w:ascii="Times New Roman" w:eastAsia="Times New Roman" w:hAnsi="Times New Roman" w:cs="Times New Roman"/>
          <w:b/>
          <w:bCs/>
          <w:color w:val="000000"/>
          <w:kern w:val="0"/>
          <w:sz w:val="28"/>
          <w:szCs w:val="28"/>
          <w:lang w:eastAsia="en-GB"/>
          <w14:ligatures w14:val="none"/>
        </w:rPr>
        <w:t xml:space="preserve">UHG comparison </w:t>
      </w:r>
      <w:r w:rsidR="6D40A709" w:rsidRPr="00011792">
        <w:rPr>
          <w:rFonts w:ascii="Times New Roman" w:eastAsia="Times New Roman" w:hAnsi="Times New Roman" w:cs="Times New Roman"/>
          <w:b/>
          <w:bCs/>
          <w:color w:val="000000"/>
          <w:kern w:val="0"/>
          <w:sz w:val="28"/>
          <w:szCs w:val="28"/>
          <w:lang w:eastAsia="en-GB"/>
          <w14:ligatures w14:val="none"/>
        </w:rPr>
        <w:t xml:space="preserve">to competitors: </w:t>
      </w:r>
    </w:p>
    <w:p w14:paraId="70FA1D84" w14:textId="77777777" w:rsidR="00DE1F86" w:rsidRPr="00011792" w:rsidRDefault="00DE1F86" w:rsidP="004E212D">
      <w:pPr>
        <w:rPr>
          <w:rFonts w:ascii="Times New Roman" w:eastAsia="Times New Roman" w:hAnsi="Times New Roman" w:cs="Times New Roman"/>
          <w:b/>
          <w:bCs/>
          <w:color w:val="000000"/>
          <w:kern w:val="0"/>
          <w:sz w:val="28"/>
          <w:szCs w:val="28"/>
          <w:lang w:eastAsia="en-GB"/>
          <w14:ligatures w14:val="none"/>
        </w:rPr>
      </w:pPr>
    </w:p>
    <w:p w14:paraId="12098C4E" w14:textId="5EA733A6" w:rsidR="00011792" w:rsidRDefault="6403B3BC" w:rsidP="480B4935">
      <w:pPr>
        <w:rPr>
          <w:rFonts w:ascii="Times New Roman" w:eastAsia="Times New Roman" w:hAnsi="Times New Roman" w:cs="Times New Roman"/>
          <w:color w:val="000000"/>
          <w:kern w:val="0"/>
          <w:lang w:eastAsia="en-GB"/>
          <w14:ligatures w14:val="none"/>
        </w:rPr>
      </w:pPr>
      <w:r w:rsidRPr="480B4935">
        <w:rPr>
          <w:rFonts w:ascii="Times New Roman" w:eastAsia="Times New Roman" w:hAnsi="Times New Roman" w:cs="Times New Roman"/>
          <w:color w:val="000000"/>
          <w:kern w:val="0"/>
          <w:lang w:eastAsia="en-GB"/>
          <w14:ligatures w14:val="none"/>
        </w:rPr>
        <w:t>CVS Health, Elevance Health and Cigna are the competitors</w:t>
      </w:r>
      <w:r w:rsidR="6358F628" w:rsidRPr="480B4935">
        <w:rPr>
          <w:rFonts w:ascii="Times New Roman" w:eastAsia="Times New Roman" w:hAnsi="Times New Roman" w:cs="Times New Roman"/>
          <w:color w:val="000000"/>
          <w:kern w:val="0"/>
          <w:lang w:eastAsia="en-GB"/>
          <w14:ligatures w14:val="none"/>
        </w:rPr>
        <w:t xml:space="preserve"> of UHG in the healthcare sector.</w:t>
      </w:r>
    </w:p>
    <w:p w14:paraId="565CC9E5" w14:textId="77777777" w:rsidR="003D3B2C" w:rsidRDefault="003D3B2C" w:rsidP="480B4935">
      <w:pPr>
        <w:rPr>
          <w:rFonts w:ascii="Times New Roman" w:eastAsia="Times New Roman" w:hAnsi="Times New Roman" w:cs="Times New Roman"/>
          <w:color w:val="000000"/>
          <w:kern w:val="0"/>
          <w:lang w:eastAsia="en-GB"/>
          <w14:ligatures w14:val="none"/>
        </w:rPr>
      </w:pPr>
    </w:p>
    <w:p w14:paraId="560FEDB5" w14:textId="5C8109FD" w:rsidR="003D57CA" w:rsidRDefault="313A86C8" w:rsidP="480B4935">
      <w:pPr>
        <w:rPr>
          <w:rFonts w:ascii="Times New Roman" w:eastAsia="Times New Roman" w:hAnsi="Times New Roman" w:cs="Times New Roman"/>
          <w:color w:val="000000"/>
          <w:kern w:val="0"/>
          <w:lang w:eastAsia="en-GB"/>
          <w14:ligatures w14:val="none"/>
        </w:rPr>
      </w:pPr>
      <w:r w:rsidRPr="480B4935">
        <w:rPr>
          <w:rFonts w:ascii="Times New Roman" w:eastAsia="Times New Roman" w:hAnsi="Times New Roman" w:cs="Times New Roman"/>
          <w:color w:val="000000"/>
          <w:kern w:val="0"/>
          <w:lang w:eastAsia="en-GB"/>
          <w14:ligatures w14:val="none"/>
        </w:rPr>
        <w:t xml:space="preserve">UHG </w:t>
      </w:r>
      <w:r w:rsidR="74D1D398" w:rsidRPr="480B4935">
        <w:rPr>
          <w:rFonts w:ascii="Times New Roman" w:eastAsia="Times New Roman" w:hAnsi="Times New Roman" w:cs="Times New Roman"/>
          <w:color w:val="000000"/>
          <w:kern w:val="0"/>
          <w:lang w:eastAsia="en-GB"/>
          <w14:ligatures w14:val="none"/>
        </w:rPr>
        <w:t>offers a</w:t>
      </w:r>
      <w:r w:rsidRPr="480B4935">
        <w:rPr>
          <w:rFonts w:ascii="Times New Roman" w:eastAsia="Times New Roman" w:hAnsi="Times New Roman" w:cs="Times New Roman"/>
          <w:color w:val="000000"/>
          <w:kern w:val="0"/>
          <w:lang w:eastAsia="en-GB"/>
          <w14:ligatures w14:val="none"/>
        </w:rPr>
        <w:t xml:space="preserve"> wide range of healthcare services, including insurance and health services through its Optum division</w:t>
      </w:r>
      <w:r w:rsidR="74D1D398" w:rsidRPr="480B4935">
        <w:rPr>
          <w:rFonts w:ascii="Times New Roman" w:eastAsia="Times New Roman" w:hAnsi="Times New Roman" w:cs="Times New Roman"/>
          <w:color w:val="000000"/>
          <w:kern w:val="0"/>
          <w:lang w:eastAsia="en-GB"/>
          <w14:ligatures w14:val="none"/>
        </w:rPr>
        <w:t xml:space="preserve"> </w:t>
      </w:r>
      <w:r w:rsidR="4A0CA275" w:rsidRPr="480B4935">
        <w:rPr>
          <w:rFonts w:ascii="Times New Roman" w:eastAsia="Times New Roman" w:hAnsi="Times New Roman" w:cs="Times New Roman"/>
          <w:color w:val="000000"/>
          <w:kern w:val="0"/>
          <w:lang w:eastAsia="en-GB"/>
          <w14:ligatures w14:val="none"/>
        </w:rPr>
        <w:t xml:space="preserve">and </w:t>
      </w:r>
      <w:r w:rsidR="74D1D398" w:rsidRPr="480B4935">
        <w:rPr>
          <w:rFonts w:ascii="Times New Roman" w:eastAsia="Times New Roman" w:hAnsi="Times New Roman" w:cs="Times New Roman"/>
          <w:color w:val="000000"/>
          <w:kern w:val="0"/>
          <w:lang w:eastAsia="en-GB"/>
          <w14:ligatures w14:val="none"/>
        </w:rPr>
        <w:t xml:space="preserve">the CVS runs pharmacies and provides insurance through </w:t>
      </w:r>
      <w:r w:rsidR="5B7A5307" w:rsidRPr="480B4935">
        <w:rPr>
          <w:rFonts w:ascii="Times New Roman" w:eastAsia="Times New Roman" w:hAnsi="Times New Roman" w:cs="Times New Roman"/>
          <w:color w:val="000000"/>
          <w:kern w:val="0"/>
          <w:lang w:eastAsia="en-GB"/>
          <w14:ligatures w14:val="none"/>
        </w:rPr>
        <w:t>Aetna.</w:t>
      </w:r>
    </w:p>
    <w:p w14:paraId="7CFB07D7" w14:textId="77777777" w:rsidR="00AA0CEB" w:rsidRDefault="00AA0CEB" w:rsidP="480B4935">
      <w:pPr>
        <w:rPr>
          <w:rFonts w:ascii="Times New Roman" w:eastAsia="Times New Roman" w:hAnsi="Times New Roman" w:cs="Times New Roman"/>
          <w:color w:val="000000"/>
          <w:kern w:val="0"/>
          <w:lang w:eastAsia="en-GB"/>
          <w14:ligatures w14:val="none"/>
        </w:rPr>
      </w:pPr>
    </w:p>
    <w:p w14:paraId="5E877254" w14:textId="77777777" w:rsidR="00676F49" w:rsidRPr="00676F49" w:rsidRDefault="6AFBC0BA" w:rsidP="480B4935">
      <w:pPr>
        <w:rPr>
          <w:rFonts w:ascii="Times New Roman" w:eastAsia="Times New Roman" w:hAnsi="Times New Roman" w:cs="Times New Roman"/>
          <w:color w:val="000000"/>
          <w:kern w:val="0"/>
          <w:lang w:val="en-US" w:eastAsia="en-GB"/>
          <w14:ligatures w14:val="none"/>
        </w:rPr>
      </w:pPr>
      <w:r w:rsidRPr="480B4935">
        <w:rPr>
          <w:rFonts w:ascii="Times New Roman" w:eastAsia="Times New Roman" w:hAnsi="Times New Roman" w:cs="Times New Roman"/>
          <w:b/>
          <w:bCs/>
          <w:color w:val="000000"/>
          <w:kern w:val="0"/>
          <w:lang w:val="en-US" w:eastAsia="en-GB"/>
          <w14:ligatures w14:val="none"/>
        </w:rPr>
        <w:t>Market Share:</w:t>
      </w:r>
    </w:p>
    <w:p w14:paraId="51213AC4" w14:textId="77777777" w:rsidR="00BA4B5E" w:rsidRDefault="00BA4B5E" w:rsidP="480B4935">
      <w:pPr>
        <w:rPr>
          <w:rFonts w:ascii="Times New Roman" w:eastAsia="Times New Roman" w:hAnsi="Times New Roman" w:cs="Times New Roman"/>
          <w:b/>
          <w:bCs/>
          <w:color w:val="000000"/>
          <w:kern w:val="0"/>
          <w:lang w:val="en-US" w:eastAsia="en-GB"/>
          <w14:ligatures w14:val="none"/>
        </w:rPr>
      </w:pPr>
    </w:p>
    <w:p w14:paraId="5AD36626" w14:textId="1F3A338F" w:rsidR="00AA0CEB" w:rsidRDefault="6AFBC0BA" w:rsidP="480B4935">
      <w:pPr>
        <w:rPr>
          <w:rFonts w:ascii="Times New Roman" w:eastAsia="Times New Roman" w:hAnsi="Times New Roman" w:cs="Times New Roman"/>
          <w:color w:val="000000"/>
          <w:kern w:val="0"/>
          <w:lang w:val="en-US" w:eastAsia="en-GB"/>
          <w14:ligatures w14:val="none"/>
        </w:rPr>
      </w:pPr>
      <w:r w:rsidRPr="480B4935">
        <w:rPr>
          <w:rFonts w:ascii="Times New Roman" w:eastAsia="Times New Roman" w:hAnsi="Times New Roman" w:cs="Times New Roman"/>
          <w:color w:val="000000"/>
          <w:kern w:val="0"/>
          <w:lang w:val="en-US" w:eastAsia="en-GB"/>
          <w14:ligatures w14:val="none"/>
        </w:rPr>
        <w:t xml:space="preserve">In </w:t>
      </w:r>
      <w:r w:rsidR="485FB589" w:rsidRPr="480B4935">
        <w:rPr>
          <w:rFonts w:ascii="Times New Roman" w:eastAsia="Times New Roman" w:hAnsi="Times New Roman" w:cs="Times New Roman"/>
          <w:color w:val="000000"/>
          <w:kern w:val="0"/>
          <w:lang w:val="en-US" w:eastAsia="en-GB"/>
          <w14:ligatures w14:val="none"/>
        </w:rPr>
        <w:t xml:space="preserve">the year </w:t>
      </w:r>
      <w:r w:rsidRPr="480B4935">
        <w:rPr>
          <w:rFonts w:ascii="Times New Roman" w:eastAsia="Times New Roman" w:hAnsi="Times New Roman" w:cs="Times New Roman"/>
          <w:color w:val="000000"/>
          <w:kern w:val="0"/>
          <w:lang w:val="en-US" w:eastAsia="en-GB"/>
          <w14:ligatures w14:val="none"/>
        </w:rPr>
        <w:t>2023, UHG h</w:t>
      </w:r>
      <w:r w:rsidR="485FB589" w:rsidRPr="480B4935">
        <w:rPr>
          <w:rFonts w:ascii="Times New Roman" w:eastAsia="Times New Roman" w:hAnsi="Times New Roman" w:cs="Times New Roman"/>
          <w:color w:val="000000"/>
          <w:kern w:val="0"/>
          <w:lang w:val="en-US" w:eastAsia="en-GB"/>
          <w14:ligatures w14:val="none"/>
        </w:rPr>
        <w:t>olds</w:t>
      </w:r>
      <w:r w:rsidRPr="480B4935">
        <w:rPr>
          <w:rFonts w:ascii="Times New Roman" w:eastAsia="Times New Roman" w:hAnsi="Times New Roman" w:cs="Times New Roman"/>
          <w:color w:val="000000"/>
          <w:kern w:val="0"/>
          <w:lang w:val="en-US" w:eastAsia="en-GB"/>
          <w14:ligatures w14:val="none"/>
        </w:rPr>
        <w:t xml:space="preserve"> a 14% </w:t>
      </w:r>
      <w:r w:rsidR="485FB589" w:rsidRPr="480B4935">
        <w:rPr>
          <w:rFonts w:ascii="Times New Roman" w:eastAsia="Times New Roman" w:hAnsi="Times New Roman" w:cs="Times New Roman"/>
          <w:color w:val="000000"/>
          <w:kern w:val="0"/>
          <w:lang w:val="en-US" w:eastAsia="en-GB"/>
          <w14:ligatures w14:val="none"/>
        </w:rPr>
        <w:t xml:space="preserve">of the </w:t>
      </w:r>
      <w:r w:rsidRPr="480B4935">
        <w:rPr>
          <w:rFonts w:ascii="Times New Roman" w:eastAsia="Times New Roman" w:hAnsi="Times New Roman" w:cs="Times New Roman"/>
          <w:color w:val="000000"/>
          <w:kern w:val="0"/>
          <w:lang w:val="en-US" w:eastAsia="en-GB"/>
          <w14:ligatures w14:val="none"/>
        </w:rPr>
        <w:t xml:space="preserve">share in the health insurance </w:t>
      </w:r>
      <w:r w:rsidR="6BD6AC48" w:rsidRPr="480B4935">
        <w:rPr>
          <w:rFonts w:ascii="Times New Roman" w:eastAsia="Times New Roman" w:hAnsi="Times New Roman" w:cs="Times New Roman"/>
          <w:color w:val="000000"/>
          <w:kern w:val="0"/>
          <w:lang w:val="en-US" w:eastAsia="en-GB"/>
          <w14:ligatures w14:val="none"/>
        </w:rPr>
        <w:t>sector.</w:t>
      </w:r>
    </w:p>
    <w:p w14:paraId="6EC42971" w14:textId="77777777" w:rsidR="00BD7B07" w:rsidRDefault="00BD7B07" w:rsidP="480B4935">
      <w:pPr>
        <w:rPr>
          <w:rFonts w:ascii="Times New Roman" w:eastAsia="Times New Roman" w:hAnsi="Times New Roman" w:cs="Times New Roman"/>
          <w:color w:val="000000"/>
          <w:kern w:val="0"/>
          <w:lang w:val="en-US" w:eastAsia="en-GB"/>
          <w14:ligatures w14:val="none"/>
        </w:rPr>
      </w:pPr>
    </w:p>
    <w:p w14:paraId="5DE96E83" w14:textId="77777777" w:rsidR="00165AC4" w:rsidRPr="00165AC4" w:rsidRDefault="3FDB7605" w:rsidP="480B4935">
      <w:pPr>
        <w:rPr>
          <w:rFonts w:ascii="Times New Roman" w:eastAsia="Times New Roman" w:hAnsi="Times New Roman" w:cs="Times New Roman"/>
          <w:b/>
          <w:bCs/>
          <w:color w:val="000000"/>
          <w:kern w:val="0"/>
          <w:lang w:val="en-US" w:eastAsia="en-GB"/>
          <w14:ligatures w14:val="none"/>
        </w:rPr>
      </w:pPr>
      <w:r w:rsidRPr="480B4935">
        <w:rPr>
          <w:rFonts w:ascii="Times New Roman" w:eastAsia="Times New Roman" w:hAnsi="Times New Roman" w:cs="Times New Roman"/>
          <w:b/>
          <w:bCs/>
          <w:color w:val="000000"/>
          <w:kern w:val="0"/>
          <w:lang w:val="en-US" w:eastAsia="en-GB"/>
          <w14:ligatures w14:val="none"/>
        </w:rPr>
        <w:t>Stock Performance</w:t>
      </w:r>
    </w:p>
    <w:p w14:paraId="7372F50F" w14:textId="77777777" w:rsidR="00165AC4" w:rsidRDefault="00165AC4" w:rsidP="480B4935">
      <w:pPr>
        <w:rPr>
          <w:rFonts w:ascii="Times New Roman" w:eastAsia="Times New Roman" w:hAnsi="Times New Roman" w:cs="Times New Roman"/>
          <w:b/>
          <w:bCs/>
          <w:color w:val="000000"/>
          <w:kern w:val="0"/>
          <w:lang w:val="en-US" w:eastAsia="en-GB"/>
          <w14:ligatures w14:val="none"/>
        </w:rPr>
      </w:pPr>
    </w:p>
    <w:p w14:paraId="5F417C38" w14:textId="319CC01F" w:rsidR="00165AC4" w:rsidRDefault="3FDB7605" w:rsidP="480B4935">
      <w:pPr>
        <w:rPr>
          <w:rFonts w:ascii="Times New Roman" w:eastAsia="Times New Roman" w:hAnsi="Times New Roman" w:cs="Times New Roman"/>
          <w:color w:val="000000"/>
          <w:kern w:val="0"/>
          <w:lang w:val="en-US" w:eastAsia="en-GB"/>
          <w14:ligatures w14:val="none"/>
        </w:rPr>
      </w:pPr>
      <w:r w:rsidRPr="480B4935">
        <w:rPr>
          <w:rFonts w:ascii="Times New Roman" w:eastAsia="Times New Roman" w:hAnsi="Times New Roman" w:cs="Times New Roman"/>
          <w:color w:val="000000"/>
          <w:kern w:val="0"/>
          <w:lang w:val="en-US" w:eastAsia="en-GB"/>
          <w14:ligatures w14:val="none"/>
        </w:rPr>
        <w:t xml:space="preserve">In the year 2023 the UHG  Stock </w:t>
      </w:r>
      <w:r w:rsidRPr="480B4935">
        <w:rPr>
          <w:rFonts w:ascii="Times New Roman" w:eastAsia="Times New Roman" w:hAnsi="Times New Roman" w:cs="Times New Roman"/>
          <w:b/>
          <w:bCs/>
          <w:color w:val="000000"/>
          <w:kern w:val="0"/>
          <w:lang w:val="en-US" w:eastAsia="en-GB"/>
          <w14:ligatures w14:val="none"/>
        </w:rPr>
        <w:t>fell by 1%</w:t>
      </w:r>
      <w:r w:rsidRPr="480B4935">
        <w:rPr>
          <w:rFonts w:ascii="Times New Roman" w:eastAsia="Times New Roman" w:hAnsi="Times New Roman" w:cs="Times New Roman"/>
          <w:color w:val="000000"/>
          <w:kern w:val="0"/>
          <w:lang w:val="en-US" w:eastAsia="en-GB"/>
          <w14:ligatures w14:val="none"/>
        </w:rPr>
        <w:t xml:space="preserve"> but still performed better than the S&amp;P 500, which dropped </w:t>
      </w:r>
      <w:r w:rsidRPr="480B4935">
        <w:rPr>
          <w:rFonts w:ascii="Times New Roman" w:eastAsia="Times New Roman" w:hAnsi="Times New Roman" w:cs="Times New Roman"/>
          <w:b/>
          <w:bCs/>
          <w:color w:val="000000"/>
          <w:kern w:val="0"/>
          <w:lang w:val="en-US" w:eastAsia="en-GB"/>
          <w14:ligatures w14:val="none"/>
        </w:rPr>
        <w:t>19%</w:t>
      </w:r>
      <w:r w:rsidRPr="480B4935">
        <w:rPr>
          <w:rFonts w:ascii="Times New Roman" w:eastAsia="Times New Roman" w:hAnsi="Times New Roman" w:cs="Times New Roman"/>
          <w:color w:val="000000"/>
          <w:kern w:val="0"/>
          <w:lang w:val="en-US" w:eastAsia="en-GB"/>
          <w14:ligatures w14:val="none"/>
        </w:rPr>
        <w:t>.</w:t>
      </w:r>
    </w:p>
    <w:p w14:paraId="7797146C" w14:textId="77777777" w:rsidR="00165AC4" w:rsidRDefault="00165AC4" w:rsidP="480B4935">
      <w:pPr>
        <w:rPr>
          <w:rFonts w:ascii="Times New Roman" w:eastAsia="Times New Roman" w:hAnsi="Times New Roman" w:cs="Times New Roman"/>
          <w:color w:val="000000"/>
          <w:kern w:val="0"/>
          <w:lang w:val="en-US" w:eastAsia="en-GB"/>
          <w14:ligatures w14:val="none"/>
        </w:rPr>
      </w:pPr>
    </w:p>
    <w:p w14:paraId="2695901B" w14:textId="77777777" w:rsidR="00165AC4" w:rsidRDefault="00165AC4" w:rsidP="480B4935">
      <w:pPr>
        <w:rPr>
          <w:rFonts w:ascii="Times New Roman" w:eastAsia="Times New Roman" w:hAnsi="Times New Roman" w:cs="Times New Roman"/>
          <w:color w:val="000000"/>
          <w:kern w:val="0"/>
          <w:lang w:val="en-US" w:eastAsia="en-GB"/>
          <w14:ligatures w14:val="none"/>
        </w:rPr>
      </w:pPr>
    </w:p>
    <w:p w14:paraId="039102B4" w14:textId="7A2F146C" w:rsidR="00E025D9" w:rsidRDefault="00E025D9" w:rsidP="480B4935">
      <w:pPr>
        <w:rPr>
          <w:rFonts w:ascii="Times New Roman" w:eastAsia="Times New Roman" w:hAnsi="Times New Roman" w:cs="Times New Roman"/>
          <w:b/>
          <w:bCs/>
          <w:color w:val="000000"/>
          <w:kern w:val="0"/>
          <w:sz w:val="28"/>
          <w:szCs w:val="28"/>
          <w:lang w:eastAsia="en-GB"/>
          <w14:ligatures w14:val="none"/>
        </w:rPr>
      </w:pPr>
    </w:p>
    <w:p w14:paraId="24A64851" w14:textId="77777777" w:rsidR="00501BF9" w:rsidRDefault="00501BF9" w:rsidP="00165AC4">
      <w:pPr>
        <w:rPr>
          <w:rFonts w:ascii="Times New Roman" w:eastAsia="Times New Roman" w:hAnsi="Times New Roman" w:cs="Times New Roman"/>
          <w:b/>
          <w:bCs/>
          <w:color w:val="000000"/>
          <w:kern w:val="0"/>
          <w:sz w:val="28"/>
          <w:szCs w:val="28"/>
          <w:lang w:eastAsia="en-GB"/>
          <w14:ligatures w14:val="none"/>
        </w:rPr>
      </w:pPr>
    </w:p>
    <w:p w14:paraId="6D28256F" w14:textId="3BE393B5" w:rsidR="00EC3B47" w:rsidRDefault="608BBE71" w:rsidP="00165AC4">
      <w:pPr>
        <w:rPr>
          <w:rFonts w:ascii="Times New Roman" w:eastAsia="Times New Roman" w:hAnsi="Times New Roman" w:cs="Times New Roman"/>
          <w:b/>
          <w:bCs/>
          <w:color w:val="000000"/>
          <w:kern w:val="0"/>
          <w:sz w:val="28"/>
          <w:szCs w:val="28"/>
          <w:lang w:eastAsia="en-GB"/>
          <w14:ligatures w14:val="none"/>
        </w:rPr>
      </w:pPr>
      <w:r>
        <w:rPr>
          <w:rFonts w:ascii="Times New Roman" w:eastAsia="Times New Roman" w:hAnsi="Times New Roman" w:cs="Times New Roman"/>
          <w:b/>
          <w:bCs/>
          <w:color w:val="000000"/>
          <w:kern w:val="0"/>
          <w:sz w:val="28"/>
          <w:szCs w:val="28"/>
          <w:lang w:eastAsia="en-GB"/>
          <w14:ligatures w14:val="none"/>
        </w:rPr>
        <w:lastRenderedPageBreak/>
        <w:t xml:space="preserve">6. </w:t>
      </w:r>
      <w:r w:rsidR="33CCBAB9" w:rsidRPr="00EC3B47">
        <w:rPr>
          <w:rFonts w:ascii="Times New Roman" w:eastAsia="Times New Roman" w:hAnsi="Times New Roman" w:cs="Times New Roman"/>
          <w:b/>
          <w:bCs/>
          <w:color w:val="000000"/>
          <w:kern w:val="0"/>
          <w:sz w:val="28"/>
          <w:szCs w:val="28"/>
          <w:lang w:eastAsia="en-GB"/>
          <w14:ligatures w14:val="none"/>
        </w:rPr>
        <w:t>Business Strategy Concepts Applied:</w:t>
      </w:r>
    </w:p>
    <w:p w14:paraId="50F2897E" w14:textId="77777777" w:rsidR="00EC3B47" w:rsidRDefault="00EC3B47" w:rsidP="00165AC4">
      <w:pPr>
        <w:rPr>
          <w:rFonts w:ascii="Times New Roman" w:eastAsia="Times New Roman" w:hAnsi="Times New Roman" w:cs="Times New Roman"/>
          <w:b/>
          <w:bCs/>
          <w:color w:val="000000"/>
          <w:kern w:val="0"/>
          <w:sz w:val="28"/>
          <w:szCs w:val="28"/>
          <w:lang w:eastAsia="en-GB"/>
          <w14:ligatures w14:val="none"/>
        </w:rPr>
      </w:pPr>
    </w:p>
    <w:p w14:paraId="55598D80" w14:textId="0E0268C7" w:rsidR="008D7D18" w:rsidRPr="00DE4BBE" w:rsidRDefault="534F434B" w:rsidP="480B4935">
      <w:pPr>
        <w:rPr>
          <w:rFonts w:ascii="Times New Roman" w:eastAsia="Times New Roman" w:hAnsi="Times New Roman" w:cs="Times New Roman"/>
          <w:b/>
          <w:bCs/>
          <w:color w:val="000000" w:themeColor="text1"/>
          <w:lang w:eastAsia="en-GB"/>
        </w:rPr>
      </w:pPr>
      <w:r w:rsidRPr="480B4935">
        <w:rPr>
          <w:rFonts w:ascii="Times New Roman" w:eastAsia="Times New Roman" w:hAnsi="Times New Roman" w:cs="Times New Roman"/>
          <w:b/>
          <w:bCs/>
          <w:color w:val="000000"/>
          <w:kern w:val="0"/>
          <w:lang w:eastAsia="en-GB"/>
          <w14:ligatures w14:val="none"/>
        </w:rPr>
        <w:t>Mergers &amp; Acquisitions:</w:t>
      </w:r>
    </w:p>
    <w:p w14:paraId="7CE2824E" w14:textId="36B57707" w:rsidR="008D7D18" w:rsidRPr="00DE4BBE" w:rsidRDefault="1F41AB33" w:rsidP="00501BF9">
      <w:pPr>
        <w:rPr>
          <w:rFonts w:ascii="Times New Roman" w:eastAsia="Times New Roman" w:hAnsi="Times New Roman" w:cs="Times New Roman"/>
          <w:b/>
          <w:bCs/>
          <w:color w:val="000000"/>
          <w:kern w:val="0"/>
          <w:lang w:eastAsia="en-GB"/>
          <w14:ligatures w14:val="none"/>
        </w:rPr>
      </w:pPr>
      <w:r w:rsidRPr="480B4935">
        <w:rPr>
          <w:rFonts w:ascii="Times New Roman" w:eastAsia="Times New Roman" w:hAnsi="Times New Roman" w:cs="Times New Roman"/>
          <w:color w:val="000000"/>
          <w:kern w:val="0"/>
          <w:lang w:val="en-US" w:eastAsia="en-GB"/>
          <w14:ligatures w14:val="none"/>
        </w:rPr>
        <w:t xml:space="preserve">Change Healthcare was acquired by UnitedHealth Group in 2023, which </w:t>
      </w:r>
      <w:r w:rsidR="275B013E" w:rsidRPr="480B4935">
        <w:rPr>
          <w:rFonts w:ascii="Times New Roman" w:eastAsia="Times New Roman" w:hAnsi="Times New Roman" w:cs="Times New Roman"/>
          <w:color w:val="000000"/>
          <w:kern w:val="0"/>
          <w:lang w:val="en-US" w:eastAsia="en-GB"/>
          <w14:ligatures w14:val="none"/>
        </w:rPr>
        <w:t>helps</w:t>
      </w:r>
      <w:r w:rsidRPr="480B4935">
        <w:rPr>
          <w:rFonts w:ascii="Times New Roman" w:eastAsia="Times New Roman" w:hAnsi="Times New Roman" w:cs="Times New Roman"/>
          <w:color w:val="000000"/>
          <w:kern w:val="0"/>
          <w:lang w:val="en-US" w:eastAsia="en-GB"/>
          <w14:ligatures w14:val="none"/>
        </w:rPr>
        <w:t xml:space="preserve"> in </w:t>
      </w:r>
      <w:r w:rsidR="40877B58" w:rsidRPr="480B4935">
        <w:rPr>
          <w:rFonts w:ascii="Times New Roman" w:eastAsia="Times New Roman" w:hAnsi="Times New Roman" w:cs="Times New Roman"/>
          <w:color w:val="000000"/>
          <w:kern w:val="0"/>
          <w:lang w:val="en-US" w:eastAsia="en-GB"/>
          <w14:ligatures w14:val="none"/>
        </w:rPr>
        <w:t>improving operational</w:t>
      </w:r>
      <w:r w:rsidRPr="480B4935">
        <w:rPr>
          <w:rFonts w:ascii="Times New Roman" w:eastAsia="Times New Roman" w:hAnsi="Times New Roman" w:cs="Times New Roman"/>
          <w:color w:val="000000"/>
          <w:kern w:val="0"/>
          <w:lang w:val="en-US" w:eastAsia="en-GB"/>
          <w14:ligatures w14:val="none"/>
        </w:rPr>
        <w:t xml:space="preserve"> efficiency by strengthening its data analytics and claims processing skills. </w:t>
      </w:r>
    </w:p>
    <w:p w14:paraId="64D1AD72" w14:textId="77777777" w:rsidR="008D7D18" w:rsidRDefault="008D7D18" w:rsidP="480B4935">
      <w:pPr>
        <w:rPr>
          <w:rFonts w:ascii="Times New Roman" w:eastAsia="Times New Roman" w:hAnsi="Times New Roman" w:cs="Times New Roman"/>
          <w:color w:val="000000"/>
          <w:kern w:val="0"/>
          <w:lang w:val="en-US" w:eastAsia="en-GB"/>
          <w14:ligatures w14:val="none"/>
        </w:rPr>
      </w:pPr>
    </w:p>
    <w:p w14:paraId="0FEC5BB7" w14:textId="3C6AD1CF" w:rsidR="008D7D18" w:rsidRDefault="40877B58" w:rsidP="480B4935">
      <w:pPr>
        <w:rPr>
          <w:rFonts w:ascii="Times New Roman" w:eastAsia="Times New Roman" w:hAnsi="Times New Roman" w:cs="Times New Roman"/>
          <w:color w:val="000000" w:themeColor="text1"/>
          <w:lang w:eastAsia="en-GB"/>
        </w:rPr>
      </w:pPr>
      <w:r w:rsidRPr="480B4935">
        <w:rPr>
          <w:rFonts w:ascii="Times New Roman" w:eastAsia="Times New Roman" w:hAnsi="Times New Roman" w:cs="Times New Roman"/>
          <w:b/>
          <w:bCs/>
          <w:color w:val="000000"/>
          <w:kern w:val="0"/>
          <w:lang w:eastAsia="en-GB"/>
          <w14:ligatures w14:val="none"/>
        </w:rPr>
        <w:t>Vertical Integration:</w:t>
      </w:r>
    </w:p>
    <w:p w14:paraId="571715C0" w14:textId="3C6AD1CF" w:rsidR="008D7D18" w:rsidRDefault="40877B58" w:rsidP="480B4935">
      <w:pPr>
        <w:rPr>
          <w:rFonts w:ascii="Times New Roman" w:eastAsia="Times New Roman" w:hAnsi="Times New Roman" w:cs="Times New Roman"/>
          <w:color w:val="000000" w:themeColor="text1"/>
          <w:lang w:eastAsia="en-GB"/>
        </w:rPr>
      </w:pPr>
      <w:r w:rsidRPr="480B4935">
        <w:rPr>
          <w:rFonts w:ascii="Times New Roman" w:eastAsia="Times New Roman" w:hAnsi="Times New Roman" w:cs="Times New Roman"/>
          <w:color w:val="000000"/>
          <w:kern w:val="0"/>
          <w:lang w:eastAsia="en-GB"/>
          <w14:ligatures w14:val="none"/>
        </w:rPr>
        <w:t>UHG Expanded Optum’s healthcare services such as providers, pharmacy, data analytics to control the entire value chain.</w:t>
      </w:r>
    </w:p>
    <w:p w14:paraId="619BE856" w14:textId="44552D93" w:rsidR="008D7D18" w:rsidRDefault="48B68918" w:rsidP="480B4935">
      <w:pPr>
        <w:rPr>
          <w:rFonts w:ascii="Times New Roman" w:eastAsia="Times New Roman" w:hAnsi="Times New Roman" w:cs="Times New Roman"/>
          <w:color w:val="000000"/>
          <w:kern w:val="0"/>
          <w:lang w:eastAsia="en-GB"/>
          <w14:ligatures w14:val="none"/>
        </w:rPr>
      </w:pPr>
      <w:r w:rsidRPr="480B4935">
        <w:rPr>
          <w:rFonts w:ascii="Times New Roman" w:eastAsia="Times New Roman" w:hAnsi="Times New Roman" w:cs="Times New Roman"/>
          <w:color w:val="000000"/>
          <w:kern w:val="0"/>
          <w:lang w:eastAsia="en-GB"/>
          <w14:ligatures w14:val="none"/>
        </w:rPr>
        <w:t>UnitedHealth Group (UHG) uses the Blue Ocean Strategy by expanding its offerings beyond standard health insurance and establishing new, uncontested markets for home healthcare services and telehealth and virtual care.</w:t>
      </w:r>
    </w:p>
    <w:p w14:paraId="13FACA9D" w14:textId="18D0C3C7" w:rsidR="000056D3" w:rsidRPr="004E212D" w:rsidRDefault="000056D3" w:rsidP="004E212D"/>
    <w:p w14:paraId="21A39C83" w14:textId="3329BEB4" w:rsidR="004E212D" w:rsidRPr="004E212D" w:rsidRDefault="608BBE71" w:rsidP="480B4935">
      <w:pPr>
        <w:spacing w:before="100" w:beforeAutospacing="1" w:after="100" w:afterAutospacing="1"/>
        <w:outlineLvl w:val="2"/>
        <w:rPr>
          <w:rFonts w:ascii="Times New Roman" w:eastAsia="Times New Roman" w:hAnsi="Times New Roman" w:cs="Times New Roman"/>
          <w:b/>
          <w:bCs/>
          <w:color w:val="000000"/>
          <w:kern w:val="0"/>
          <w:sz w:val="28"/>
          <w:szCs w:val="28"/>
          <w:lang w:eastAsia="en-GB"/>
          <w14:ligatures w14:val="none"/>
        </w:rPr>
      </w:pPr>
      <w:r w:rsidRPr="480B4935">
        <w:rPr>
          <w:rFonts w:ascii="Times New Roman" w:eastAsia="Times New Roman" w:hAnsi="Times New Roman" w:cs="Times New Roman"/>
          <w:b/>
          <w:bCs/>
          <w:color w:val="000000"/>
          <w:kern w:val="0"/>
          <w:sz w:val="28"/>
          <w:szCs w:val="28"/>
          <w:lang w:eastAsia="en-GB"/>
          <w14:ligatures w14:val="none"/>
        </w:rPr>
        <w:t>7</w:t>
      </w:r>
      <w:r w:rsidR="013C7C9D" w:rsidRPr="480B4935">
        <w:rPr>
          <w:rFonts w:ascii="Times New Roman" w:eastAsia="Times New Roman" w:hAnsi="Times New Roman" w:cs="Times New Roman"/>
          <w:b/>
          <w:bCs/>
          <w:color w:val="000000"/>
          <w:kern w:val="0"/>
          <w:sz w:val="28"/>
          <w:szCs w:val="28"/>
          <w:lang w:eastAsia="en-GB"/>
          <w14:ligatures w14:val="none"/>
        </w:rPr>
        <w:t>. Financial Analysis</w:t>
      </w:r>
    </w:p>
    <w:p w14:paraId="1CB800B2" w14:textId="77777777" w:rsidR="004E212D" w:rsidRPr="004E212D" w:rsidRDefault="013C7C9D" w:rsidP="480B4935">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4E212D">
        <w:rPr>
          <w:rFonts w:ascii="Times New Roman" w:eastAsia="Times New Roman" w:hAnsi="Times New Roman" w:cs="Times New Roman"/>
          <w:b/>
          <w:bCs/>
          <w:color w:val="000000"/>
          <w:kern w:val="0"/>
          <w:lang w:eastAsia="en-GB"/>
          <w14:ligatures w14:val="none"/>
        </w:rPr>
        <w:t>Income Statement (2020-2024 Projection)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8"/>
        <w:gridCol w:w="1408"/>
        <w:gridCol w:w="1747"/>
        <w:gridCol w:w="1682"/>
        <w:gridCol w:w="2541"/>
      </w:tblGrid>
      <w:tr w:rsidR="004E212D" w:rsidRPr="004E212D" w14:paraId="2D163223" w14:textId="77777777" w:rsidTr="480B4935">
        <w:trPr>
          <w:tblCellSpacing w:w="15" w:type="dxa"/>
        </w:trPr>
        <w:tc>
          <w:tcPr>
            <w:tcW w:w="0" w:type="auto"/>
            <w:vAlign w:val="center"/>
            <w:hideMark/>
          </w:tcPr>
          <w:p w14:paraId="59FF5B7E" w14:textId="77777777" w:rsidR="004E212D" w:rsidRPr="004E212D" w:rsidRDefault="013C7C9D" w:rsidP="004E212D">
            <w:pPr>
              <w:jc w:val="center"/>
              <w:rPr>
                <w:rFonts w:ascii="Times New Roman" w:eastAsia="Times New Roman" w:hAnsi="Times New Roman" w:cs="Times New Roman"/>
                <w:b/>
                <w:bCs/>
                <w:color w:val="000000"/>
                <w:kern w:val="0"/>
                <w:lang w:eastAsia="en-GB"/>
                <w14:ligatures w14:val="none"/>
              </w:rPr>
            </w:pPr>
            <w:r w:rsidRPr="004E212D">
              <w:rPr>
                <w:rFonts w:ascii="Times New Roman" w:eastAsia="Times New Roman" w:hAnsi="Times New Roman" w:cs="Times New Roman"/>
                <w:b/>
                <w:bCs/>
                <w:color w:val="000000"/>
                <w:kern w:val="0"/>
                <w:lang w:eastAsia="en-GB"/>
                <w14:ligatures w14:val="none"/>
              </w:rPr>
              <w:t>Year</w:t>
            </w:r>
          </w:p>
        </w:tc>
        <w:tc>
          <w:tcPr>
            <w:tcW w:w="0" w:type="auto"/>
            <w:vAlign w:val="center"/>
            <w:hideMark/>
          </w:tcPr>
          <w:p w14:paraId="3465DEC5" w14:textId="77777777" w:rsidR="004E212D" w:rsidRPr="004E212D" w:rsidRDefault="013C7C9D" w:rsidP="004E212D">
            <w:pPr>
              <w:jc w:val="center"/>
              <w:rPr>
                <w:rFonts w:ascii="Times New Roman" w:eastAsia="Times New Roman" w:hAnsi="Times New Roman" w:cs="Times New Roman"/>
                <w:b/>
                <w:bCs/>
                <w:color w:val="000000"/>
                <w:kern w:val="0"/>
                <w:lang w:eastAsia="en-GB"/>
                <w14:ligatures w14:val="none"/>
              </w:rPr>
            </w:pPr>
            <w:r w:rsidRPr="004E212D">
              <w:rPr>
                <w:rFonts w:ascii="Times New Roman" w:eastAsia="Times New Roman" w:hAnsi="Times New Roman" w:cs="Times New Roman"/>
                <w:b/>
                <w:bCs/>
                <w:color w:val="000000"/>
                <w:kern w:val="0"/>
                <w:lang w:eastAsia="en-GB"/>
                <w14:ligatures w14:val="none"/>
              </w:rPr>
              <w:t>Revenue ($B)</w:t>
            </w:r>
          </w:p>
        </w:tc>
        <w:tc>
          <w:tcPr>
            <w:tcW w:w="0" w:type="auto"/>
            <w:vAlign w:val="center"/>
            <w:hideMark/>
          </w:tcPr>
          <w:p w14:paraId="431FF7EB" w14:textId="77777777" w:rsidR="004E212D" w:rsidRPr="004E212D" w:rsidRDefault="013C7C9D" w:rsidP="004E212D">
            <w:pPr>
              <w:jc w:val="center"/>
              <w:rPr>
                <w:rFonts w:ascii="Times New Roman" w:eastAsia="Times New Roman" w:hAnsi="Times New Roman" w:cs="Times New Roman"/>
                <w:b/>
                <w:bCs/>
                <w:color w:val="000000"/>
                <w:kern w:val="0"/>
                <w:lang w:eastAsia="en-GB"/>
                <w14:ligatures w14:val="none"/>
              </w:rPr>
            </w:pPr>
            <w:r w:rsidRPr="004E212D">
              <w:rPr>
                <w:rFonts w:ascii="Times New Roman" w:eastAsia="Times New Roman" w:hAnsi="Times New Roman" w:cs="Times New Roman"/>
                <w:b/>
                <w:bCs/>
                <w:color w:val="000000"/>
                <w:kern w:val="0"/>
                <w:lang w:eastAsia="en-GB"/>
                <w14:ligatures w14:val="none"/>
              </w:rPr>
              <w:t>Gross Profit ($B)</w:t>
            </w:r>
          </w:p>
        </w:tc>
        <w:tc>
          <w:tcPr>
            <w:tcW w:w="0" w:type="auto"/>
            <w:vAlign w:val="center"/>
            <w:hideMark/>
          </w:tcPr>
          <w:p w14:paraId="3C76CFBB" w14:textId="77777777" w:rsidR="004E212D" w:rsidRPr="004E212D" w:rsidRDefault="013C7C9D" w:rsidP="004E212D">
            <w:pPr>
              <w:jc w:val="center"/>
              <w:rPr>
                <w:rFonts w:ascii="Times New Roman" w:eastAsia="Times New Roman" w:hAnsi="Times New Roman" w:cs="Times New Roman"/>
                <w:b/>
                <w:bCs/>
                <w:color w:val="000000"/>
                <w:kern w:val="0"/>
                <w:lang w:eastAsia="en-GB"/>
                <w14:ligatures w14:val="none"/>
              </w:rPr>
            </w:pPr>
            <w:r w:rsidRPr="004E212D">
              <w:rPr>
                <w:rFonts w:ascii="Times New Roman" w:eastAsia="Times New Roman" w:hAnsi="Times New Roman" w:cs="Times New Roman"/>
                <w:b/>
                <w:bCs/>
                <w:color w:val="000000"/>
                <w:kern w:val="0"/>
                <w:lang w:eastAsia="en-GB"/>
                <w14:ligatures w14:val="none"/>
              </w:rPr>
              <w:t>Net Income ($B)</w:t>
            </w:r>
          </w:p>
        </w:tc>
        <w:tc>
          <w:tcPr>
            <w:tcW w:w="0" w:type="auto"/>
            <w:vAlign w:val="center"/>
            <w:hideMark/>
          </w:tcPr>
          <w:p w14:paraId="350C1F36" w14:textId="77777777" w:rsidR="004E212D" w:rsidRPr="004E212D" w:rsidRDefault="013C7C9D" w:rsidP="004E212D">
            <w:pPr>
              <w:jc w:val="center"/>
              <w:rPr>
                <w:rFonts w:ascii="Times New Roman" w:eastAsia="Times New Roman" w:hAnsi="Times New Roman" w:cs="Times New Roman"/>
                <w:b/>
                <w:bCs/>
                <w:color w:val="000000"/>
                <w:kern w:val="0"/>
                <w:lang w:eastAsia="en-GB"/>
                <w14:ligatures w14:val="none"/>
              </w:rPr>
            </w:pPr>
            <w:r w:rsidRPr="004E212D">
              <w:rPr>
                <w:rFonts w:ascii="Times New Roman" w:eastAsia="Times New Roman" w:hAnsi="Times New Roman" w:cs="Times New Roman"/>
                <w:b/>
                <w:bCs/>
                <w:color w:val="000000"/>
                <w:kern w:val="0"/>
                <w:lang w:eastAsia="en-GB"/>
                <w14:ligatures w14:val="none"/>
              </w:rPr>
              <w:t>Operating Expenses ($B)</w:t>
            </w:r>
          </w:p>
        </w:tc>
      </w:tr>
      <w:tr w:rsidR="004E212D" w:rsidRPr="004E212D" w14:paraId="32E2F2E2" w14:textId="77777777" w:rsidTr="480B4935">
        <w:trPr>
          <w:tblCellSpacing w:w="15" w:type="dxa"/>
        </w:trPr>
        <w:tc>
          <w:tcPr>
            <w:tcW w:w="0" w:type="auto"/>
            <w:vAlign w:val="center"/>
            <w:hideMark/>
          </w:tcPr>
          <w:p w14:paraId="478E222F"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2020</w:t>
            </w:r>
          </w:p>
        </w:tc>
        <w:tc>
          <w:tcPr>
            <w:tcW w:w="0" w:type="auto"/>
            <w:vAlign w:val="center"/>
            <w:hideMark/>
          </w:tcPr>
          <w:p w14:paraId="32C24B21"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257</w:t>
            </w:r>
          </w:p>
        </w:tc>
        <w:tc>
          <w:tcPr>
            <w:tcW w:w="0" w:type="auto"/>
            <w:vAlign w:val="center"/>
            <w:hideMark/>
          </w:tcPr>
          <w:p w14:paraId="62C8F399"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67</w:t>
            </w:r>
          </w:p>
        </w:tc>
        <w:tc>
          <w:tcPr>
            <w:tcW w:w="0" w:type="auto"/>
            <w:vAlign w:val="center"/>
            <w:hideMark/>
          </w:tcPr>
          <w:p w14:paraId="523620C7"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15.7</w:t>
            </w:r>
          </w:p>
        </w:tc>
        <w:tc>
          <w:tcPr>
            <w:tcW w:w="0" w:type="auto"/>
            <w:vAlign w:val="center"/>
            <w:hideMark/>
          </w:tcPr>
          <w:p w14:paraId="0194573A"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41.7</w:t>
            </w:r>
          </w:p>
        </w:tc>
      </w:tr>
      <w:tr w:rsidR="004E212D" w:rsidRPr="004E212D" w14:paraId="500697F2" w14:textId="77777777" w:rsidTr="480B4935">
        <w:trPr>
          <w:tblCellSpacing w:w="15" w:type="dxa"/>
        </w:trPr>
        <w:tc>
          <w:tcPr>
            <w:tcW w:w="0" w:type="auto"/>
            <w:vAlign w:val="center"/>
            <w:hideMark/>
          </w:tcPr>
          <w:p w14:paraId="478CA563"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2021</w:t>
            </w:r>
          </w:p>
        </w:tc>
        <w:tc>
          <w:tcPr>
            <w:tcW w:w="0" w:type="auto"/>
            <w:vAlign w:val="center"/>
            <w:hideMark/>
          </w:tcPr>
          <w:p w14:paraId="79B1B1C6"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288</w:t>
            </w:r>
          </w:p>
        </w:tc>
        <w:tc>
          <w:tcPr>
            <w:tcW w:w="0" w:type="auto"/>
            <w:vAlign w:val="center"/>
            <w:hideMark/>
          </w:tcPr>
          <w:p w14:paraId="30FDE341"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69.7</w:t>
            </w:r>
          </w:p>
        </w:tc>
        <w:tc>
          <w:tcPr>
            <w:tcW w:w="0" w:type="auto"/>
            <w:vAlign w:val="center"/>
            <w:hideMark/>
          </w:tcPr>
          <w:p w14:paraId="170404DD"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17.7</w:t>
            </w:r>
          </w:p>
        </w:tc>
        <w:tc>
          <w:tcPr>
            <w:tcW w:w="0" w:type="auto"/>
            <w:vAlign w:val="center"/>
            <w:hideMark/>
          </w:tcPr>
          <w:p w14:paraId="103B5A5F"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42.6</w:t>
            </w:r>
          </w:p>
        </w:tc>
      </w:tr>
      <w:tr w:rsidR="004E212D" w:rsidRPr="004E212D" w14:paraId="37AAD542" w14:textId="77777777" w:rsidTr="480B4935">
        <w:trPr>
          <w:tblCellSpacing w:w="15" w:type="dxa"/>
        </w:trPr>
        <w:tc>
          <w:tcPr>
            <w:tcW w:w="0" w:type="auto"/>
            <w:vAlign w:val="center"/>
            <w:hideMark/>
          </w:tcPr>
          <w:p w14:paraId="280009EA"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2022</w:t>
            </w:r>
          </w:p>
        </w:tc>
        <w:tc>
          <w:tcPr>
            <w:tcW w:w="0" w:type="auto"/>
            <w:vAlign w:val="center"/>
            <w:hideMark/>
          </w:tcPr>
          <w:p w14:paraId="2489182C"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324</w:t>
            </w:r>
          </w:p>
        </w:tc>
        <w:tc>
          <w:tcPr>
            <w:tcW w:w="0" w:type="auto"/>
            <w:vAlign w:val="center"/>
            <w:hideMark/>
          </w:tcPr>
          <w:p w14:paraId="3A71125F"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79.6</w:t>
            </w:r>
          </w:p>
        </w:tc>
        <w:tc>
          <w:tcPr>
            <w:tcW w:w="0" w:type="auto"/>
            <w:vAlign w:val="center"/>
            <w:hideMark/>
          </w:tcPr>
          <w:p w14:paraId="1EDA9DCE"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20.6</w:t>
            </w:r>
          </w:p>
        </w:tc>
        <w:tc>
          <w:tcPr>
            <w:tcW w:w="0" w:type="auto"/>
            <w:vAlign w:val="center"/>
            <w:hideMark/>
          </w:tcPr>
          <w:p w14:paraId="43E4B2C4"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47.8</w:t>
            </w:r>
          </w:p>
        </w:tc>
      </w:tr>
      <w:tr w:rsidR="004E212D" w:rsidRPr="004E212D" w14:paraId="35C907E7" w14:textId="77777777" w:rsidTr="480B4935">
        <w:trPr>
          <w:tblCellSpacing w:w="15" w:type="dxa"/>
        </w:trPr>
        <w:tc>
          <w:tcPr>
            <w:tcW w:w="0" w:type="auto"/>
            <w:vAlign w:val="center"/>
            <w:hideMark/>
          </w:tcPr>
          <w:p w14:paraId="2FC40677"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2023</w:t>
            </w:r>
          </w:p>
        </w:tc>
        <w:tc>
          <w:tcPr>
            <w:tcW w:w="0" w:type="auto"/>
            <w:vAlign w:val="center"/>
            <w:hideMark/>
          </w:tcPr>
          <w:p w14:paraId="0E38D3A2"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372</w:t>
            </w:r>
          </w:p>
        </w:tc>
        <w:tc>
          <w:tcPr>
            <w:tcW w:w="0" w:type="auto"/>
            <w:vAlign w:val="center"/>
            <w:hideMark/>
          </w:tcPr>
          <w:p w14:paraId="351B9D82"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91</w:t>
            </w:r>
          </w:p>
        </w:tc>
        <w:tc>
          <w:tcPr>
            <w:tcW w:w="0" w:type="auto"/>
            <w:vAlign w:val="center"/>
            <w:hideMark/>
          </w:tcPr>
          <w:p w14:paraId="7F764BC8"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23.1</w:t>
            </w:r>
          </w:p>
        </w:tc>
        <w:tc>
          <w:tcPr>
            <w:tcW w:w="0" w:type="auto"/>
            <w:vAlign w:val="center"/>
            <w:hideMark/>
          </w:tcPr>
          <w:p w14:paraId="78462366"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54.6</w:t>
            </w:r>
          </w:p>
        </w:tc>
      </w:tr>
      <w:tr w:rsidR="004E212D" w:rsidRPr="004E212D" w14:paraId="499E815A" w14:textId="77777777" w:rsidTr="480B4935">
        <w:trPr>
          <w:tblCellSpacing w:w="15" w:type="dxa"/>
        </w:trPr>
        <w:tc>
          <w:tcPr>
            <w:tcW w:w="0" w:type="auto"/>
            <w:vAlign w:val="center"/>
            <w:hideMark/>
          </w:tcPr>
          <w:p w14:paraId="7C40E887"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2024 (Projected)</w:t>
            </w:r>
          </w:p>
        </w:tc>
        <w:tc>
          <w:tcPr>
            <w:tcW w:w="0" w:type="auto"/>
            <w:vAlign w:val="center"/>
            <w:hideMark/>
          </w:tcPr>
          <w:p w14:paraId="61258B69"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400</w:t>
            </w:r>
          </w:p>
        </w:tc>
        <w:tc>
          <w:tcPr>
            <w:tcW w:w="0" w:type="auto"/>
            <w:vAlign w:val="center"/>
            <w:hideMark/>
          </w:tcPr>
          <w:p w14:paraId="78622B75"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89.3</w:t>
            </w:r>
          </w:p>
        </w:tc>
        <w:tc>
          <w:tcPr>
            <w:tcW w:w="0" w:type="auto"/>
            <w:vAlign w:val="center"/>
            <w:hideMark/>
          </w:tcPr>
          <w:p w14:paraId="692A326B"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15.2</w:t>
            </w:r>
          </w:p>
        </w:tc>
        <w:tc>
          <w:tcPr>
            <w:tcW w:w="0" w:type="auto"/>
            <w:vAlign w:val="center"/>
            <w:hideMark/>
          </w:tcPr>
          <w:p w14:paraId="12DD29EF"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53.0</w:t>
            </w:r>
          </w:p>
        </w:tc>
      </w:tr>
    </w:tbl>
    <w:p w14:paraId="448B8FA6" w14:textId="00397DC7" w:rsidR="480B4935" w:rsidRDefault="480B4935" w:rsidP="480B4935">
      <w:pPr>
        <w:spacing w:beforeAutospacing="1" w:afterAutospacing="1"/>
        <w:ind w:left="720"/>
        <w:rPr>
          <w:rFonts w:ascii="Times New Roman" w:eastAsia="Times New Roman" w:hAnsi="Times New Roman" w:cs="Times New Roman"/>
          <w:color w:val="000000" w:themeColor="text1"/>
          <w:lang w:eastAsia="en-GB"/>
        </w:rPr>
      </w:pPr>
    </w:p>
    <w:p w14:paraId="60D53721" w14:textId="77777777" w:rsidR="004E212D" w:rsidRPr="004E212D" w:rsidRDefault="013C7C9D" w:rsidP="480B4935">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b/>
          <w:bCs/>
          <w:color w:val="000000"/>
          <w:kern w:val="0"/>
          <w:lang w:eastAsia="en-GB"/>
          <w14:ligatures w14:val="none"/>
        </w:rPr>
        <w:t>Revenue growth of 55% from 2020 to 2023</w:t>
      </w:r>
      <w:r w:rsidRPr="004E212D">
        <w:rPr>
          <w:rFonts w:ascii="Times New Roman" w:eastAsia="Times New Roman" w:hAnsi="Times New Roman" w:cs="Times New Roman"/>
          <w:color w:val="000000"/>
          <w:kern w:val="0"/>
          <w:lang w:eastAsia="en-GB"/>
          <w14:ligatures w14:val="none"/>
        </w:rPr>
        <w:t> reflects the success of strategic acquisitions and increased memberships.</w:t>
      </w:r>
    </w:p>
    <w:p w14:paraId="6EB0DA3B" w14:textId="77777777" w:rsidR="004E212D" w:rsidRPr="004E212D" w:rsidRDefault="013C7C9D" w:rsidP="480B4935">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b/>
          <w:bCs/>
          <w:color w:val="000000"/>
          <w:kern w:val="0"/>
          <w:lang w:eastAsia="en-GB"/>
          <w14:ligatures w14:val="none"/>
        </w:rPr>
        <w:t>Projected decline in net income (2024)</w:t>
      </w:r>
      <w:r w:rsidRPr="004E212D">
        <w:rPr>
          <w:rFonts w:ascii="Times New Roman" w:eastAsia="Times New Roman" w:hAnsi="Times New Roman" w:cs="Times New Roman"/>
          <w:color w:val="000000"/>
          <w:kern w:val="0"/>
          <w:lang w:eastAsia="en-GB"/>
          <w14:ligatures w14:val="none"/>
        </w:rPr>
        <w:t> could be attributed to rising operating expenses, ongoing investments in technology, and higher administrative costs.</w:t>
      </w:r>
    </w:p>
    <w:p w14:paraId="5990AE7A" w14:textId="7A7B4A0C" w:rsidR="480B4935" w:rsidRDefault="480B4935" w:rsidP="480B4935">
      <w:pPr>
        <w:spacing w:beforeAutospacing="1" w:afterAutospacing="1"/>
        <w:ind w:left="720"/>
        <w:rPr>
          <w:rFonts w:ascii="Times New Roman" w:eastAsia="Times New Roman" w:hAnsi="Times New Roman" w:cs="Times New Roman"/>
          <w:color w:val="000000" w:themeColor="text1"/>
          <w:lang w:eastAsia="en-GB"/>
        </w:rPr>
      </w:pPr>
    </w:p>
    <w:p w14:paraId="11B10332" w14:textId="77777777" w:rsidR="004E212D" w:rsidRPr="004E212D" w:rsidRDefault="013C7C9D" w:rsidP="480B4935">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4E212D">
        <w:rPr>
          <w:rFonts w:ascii="Times New Roman" w:eastAsia="Times New Roman" w:hAnsi="Times New Roman" w:cs="Times New Roman"/>
          <w:b/>
          <w:bCs/>
          <w:color w:val="000000"/>
          <w:kern w:val="0"/>
          <w:lang w:eastAsia="en-GB"/>
          <w14:ligatures w14:val="none"/>
        </w:rPr>
        <w:t>Balance Sheet &amp; Cash 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2028"/>
        <w:gridCol w:w="1807"/>
        <w:gridCol w:w="2209"/>
      </w:tblGrid>
      <w:tr w:rsidR="004E212D" w:rsidRPr="004E212D" w14:paraId="6565F252" w14:textId="77777777" w:rsidTr="480B4935">
        <w:trPr>
          <w:tblCellSpacing w:w="15" w:type="dxa"/>
        </w:trPr>
        <w:tc>
          <w:tcPr>
            <w:tcW w:w="0" w:type="auto"/>
            <w:vAlign w:val="center"/>
            <w:hideMark/>
          </w:tcPr>
          <w:p w14:paraId="4ED44F15" w14:textId="77777777" w:rsidR="004E212D" w:rsidRPr="004E212D" w:rsidRDefault="013C7C9D" w:rsidP="480B4935">
            <w:pPr>
              <w:jc w:val="center"/>
              <w:rPr>
                <w:rFonts w:ascii="Times New Roman" w:eastAsia="Times New Roman" w:hAnsi="Times New Roman" w:cs="Times New Roman"/>
                <w:b/>
                <w:bCs/>
                <w:color w:val="000000"/>
                <w:kern w:val="0"/>
                <w:lang w:eastAsia="en-GB"/>
                <w14:ligatures w14:val="none"/>
              </w:rPr>
            </w:pPr>
            <w:r w:rsidRPr="480B4935">
              <w:rPr>
                <w:rFonts w:ascii="Times New Roman" w:eastAsia="Times New Roman" w:hAnsi="Times New Roman" w:cs="Times New Roman"/>
                <w:b/>
                <w:bCs/>
                <w:color w:val="000000"/>
                <w:kern w:val="0"/>
                <w:lang w:eastAsia="en-GB"/>
                <w14:ligatures w14:val="none"/>
              </w:rPr>
              <w:t>Year</w:t>
            </w:r>
          </w:p>
        </w:tc>
        <w:tc>
          <w:tcPr>
            <w:tcW w:w="0" w:type="auto"/>
            <w:vAlign w:val="center"/>
            <w:hideMark/>
          </w:tcPr>
          <w:p w14:paraId="41EAC221" w14:textId="77777777" w:rsidR="004E212D" w:rsidRPr="004E212D" w:rsidRDefault="013C7C9D" w:rsidP="480B4935">
            <w:pPr>
              <w:jc w:val="center"/>
              <w:rPr>
                <w:rFonts w:ascii="Times New Roman" w:eastAsia="Times New Roman" w:hAnsi="Times New Roman" w:cs="Times New Roman"/>
                <w:b/>
                <w:bCs/>
                <w:color w:val="000000"/>
                <w:kern w:val="0"/>
                <w:lang w:eastAsia="en-GB"/>
                <w14:ligatures w14:val="none"/>
              </w:rPr>
            </w:pPr>
            <w:r w:rsidRPr="480B4935">
              <w:rPr>
                <w:rFonts w:ascii="Times New Roman" w:eastAsia="Times New Roman" w:hAnsi="Times New Roman" w:cs="Times New Roman"/>
                <w:b/>
                <w:bCs/>
                <w:color w:val="000000"/>
                <w:kern w:val="0"/>
                <w:lang w:eastAsia="en-GB"/>
                <w14:ligatures w14:val="none"/>
              </w:rPr>
              <w:t>Cash on Hand ($B)</w:t>
            </w:r>
          </w:p>
        </w:tc>
        <w:tc>
          <w:tcPr>
            <w:tcW w:w="0" w:type="auto"/>
            <w:vAlign w:val="center"/>
            <w:hideMark/>
          </w:tcPr>
          <w:p w14:paraId="66263C3C" w14:textId="77777777" w:rsidR="004E212D" w:rsidRPr="004E212D" w:rsidRDefault="013C7C9D" w:rsidP="480B4935">
            <w:pPr>
              <w:jc w:val="center"/>
              <w:rPr>
                <w:rFonts w:ascii="Times New Roman" w:eastAsia="Times New Roman" w:hAnsi="Times New Roman" w:cs="Times New Roman"/>
                <w:b/>
                <w:bCs/>
                <w:color w:val="000000"/>
                <w:kern w:val="0"/>
                <w:lang w:eastAsia="en-GB"/>
                <w14:ligatures w14:val="none"/>
              </w:rPr>
            </w:pPr>
            <w:r w:rsidRPr="480B4935">
              <w:rPr>
                <w:rFonts w:ascii="Times New Roman" w:eastAsia="Times New Roman" w:hAnsi="Times New Roman" w:cs="Times New Roman"/>
                <w:b/>
                <w:bCs/>
                <w:color w:val="000000"/>
                <w:kern w:val="0"/>
                <w:lang w:eastAsia="en-GB"/>
                <w14:ligatures w14:val="none"/>
              </w:rPr>
              <w:t>Total Assets ($B)</w:t>
            </w:r>
          </w:p>
        </w:tc>
        <w:tc>
          <w:tcPr>
            <w:tcW w:w="0" w:type="auto"/>
            <w:vAlign w:val="center"/>
            <w:hideMark/>
          </w:tcPr>
          <w:p w14:paraId="63E1B83D" w14:textId="77777777" w:rsidR="004E212D" w:rsidRPr="004E212D" w:rsidRDefault="013C7C9D" w:rsidP="480B4935">
            <w:pPr>
              <w:jc w:val="center"/>
              <w:rPr>
                <w:rFonts w:ascii="Times New Roman" w:eastAsia="Times New Roman" w:hAnsi="Times New Roman" w:cs="Times New Roman"/>
                <w:b/>
                <w:bCs/>
                <w:color w:val="000000"/>
                <w:kern w:val="0"/>
                <w:lang w:eastAsia="en-GB"/>
                <w14:ligatures w14:val="none"/>
              </w:rPr>
            </w:pPr>
            <w:r w:rsidRPr="480B4935">
              <w:rPr>
                <w:rFonts w:ascii="Times New Roman" w:eastAsia="Times New Roman" w:hAnsi="Times New Roman" w:cs="Times New Roman"/>
                <w:b/>
                <w:bCs/>
                <w:color w:val="000000"/>
                <w:kern w:val="0"/>
                <w:lang w:eastAsia="en-GB"/>
                <w14:ligatures w14:val="none"/>
              </w:rPr>
              <w:t>Total Liabilities ($B)</w:t>
            </w:r>
          </w:p>
        </w:tc>
      </w:tr>
      <w:tr w:rsidR="004E212D" w:rsidRPr="004E212D" w14:paraId="60C9DDA3" w14:textId="77777777" w:rsidTr="480B4935">
        <w:trPr>
          <w:tblCellSpacing w:w="15" w:type="dxa"/>
        </w:trPr>
        <w:tc>
          <w:tcPr>
            <w:tcW w:w="0" w:type="auto"/>
            <w:vAlign w:val="center"/>
            <w:hideMark/>
          </w:tcPr>
          <w:p w14:paraId="130E1ECA"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2020</w:t>
            </w:r>
          </w:p>
        </w:tc>
        <w:tc>
          <w:tcPr>
            <w:tcW w:w="0" w:type="auto"/>
            <w:vAlign w:val="center"/>
            <w:hideMark/>
          </w:tcPr>
          <w:p w14:paraId="1FBFED8C"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14.2</w:t>
            </w:r>
          </w:p>
        </w:tc>
        <w:tc>
          <w:tcPr>
            <w:tcW w:w="0" w:type="auto"/>
            <w:vAlign w:val="center"/>
            <w:hideMark/>
          </w:tcPr>
          <w:p w14:paraId="2108D640"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214.6</w:t>
            </w:r>
          </w:p>
        </w:tc>
        <w:tc>
          <w:tcPr>
            <w:tcW w:w="0" w:type="auto"/>
            <w:vAlign w:val="center"/>
            <w:hideMark/>
          </w:tcPr>
          <w:p w14:paraId="6B10062D"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110.4</w:t>
            </w:r>
          </w:p>
        </w:tc>
      </w:tr>
      <w:tr w:rsidR="004E212D" w:rsidRPr="004E212D" w14:paraId="0F5E5D1B" w14:textId="77777777" w:rsidTr="480B4935">
        <w:trPr>
          <w:tblCellSpacing w:w="15" w:type="dxa"/>
        </w:trPr>
        <w:tc>
          <w:tcPr>
            <w:tcW w:w="0" w:type="auto"/>
            <w:vAlign w:val="center"/>
            <w:hideMark/>
          </w:tcPr>
          <w:p w14:paraId="3B48A8A2"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2021</w:t>
            </w:r>
          </w:p>
        </w:tc>
        <w:tc>
          <w:tcPr>
            <w:tcW w:w="0" w:type="auto"/>
            <w:vAlign w:val="center"/>
            <w:hideMark/>
          </w:tcPr>
          <w:p w14:paraId="6D7A1056"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19.8</w:t>
            </w:r>
          </w:p>
        </w:tc>
        <w:tc>
          <w:tcPr>
            <w:tcW w:w="0" w:type="auto"/>
            <w:vAlign w:val="center"/>
            <w:hideMark/>
          </w:tcPr>
          <w:p w14:paraId="7ED1AA00"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254.0</w:t>
            </w:r>
          </w:p>
        </w:tc>
        <w:tc>
          <w:tcPr>
            <w:tcW w:w="0" w:type="auto"/>
            <w:vAlign w:val="center"/>
            <w:hideMark/>
          </w:tcPr>
          <w:p w14:paraId="4C73BE75"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126.7</w:t>
            </w:r>
          </w:p>
        </w:tc>
      </w:tr>
      <w:tr w:rsidR="004E212D" w:rsidRPr="004E212D" w14:paraId="4447FA82" w14:textId="77777777" w:rsidTr="480B4935">
        <w:trPr>
          <w:tblCellSpacing w:w="15" w:type="dxa"/>
        </w:trPr>
        <w:tc>
          <w:tcPr>
            <w:tcW w:w="0" w:type="auto"/>
            <w:vAlign w:val="center"/>
            <w:hideMark/>
          </w:tcPr>
          <w:p w14:paraId="32269D0A"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2022</w:t>
            </w:r>
          </w:p>
        </w:tc>
        <w:tc>
          <w:tcPr>
            <w:tcW w:w="0" w:type="auto"/>
            <w:vAlign w:val="center"/>
            <w:hideMark/>
          </w:tcPr>
          <w:p w14:paraId="0E63665F"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23.9</w:t>
            </w:r>
          </w:p>
        </w:tc>
        <w:tc>
          <w:tcPr>
            <w:tcW w:w="0" w:type="auto"/>
            <w:vAlign w:val="center"/>
            <w:hideMark/>
          </w:tcPr>
          <w:p w14:paraId="165B06E8"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280.8</w:t>
            </w:r>
          </w:p>
        </w:tc>
        <w:tc>
          <w:tcPr>
            <w:tcW w:w="0" w:type="auto"/>
            <w:vAlign w:val="center"/>
            <w:hideMark/>
          </w:tcPr>
          <w:p w14:paraId="3D24B531"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138.2</w:t>
            </w:r>
          </w:p>
        </w:tc>
      </w:tr>
      <w:tr w:rsidR="004E212D" w:rsidRPr="004E212D" w14:paraId="2B917803" w14:textId="77777777" w:rsidTr="480B4935">
        <w:trPr>
          <w:tblCellSpacing w:w="15" w:type="dxa"/>
        </w:trPr>
        <w:tc>
          <w:tcPr>
            <w:tcW w:w="0" w:type="auto"/>
            <w:vAlign w:val="center"/>
            <w:hideMark/>
          </w:tcPr>
          <w:p w14:paraId="186221AC"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2023</w:t>
            </w:r>
          </w:p>
        </w:tc>
        <w:tc>
          <w:tcPr>
            <w:tcW w:w="0" w:type="auto"/>
            <w:vAlign w:val="center"/>
            <w:hideMark/>
          </w:tcPr>
          <w:p w14:paraId="07B2922A"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27.9</w:t>
            </w:r>
          </w:p>
        </w:tc>
        <w:tc>
          <w:tcPr>
            <w:tcW w:w="0" w:type="auto"/>
            <w:vAlign w:val="center"/>
            <w:hideMark/>
          </w:tcPr>
          <w:p w14:paraId="689DFE17"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310.6</w:t>
            </w:r>
          </w:p>
        </w:tc>
        <w:tc>
          <w:tcPr>
            <w:tcW w:w="0" w:type="auto"/>
            <w:vAlign w:val="center"/>
            <w:hideMark/>
          </w:tcPr>
          <w:p w14:paraId="1029B856"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145.7</w:t>
            </w:r>
          </w:p>
        </w:tc>
      </w:tr>
      <w:tr w:rsidR="004E212D" w:rsidRPr="004E212D" w14:paraId="0AE6FDC0" w14:textId="77777777" w:rsidTr="480B4935">
        <w:trPr>
          <w:tblCellSpacing w:w="15" w:type="dxa"/>
        </w:trPr>
        <w:tc>
          <w:tcPr>
            <w:tcW w:w="0" w:type="auto"/>
            <w:vAlign w:val="center"/>
            <w:hideMark/>
          </w:tcPr>
          <w:p w14:paraId="570A3DFF" w14:textId="1E06FE06" w:rsidR="004E212D" w:rsidRPr="004E212D" w:rsidRDefault="013C7C9D" w:rsidP="480B4935">
            <w:pPr>
              <w:jc w:val="center"/>
              <w:rPr>
                <w:rFonts w:ascii="Times New Roman" w:eastAsia="Times New Roman" w:hAnsi="Times New Roman" w:cs="Times New Roman"/>
                <w:color w:val="000000" w:themeColor="text1"/>
                <w:lang w:eastAsia="en-GB"/>
              </w:rPr>
            </w:pPr>
            <w:r w:rsidRPr="004E212D">
              <w:rPr>
                <w:rFonts w:ascii="Times New Roman" w:eastAsia="Times New Roman" w:hAnsi="Times New Roman" w:cs="Times New Roman"/>
                <w:color w:val="000000"/>
                <w:kern w:val="0"/>
                <w:lang w:eastAsia="en-GB"/>
                <w14:ligatures w14:val="none"/>
              </w:rPr>
              <w:t>2024</w:t>
            </w:r>
          </w:p>
          <w:p w14:paraId="06B5CA7C"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(Projected)</w:t>
            </w:r>
          </w:p>
        </w:tc>
        <w:tc>
          <w:tcPr>
            <w:tcW w:w="0" w:type="auto"/>
            <w:vAlign w:val="center"/>
            <w:hideMark/>
          </w:tcPr>
          <w:p w14:paraId="07259DCA"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29.6</w:t>
            </w:r>
          </w:p>
        </w:tc>
        <w:tc>
          <w:tcPr>
            <w:tcW w:w="0" w:type="auto"/>
            <w:vAlign w:val="center"/>
            <w:hideMark/>
          </w:tcPr>
          <w:p w14:paraId="4922FE56"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345.0</w:t>
            </w:r>
          </w:p>
        </w:tc>
        <w:tc>
          <w:tcPr>
            <w:tcW w:w="0" w:type="auto"/>
            <w:vAlign w:val="center"/>
            <w:hideMark/>
          </w:tcPr>
          <w:p w14:paraId="5E840CAC" w14:textId="77777777" w:rsidR="004E212D" w:rsidRPr="004E212D" w:rsidRDefault="013C7C9D" w:rsidP="480B4935">
            <w:pPr>
              <w:jc w:val="center"/>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color w:val="000000"/>
                <w:kern w:val="0"/>
                <w:lang w:eastAsia="en-GB"/>
                <w14:ligatures w14:val="none"/>
              </w:rPr>
              <w:t>150.2</w:t>
            </w:r>
          </w:p>
        </w:tc>
      </w:tr>
    </w:tbl>
    <w:p w14:paraId="41DC3EDC" w14:textId="0C6E2D14" w:rsidR="480B4935" w:rsidRDefault="480B4935" w:rsidP="480B4935">
      <w:pPr>
        <w:spacing w:beforeAutospacing="1" w:afterAutospacing="1"/>
        <w:ind w:left="720"/>
        <w:rPr>
          <w:rFonts w:ascii="Times New Roman" w:eastAsia="Times New Roman" w:hAnsi="Times New Roman" w:cs="Times New Roman"/>
          <w:color w:val="000000" w:themeColor="text1"/>
          <w:lang w:eastAsia="en-GB"/>
        </w:rPr>
      </w:pPr>
    </w:p>
    <w:p w14:paraId="5AA16B5E" w14:textId="77777777" w:rsidR="004E212D" w:rsidRPr="004E212D" w:rsidRDefault="013C7C9D" w:rsidP="480B4935">
      <w:pPr>
        <w:numPr>
          <w:ilvl w:val="0"/>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b/>
          <w:bCs/>
          <w:color w:val="000000"/>
          <w:kern w:val="0"/>
          <w:lang w:eastAsia="en-GB"/>
          <w14:ligatures w14:val="none"/>
        </w:rPr>
        <w:lastRenderedPageBreak/>
        <w:t>Steady increase in assets and cash reserves</w:t>
      </w:r>
      <w:r w:rsidRPr="004E212D">
        <w:rPr>
          <w:rFonts w:ascii="Times New Roman" w:eastAsia="Times New Roman" w:hAnsi="Times New Roman" w:cs="Times New Roman"/>
          <w:color w:val="000000"/>
          <w:kern w:val="0"/>
          <w:lang w:eastAsia="en-GB"/>
          <w14:ligatures w14:val="none"/>
        </w:rPr>
        <w:t> indicates strong financial health and investment capacity.</w:t>
      </w:r>
    </w:p>
    <w:p w14:paraId="5E4204E4" w14:textId="4D9F2491" w:rsidR="004E212D" w:rsidRPr="00501BF9" w:rsidRDefault="013C7C9D" w:rsidP="004E212D">
      <w:pPr>
        <w:numPr>
          <w:ilvl w:val="0"/>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b/>
          <w:bCs/>
          <w:color w:val="000000"/>
          <w:kern w:val="0"/>
          <w:lang w:eastAsia="en-GB"/>
          <w14:ligatures w14:val="none"/>
        </w:rPr>
        <w:t>Liabilities remain stable</w:t>
      </w:r>
      <w:r w:rsidRPr="004E212D">
        <w:rPr>
          <w:rFonts w:ascii="Times New Roman" w:eastAsia="Times New Roman" w:hAnsi="Times New Roman" w:cs="Times New Roman"/>
          <w:color w:val="000000"/>
          <w:kern w:val="0"/>
          <w:lang w:eastAsia="en-GB"/>
          <w14:ligatures w14:val="none"/>
        </w:rPr>
        <w:t>, reflecting controlled debt levels and strategic financing.</w:t>
      </w:r>
    </w:p>
    <w:p w14:paraId="15C493DD" w14:textId="6D4AAB0F" w:rsidR="480B4935" w:rsidRPr="00501BF9" w:rsidRDefault="608BBE71" w:rsidP="00501BF9">
      <w:pPr>
        <w:spacing w:before="100" w:beforeAutospacing="1" w:after="100" w:afterAutospacing="1"/>
        <w:outlineLvl w:val="2"/>
        <w:rPr>
          <w:rFonts w:ascii="Times New Roman" w:eastAsia="Times New Roman" w:hAnsi="Times New Roman" w:cs="Times New Roman"/>
          <w:b/>
          <w:bCs/>
          <w:color w:val="000000"/>
          <w:kern w:val="0"/>
          <w:sz w:val="28"/>
          <w:szCs w:val="28"/>
          <w:lang w:eastAsia="en-GB"/>
          <w14:ligatures w14:val="none"/>
        </w:rPr>
      </w:pPr>
      <w:r w:rsidRPr="480B4935">
        <w:rPr>
          <w:rFonts w:ascii="Times New Roman" w:eastAsia="Times New Roman" w:hAnsi="Times New Roman" w:cs="Times New Roman"/>
          <w:b/>
          <w:bCs/>
          <w:color w:val="000000"/>
          <w:kern w:val="0"/>
          <w:sz w:val="28"/>
          <w:szCs w:val="28"/>
          <w:lang w:eastAsia="en-GB"/>
          <w14:ligatures w14:val="none"/>
        </w:rPr>
        <w:t>8</w:t>
      </w:r>
      <w:r w:rsidR="13F32A79" w:rsidRPr="480B4935">
        <w:rPr>
          <w:rFonts w:ascii="Times New Roman" w:eastAsia="Times New Roman" w:hAnsi="Times New Roman" w:cs="Times New Roman"/>
          <w:b/>
          <w:bCs/>
          <w:color w:val="000000"/>
          <w:kern w:val="0"/>
          <w:sz w:val="28"/>
          <w:szCs w:val="28"/>
          <w:lang w:eastAsia="en-GB"/>
          <w14:ligatures w14:val="none"/>
        </w:rPr>
        <w:t>.</w:t>
      </w:r>
      <w:r w:rsidR="013C7C9D" w:rsidRPr="480B4935">
        <w:rPr>
          <w:rFonts w:ascii="Times New Roman" w:eastAsia="Times New Roman" w:hAnsi="Times New Roman" w:cs="Times New Roman"/>
          <w:b/>
          <w:bCs/>
          <w:color w:val="000000"/>
          <w:kern w:val="0"/>
          <w:sz w:val="28"/>
          <w:szCs w:val="28"/>
          <w:lang w:eastAsia="en-GB"/>
          <w14:ligatures w14:val="none"/>
        </w:rPr>
        <w:t xml:space="preserve"> Strategic Recommendations</w:t>
      </w:r>
    </w:p>
    <w:p w14:paraId="5D5E70D4" w14:textId="77777777" w:rsidR="004E212D" w:rsidRPr="004E212D" w:rsidRDefault="013C7C9D" w:rsidP="480B4935">
      <w:pPr>
        <w:numPr>
          <w:ilvl w:val="0"/>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b/>
          <w:bCs/>
          <w:color w:val="000000"/>
          <w:kern w:val="0"/>
          <w:lang w:eastAsia="en-GB"/>
          <w14:ligatures w14:val="none"/>
        </w:rPr>
        <w:t>Expand Value-Based Care:</w:t>
      </w:r>
      <w:r w:rsidRPr="004E212D">
        <w:rPr>
          <w:rFonts w:ascii="Times New Roman" w:eastAsia="Times New Roman" w:hAnsi="Times New Roman" w:cs="Times New Roman"/>
          <w:color w:val="000000"/>
          <w:kern w:val="0"/>
          <w:lang w:eastAsia="en-GB"/>
          <w14:ligatures w14:val="none"/>
        </w:rPr>
        <w:t> Increase investment in preventive healthcare, wellness programs, and home-based care services to enhance cost efficiency and patient satisfaction.</w:t>
      </w:r>
    </w:p>
    <w:p w14:paraId="0B1B58F9" w14:textId="77777777" w:rsidR="004E212D" w:rsidRPr="004E212D" w:rsidRDefault="013C7C9D" w:rsidP="480B4935">
      <w:pPr>
        <w:numPr>
          <w:ilvl w:val="0"/>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b/>
          <w:bCs/>
          <w:color w:val="000000"/>
          <w:kern w:val="0"/>
          <w:lang w:eastAsia="en-GB"/>
          <w14:ligatures w14:val="none"/>
        </w:rPr>
        <w:t>Leverage AI &amp; Automation:</w:t>
      </w:r>
      <w:r w:rsidRPr="004E212D">
        <w:rPr>
          <w:rFonts w:ascii="Times New Roman" w:eastAsia="Times New Roman" w:hAnsi="Times New Roman" w:cs="Times New Roman"/>
          <w:color w:val="000000"/>
          <w:kern w:val="0"/>
          <w:lang w:eastAsia="en-GB"/>
          <w14:ligatures w14:val="none"/>
        </w:rPr>
        <w:t> Further integrate AI-driven diagnostics, predictive analytics, and telehealth solutions to streamline operations and improve efficiency.</w:t>
      </w:r>
    </w:p>
    <w:p w14:paraId="333107C6" w14:textId="77777777" w:rsidR="004E212D" w:rsidRPr="004E212D" w:rsidRDefault="013C7C9D" w:rsidP="480B4935">
      <w:pPr>
        <w:numPr>
          <w:ilvl w:val="0"/>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b/>
          <w:bCs/>
          <w:color w:val="000000"/>
          <w:kern w:val="0"/>
          <w:lang w:eastAsia="en-GB"/>
          <w14:ligatures w14:val="none"/>
        </w:rPr>
        <w:t>Enhance Cost Management:</w:t>
      </w:r>
      <w:r w:rsidRPr="004E212D">
        <w:rPr>
          <w:rFonts w:ascii="Times New Roman" w:eastAsia="Times New Roman" w:hAnsi="Times New Roman" w:cs="Times New Roman"/>
          <w:color w:val="000000"/>
          <w:kern w:val="0"/>
          <w:lang w:eastAsia="en-GB"/>
          <w14:ligatures w14:val="none"/>
        </w:rPr>
        <w:t> Address rising operational expenses by optimizing administrative workflows, negotiating better supplier contracts, and reducing unnecessary costs.</w:t>
      </w:r>
    </w:p>
    <w:p w14:paraId="7B03FD0F" w14:textId="77777777" w:rsidR="004E212D" w:rsidRPr="004E212D" w:rsidRDefault="013C7C9D" w:rsidP="480B4935">
      <w:pPr>
        <w:numPr>
          <w:ilvl w:val="0"/>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b/>
          <w:bCs/>
          <w:color w:val="000000"/>
          <w:kern w:val="0"/>
          <w:lang w:eastAsia="en-GB"/>
          <w14:ligatures w14:val="none"/>
        </w:rPr>
        <w:t>Global Market Penetration:</w:t>
      </w:r>
      <w:r w:rsidRPr="004E212D">
        <w:rPr>
          <w:rFonts w:ascii="Times New Roman" w:eastAsia="Times New Roman" w:hAnsi="Times New Roman" w:cs="Times New Roman"/>
          <w:color w:val="000000"/>
          <w:kern w:val="0"/>
          <w:lang w:eastAsia="en-GB"/>
          <w14:ligatures w14:val="none"/>
        </w:rPr>
        <w:t> Strengthen presence in international markets, particularly in emerging economies where healthcare demand is rising.</w:t>
      </w:r>
    </w:p>
    <w:p w14:paraId="0EFEC208" w14:textId="7668A490" w:rsidR="480B4935" w:rsidRDefault="013C7C9D" w:rsidP="00501BF9">
      <w:pPr>
        <w:numPr>
          <w:ilvl w:val="0"/>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4E212D">
        <w:rPr>
          <w:rFonts w:ascii="Times New Roman" w:eastAsia="Times New Roman" w:hAnsi="Times New Roman" w:cs="Times New Roman"/>
          <w:b/>
          <w:bCs/>
          <w:color w:val="000000"/>
          <w:kern w:val="0"/>
          <w:lang w:eastAsia="en-GB"/>
          <w14:ligatures w14:val="none"/>
        </w:rPr>
        <w:t>Strengthen Digital Offerings:</w:t>
      </w:r>
      <w:r w:rsidRPr="004E212D">
        <w:rPr>
          <w:rFonts w:ascii="Times New Roman" w:eastAsia="Times New Roman" w:hAnsi="Times New Roman" w:cs="Times New Roman"/>
          <w:color w:val="000000"/>
          <w:kern w:val="0"/>
          <w:lang w:eastAsia="en-GB"/>
          <w14:ligatures w14:val="none"/>
        </w:rPr>
        <w:t> Expand virtual care solutions and digital health services to enhance accessibility and convenience for patients.</w:t>
      </w:r>
    </w:p>
    <w:p w14:paraId="2D698730" w14:textId="77777777" w:rsidR="00501BF9" w:rsidRPr="00501BF9" w:rsidRDefault="00501BF9" w:rsidP="00501BF9">
      <w:pPr>
        <w:spacing w:before="100" w:beforeAutospacing="1" w:after="100" w:afterAutospacing="1"/>
        <w:ind w:left="720"/>
        <w:rPr>
          <w:rFonts w:ascii="Times New Roman" w:eastAsia="Times New Roman" w:hAnsi="Times New Roman" w:cs="Times New Roman"/>
          <w:color w:val="000000"/>
          <w:kern w:val="0"/>
          <w:lang w:eastAsia="en-GB"/>
          <w14:ligatures w14:val="none"/>
        </w:rPr>
      </w:pPr>
    </w:p>
    <w:p w14:paraId="0A90F9F7" w14:textId="44740737" w:rsidR="480B4935" w:rsidRPr="00501BF9" w:rsidRDefault="608BBE71" w:rsidP="00501BF9">
      <w:pPr>
        <w:spacing w:before="100" w:beforeAutospacing="1" w:after="100" w:afterAutospacing="1"/>
        <w:outlineLvl w:val="2"/>
        <w:rPr>
          <w:rFonts w:ascii="Times New Roman" w:eastAsia="Times New Roman" w:hAnsi="Times New Roman" w:cs="Times New Roman"/>
          <w:b/>
          <w:bCs/>
          <w:color w:val="000000"/>
          <w:kern w:val="0"/>
          <w:sz w:val="28"/>
          <w:szCs w:val="28"/>
          <w:lang w:eastAsia="en-GB"/>
          <w14:ligatures w14:val="none"/>
        </w:rPr>
      </w:pPr>
      <w:r w:rsidRPr="480B4935">
        <w:rPr>
          <w:rFonts w:ascii="Times New Roman" w:eastAsia="Times New Roman" w:hAnsi="Times New Roman" w:cs="Times New Roman"/>
          <w:b/>
          <w:bCs/>
          <w:color w:val="000000"/>
          <w:kern w:val="0"/>
          <w:sz w:val="28"/>
          <w:szCs w:val="28"/>
          <w:lang w:eastAsia="en-GB"/>
          <w14:ligatures w14:val="none"/>
        </w:rPr>
        <w:t>9</w:t>
      </w:r>
      <w:r w:rsidR="013C7C9D" w:rsidRPr="480B4935">
        <w:rPr>
          <w:rFonts w:ascii="Times New Roman" w:eastAsia="Times New Roman" w:hAnsi="Times New Roman" w:cs="Times New Roman"/>
          <w:b/>
          <w:bCs/>
          <w:color w:val="000000"/>
          <w:kern w:val="0"/>
          <w:sz w:val="28"/>
          <w:szCs w:val="28"/>
          <w:lang w:eastAsia="en-GB"/>
          <w14:ligatures w14:val="none"/>
        </w:rPr>
        <w:t>. Conclusion</w:t>
      </w:r>
    </w:p>
    <w:p w14:paraId="0D04A3EE" w14:textId="5D051418" w:rsidR="009E28A4" w:rsidRDefault="013C7C9D" w:rsidP="480B4935">
      <w:pPr>
        <w:pStyle w:val="NormalWeb"/>
        <w:rPr>
          <w:color w:val="000000"/>
        </w:rPr>
      </w:pPr>
      <w:r w:rsidRPr="480B4935">
        <w:rPr>
          <w:color w:val="000000" w:themeColor="text1"/>
        </w:rPr>
        <w:t>UnitedHealth Group’s strategic approach has positioned it as a market leader, with impressive financial growth and innovation-driven expansion. The company should continue focusing on technology, cost management, and global expansion to sustain its growth trajectory. However, careful attention should be given to balancing profitability and increasing operational costs. The company is well-positioned to maintain its leadership in the healthcare sector with continued innovation and disciplined financial management.</w:t>
      </w:r>
    </w:p>
    <w:p w14:paraId="6ED292C1" w14:textId="77777777" w:rsidR="004E212D" w:rsidRDefault="004E212D" w:rsidP="480B4935">
      <w:pPr>
        <w:pStyle w:val="NormalWeb"/>
        <w:rPr>
          <w:color w:val="000000"/>
        </w:rPr>
      </w:pPr>
    </w:p>
    <w:p w14:paraId="361C5199" w14:textId="77777777" w:rsidR="00501BF9" w:rsidRDefault="00501BF9" w:rsidP="480B4935">
      <w:pPr>
        <w:pStyle w:val="NormalWeb"/>
        <w:rPr>
          <w:color w:val="000000"/>
        </w:rPr>
      </w:pPr>
    </w:p>
    <w:p w14:paraId="1827F67F" w14:textId="77777777" w:rsidR="00501BF9" w:rsidRDefault="00501BF9" w:rsidP="480B4935">
      <w:pPr>
        <w:pStyle w:val="NormalWeb"/>
        <w:rPr>
          <w:color w:val="000000"/>
        </w:rPr>
      </w:pPr>
    </w:p>
    <w:p w14:paraId="30E0C5E0" w14:textId="77777777" w:rsidR="00501BF9" w:rsidRDefault="00501BF9" w:rsidP="480B4935">
      <w:pPr>
        <w:pStyle w:val="NormalWeb"/>
        <w:rPr>
          <w:color w:val="000000"/>
        </w:rPr>
      </w:pPr>
    </w:p>
    <w:p w14:paraId="2B2FE21F" w14:textId="77777777" w:rsidR="00501BF9" w:rsidRDefault="00501BF9" w:rsidP="480B4935">
      <w:pPr>
        <w:pStyle w:val="NormalWeb"/>
        <w:rPr>
          <w:color w:val="000000"/>
        </w:rPr>
      </w:pPr>
    </w:p>
    <w:p w14:paraId="66097689" w14:textId="77777777" w:rsidR="00501BF9" w:rsidRDefault="00501BF9" w:rsidP="480B4935">
      <w:pPr>
        <w:pStyle w:val="NormalWeb"/>
        <w:rPr>
          <w:color w:val="000000"/>
        </w:rPr>
      </w:pPr>
    </w:p>
    <w:p w14:paraId="0F7DC69B" w14:textId="77777777" w:rsidR="00501BF9" w:rsidRDefault="00501BF9" w:rsidP="480B4935">
      <w:pPr>
        <w:pStyle w:val="NormalWeb"/>
        <w:rPr>
          <w:color w:val="000000"/>
        </w:rPr>
      </w:pPr>
    </w:p>
    <w:p w14:paraId="09D910C4" w14:textId="77777777" w:rsidR="00501BF9" w:rsidRDefault="00501BF9" w:rsidP="480B4935">
      <w:pPr>
        <w:pStyle w:val="NormalWeb"/>
        <w:rPr>
          <w:color w:val="000000"/>
        </w:rPr>
      </w:pPr>
    </w:p>
    <w:p w14:paraId="182FC1F9" w14:textId="79FEA748" w:rsidR="004E212D" w:rsidRPr="004E212D" w:rsidRDefault="608BBE71" w:rsidP="000A3828">
      <w:pPr>
        <w:pStyle w:val="Heading3"/>
        <w:spacing w:after="120"/>
        <w:rPr>
          <w:rFonts w:ascii="Times New Roman" w:eastAsia="Times New Roman" w:hAnsi="Times New Roman" w:cs="Times New Roman"/>
          <w:b/>
          <w:bCs/>
          <w:color w:val="000000"/>
          <w:kern w:val="0"/>
          <w:lang w:eastAsia="en-GB"/>
          <w14:ligatures w14:val="none"/>
        </w:rPr>
      </w:pPr>
      <w:r w:rsidRPr="480B4935">
        <w:rPr>
          <w:rFonts w:ascii="Times New Roman" w:eastAsia="Times New Roman" w:hAnsi="Times New Roman" w:cs="Times New Roman"/>
          <w:b/>
          <w:bCs/>
          <w:color w:val="000000"/>
        </w:rPr>
        <w:lastRenderedPageBreak/>
        <w:t>10</w:t>
      </w:r>
      <w:r w:rsidR="013C7C9D" w:rsidRPr="480B4935">
        <w:rPr>
          <w:rFonts w:ascii="Times New Roman" w:eastAsia="Times New Roman" w:hAnsi="Times New Roman" w:cs="Times New Roman"/>
          <w:b/>
          <w:bCs/>
          <w:color w:val="000000"/>
        </w:rPr>
        <w:t>.</w:t>
      </w:r>
      <w:r w:rsidR="013C7C9D" w:rsidRPr="480B4935">
        <w:rPr>
          <w:rStyle w:val="Heading2Char"/>
          <w:rFonts w:ascii="Times New Roman" w:eastAsia="Times New Roman" w:hAnsi="Times New Roman" w:cs="Times New Roman"/>
          <w:b/>
          <w:bCs/>
          <w:color w:val="000000"/>
          <w:sz w:val="28"/>
          <w:szCs w:val="28"/>
        </w:rPr>
        <w:t xml:space="preserve"> </w:t>
      </w:r>
      <w:r w:rsidR="013C7C9D" w:rsidRPr="480B4935">
        <w:rPr>
          <w:rFonts w:ascii="Times New Roman" w:eastAsia="Times New Roman" w:hAnsi="Times New Roman" w:cs="Times New Roman"/>
          <w:b/>
          <w:bCs/>
          <w:color w:val="000000"/>
          <w:kern w:val="0"/>
          <w:lang w:eastAsia="en-GB"/>
          <w14:ligatures w14:val="none"/>
        </w:rPr>
        <w:t>References</w:t>
      </w:r>
    </w:p>
    <w:p w14:paraId="280543C8" w14:textId="33AB7305" w:rsidR="000A3828" w:rsidRPr="000A3828" w:rsidRDefault="013C7C9D" w:rsidP="000A3828">
      <w:pPr>
        <w:pStyle w:val="NormalWeb"/>
        <w:numPr>
          <w:ilvl w:val="0"/>
          <w:numId w:val="23"/>
        </w:numPr>
        <w:spacing w:after="60" w:afterAutospacing="0"/>
        <w:rPr>
          <w:color w:val="000000"/>
        </w:rPr>
      </w:pPr>
      <w:r w:rsidRPr="005D07BA">
        <w:rPr>
          <w:b/>
          <w:bCs/>
          <w:color w:val="000000" w:themeColor="text1"/>
        </w:rPr>
        <w:t>UnitedHealth Group. (2020-2023)</w:t>
      </w:r>
      <w:r w:rsidRPr="480B4935">
        <w:rPr>
          <w:color w:val="000000" w:themeColor="text1"/>
        </w:rPr>
        <w:t>.</w:t>
      </w:r>
      <w:r w:rsidRPr="480B4935">
        <w:rPr>
          <w:rStyle w:val="apple-converted-space"/>
          <w:color w:val="000000" w:themeColor="text1"/>
        </w:rPr>
        <w:t> </w:t>
      </w:r>
      <w:r w:rsidRPr="480B4935">
        <w:rPr>
          <w:rStyle w:val="Emphasis"/>
          <w:color w:val="000000" w:themeColor="text1"/>
        </w:rPr>
        <w:t>Annual 10-K Reports</w:t>
      </w:r>
      <w:r w:rsidRPr="480B4935">
        <w:rPr>
          <w:color w:val="000000" w:themeColor="text1"/>
        </w:rPr>
        <w:t>. Retrieved from</w:t>
      </w:r>
      <w:r w:rsidRPr="480B4935">
        <w:rPr>
          <w:rStyle w:val="apple-converted-space"/>
          <w:color w:val="000000" w:themeColor="text1"/>
        </w:rPr>
        <w:t xml:space="preserve"> </w:t>
      </w:r>
      <w:hyperlink r:id="rId9">
        <w:r w:rsidRPr="480B4935">
          <w:rPr>
            <w:rStyle w:val="Hyperlink"/>
          </w:rPr>
          <w:t>https://www.sec.gov</w:t>
        </w:r>
      </w:hyperlink>
    </w:p>
    <w:p w14:paraId="0DD60823" w14:textId="77777777" w:rsidR="00F424DE" w:rsidRDefault="013C7C9D" w:rsidP="000A3828">
      <w:pPr>
        <w:pStyle w:val="NormalWeb"/>
        <w:numPr>
          <w:ilvl w:val="0"/>
          <w:numId w:val="23"/>
        </w:numPr>
        <w:spacing w:after="60" w:afterAutospacing="0"/>
        <w:rPr>
          <w:rStyle w:val="Hyperlink"/>
        </w:rPr>
      </w:pPr>
      <w:r w:rsidRPr="005D07BA">
        <w:rPr>
          <w:b/>
          <w:bCs/>
          <w:color w:val="000000" w:themeColor="text1"/>
        </w:rPr>
        <w:t>UnitedHealth Group. (2023).</w:t>
      </w:r>
      <w:r w:rsidRPr="480B4935">
        <w:rPr>
          <w:rStyle w:val="apple-converted-space"/>
          <w:color w:val="000000" w:themeColor="text1"/>
        </w:rPr>
        <w:t> </w:t>
      </w:r>
      <w:r w:rsidRPr="480B4935">
        <w:rPr>
          <w:rStyle w:val="Emphasis"/>
          <w:color w:val="000000" w:themeColor="text1"/>
        </w:rPr>
        <w:t>UnitedHealth Group Reports 2023 Results</w:t>
      </w:r>
      <w:r w:rsidRPr="480B4935">
        <w:rPr>
          <w:color w:val="000000" w:themeColor="text1"/>
        </w:rPr>
        <w:t>. Retrieved from</w:t>
      </w:r>
      <w:r w:rsidRPr="480B4935">
        <w:rPr>
          <w:rStyle w:val="apple-converted-space"/>
          <w:color w:val="000000" w:themeColor="text1"/>
        </w:rPr>
        <w:t> </w:t>
      </w:r>
      <w:hyperlink r:id="rId10">
        <w:r w:rsidRPr="480B4935">
          <w:rPr>
            <w:rStyle w:val="Hyperlink"/>
          </w:rPr>
          <w:t>https://www.unitedhealthgroup.com/content/dam/UHG/PDF/investors/2023/UNH-Q4-2023-Release.pdf</w:t>
        </w:r>
      </w:hyperlink>
    </w:p>
    <w:p w14:paraId="488B73F1" w14:textId="77777777" w:rsidR="000A3828" w:rsidRDefault="5ECC47CD" w:rsidP="000A3828">
      <w:pPr>
        <w:pStyle w:val="NormalWeb"/>
        <w:numPr>
          <w:ilvl w:val="0"/>
          <w:numId w:val="23"/>
        </w:numPr>
        <w:spacing w:after="60" w:afterAutospacing="0"/>
      </w:pPr>
      <w:r w:rsidRPr="480B4935">
        <w:rPr>
          <w:b/>
          <w:bCs/>
        </w:rPr>
        <w:t>UnitedHealth Group</w:t>
      </w:r>
      <w:r w:rsidRPr="00E71178">
        <w:rPr>
          <w:b/>
          <w:bCs/>
        </w:rPr>
        <w:t>. (2024).</w:t>
      </w:r>
      <w:r w:rsidRPr="480B4935">
        <w:t xml:space="preserve"> </w:t>
      </w:r>
      <w:r w:rsidRPr="480B4935">
        <w:rPr>
          <w:i/>
          <w:iCs/>
        </w:rPr>
        <w:t>Annual Report 2023</w:t>
      </w:r>
      <w:r w:rsidRPr="480B4935">
        <w:t>. Retrieved from:</w:t>
      </w:r>
      <w:r w:rsidR="00C77C79">
        <w:br/>
      </w:r>
      <w:hyperlink r:id="rId11">
        <w:r w:rsidRPr="480B4935">
          <w:rPr>
            <w:rStyle w:val="Hyperlink"/>
          </w:rPr>
          <w:t>https://www.unitedhealthgroup.com/content/dam/UHG/PDF/investors/2024/UNH-Q4-2024-Form-10-K.pdf</w:t>
        </w:r>
      </w:hyperlink>
    </w:p>
    <w:p w14:paraId="25B71FC7" w14:textId="77777777" w:rsidR="000A3828" w:rsidRDefault="000A3828" w:rsidP="000A3828">
      <w:pPr>
        <w:pStyle w:val="NormalWeb"/>
        <w:numPr>
          <w:ilvl w:val="0"/>
          <w:numId w:val="23"/>
        </w:numPr>
        <w:spacing w:after="60" w:afterAutospacing="0"/>
      </w:pPr>
      <w:r w:rsidRPr="000A3828">
        <w:rPr>
          <w:rStyle w:val="Strong"/>
          <w:rFonts w:eastAsiaTheme="majorEastAsia"/>
        </w:rPr>
        <w:t>UnitedHealth Group.</w:t>
      </w:r>
      <w:r>
        <w:t xml:space="preserve"> (n.d.). UnitedHealth Group. Retrieved from </w:t>
      </w:r>
      <w:hyperlink r:id="rId12" w:tgtFrame="_new" w:history="1">
        <w:r w:rsidRPr="000A3828">
          <w:rPr>
            <w:rStyle w:val="Hyperlink"/>
            <w:rFonts w:eastAsiaTheme="majorEastAsia"/>
          </w:rPr>
          <w:t>https://www.unitedhealthgroup.com/</w:t>
        </w:r>
      </w:hyperlink>
    </w:p>
    <w:p w14:paraId="4C25EDE8" w14:textId="77777777" w:rsidR="000A3828" w:rsidRDefault="000A3828" w:rsidP="000A3828">
      <w:pPr>
        <w:pStyle w:val="NormalWeb"/>
        <w:numPr>
          <w:ilvl w:val="0"/>
          <w:numId w:val="23"/>
        </w:numPr>
        <w:spacing w:after="60" w:afterAutospacing="0"/>
      </w:pPr>
      <w:r w:rsidRPr="000A3828">
        <w:rPr>
          <w:rStyle w:val="Strong"/>
          <w:rFonts w:eastAsiaTheme="majorEastAsia"/>
        </w:rPr>
        <w:t>UnitedHealth Group Financial Statements (2015-2024).</w:t>
      </w:r>
      <w:r>
        <w:t xml:space="preserve"> Macro Trends. Retrieved from </w:t>
      </w:r>
      <w:hyperlink r:id="rId13" w:anchor="google_vignette" w:tgtFrame="_new" w:history="1">
        <w:r w:rsidRPr="000A3828">
          <w:rPr>
            <w:rStyle w:val="Hyperlink"/>
            <w:rFonts w:eastAsiaTheme="majorEastAsia"/>
          </w:rPr>
          <w:t>https://macrotrends.net/stocks/charts/UNH/unitedhealth-group/financial-statements#google_vignette</w:t>
        </w:r>
      </w:hyperlink>
    </w:p>
    <w:p w14:paraId="5C95E1C9" w14:textId="4D839632" w:rsidR="000A3828" w:rsidRDefault="000A3828" w:rsidP="000A3828">
      <w:pPr>
        <w:pStyle w:val="NormalWeb"/>
        <w:numPr>
          <w:ilvl w:val="0"/>
          <w:numId w:val="23"/>
        </w:numPr>
        <w:spacing w:after="60" w:afterAutospacing="0"/>
      </w:pPr>
      <w:r w:rsidRPr="000A3828">
        <w:rPr>
          <w:rStyle w:val="Strong"/>
          <w:rFonts w:eastAsiaTheme="majorEastAsia"/>
        </w:rPr>
        <w:t>UnitedHealth Group.</w:t>
      </w:r>
      <w:r>
        <w:t xml:space="preserve"> Latest quarterly and annual financial results, along with investor presentations, earnings calls, and other investor-related materials. Retrieved from </w:t>
      </w:r>
      <w:hyperlink r:id="rId14" w:tgtFrame="_new" w:history="1">
        <w:r w:rsidRPr="000A3828">
          <w:rPr>
            <w:rStyle w:val="Hyperlink"/>
            <w:rFonts w:eastAsiaTheme="majorEastAsia"/>
          </w:rPr>
          <w:t>https://www.unitedhealthgroup.com/investors/financial-reports.html</w:t>
        </w:r>
      </w:hyperlink>
    </w:p>
    <w:p w14:paraId="223D2A3E" w14:textId="77777777" w:rsidR="000A3828" w:rsidRDefault="000A3828" w:rsidP="480B4935">
      <w:pPr>
        <w:pStyle w:val="NormalWeb"/>
      </w:pPr>
    </w:p>
    <w:p w14:paraId="07FD2A71" w14:textId="77777777" w:rsidR="00C77C79" w:rsidRDefault="00C77C79" w:rsidP="480B4935">
      <w:pPr>
        <w:pStyle w:val="NormalWeb"/>
      </w:pPr>
    </w:p>
    <w:p w14:paraId="28C04BDE" w14:textId="77777777" w:rsidR="004E212D" w:rsidRPr="004E212D" w:rsidRDefault="004E212D" w:rsidP="480B4935">
      <w:pPr>
        <w:pStyle w:val="NormalWeb"/>
        <w:rPr>
          <w:color w:val="000000"/>
        </w:rPr>
      </w:pPr>
    </w:p>
    <w:sectPr w:rsidR="004E212D" w:rsidRPr="004E21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9062A"/>
    <w:multiLevelType w:val="hybridMultilevel"/>
    <w:tmpl w:val="70888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FF3908"/>
    <w:multiLevelType w:val="multilevel"/>
    <w:tmpl w:val="682C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D619C"/>
    <w:multiLevelType w:val="multilevel"/>
    <w:tmpl w:val="2FE4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752F9"/>
    <w:multiLevelType w:val="hybridMultilevel"/>
    <w:tmpl w:val="9378D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0317E0"/>
    <w:multiLevelType w:val="multilevel"/>
    <w:tmpl w:val="38848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700766"/>
    <w:multiLevelType w:val="hybridMultilevel"/>
    <w:tmpl w:val="B09E4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0E2A76"/>
    <w:multiLevelType w:val="multilevel"/>
    <w:tmpl w:val="2FE4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D74EE3"/>
    <w:multiLevelType w:val="multilevel"/>
    <w:tmpl w:val="5052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D2921"/>
    <w:multiLevelType w:val="multilevel"/>
    <w:tmpl w:val="2FE4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6560FF"/>
    <w:multiLevelType w:val="multilevel"/>
    <w:tmpl w:val="A9A21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6B53DE"/>
    <w:multiLevelType w:val="multilevel"/>
    <w:tmpl w:val="17B82B4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34334B"/>
    <w:multiLevelType w:val="multilevel"/>
    <w:tmpl w:val="2FE4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2C2122"/>
    <w:multiLevelType w:val="multilevel"/>
    <w:tmpl w:val="8482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290D11"/>
    <w:multiLevelType w:val="multilevel"/>
    <w:tmpl w:val="D56C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0501D3"/>
    <w:multiLevelType w:val="multilevel"/>
    <w:tmpl w:val="5B5A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EA7F4D"/>
    <w:multiLevelType w:val="multilevel"/>
    <w:tmpl w:val="1C927AD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340CDC"/>
    <w:multiLevelType w:val="hybridMultilevel"/>
    <w:tmpl w:val="7E9A4AEE"/>
    <w:lvl w:ilvl="0" w:tplc="8E6A1B02">
      <w:start w:val="1"/>
      <w:numFmt w:val="decimal"/>
      <w:lvlText w:val="%1."/>
      <w:lvlJc w:val="left"/>
      <w:pPr>
        <w:ind w:left="360" w:hanging="360"/>
      </w:pPr>
    </w:lvl>
    <w:lvl w:ilvl="1" w:tplc="7EDE7D52" w:tentative="1">
      <w:start w:val="1"/>
      <w:numFmt w:val="lowerLetter"/>
      <w:lvlText w:val="%2."/>
      <w:lvlJc w:val="left"/>
      <w:pPr>
        <w:ind w:left="1080" w:hanging="360"/>
      </w:pPr>
    </w:lvl>
    <w:lvl w:ilvl="2" w:tplc="53509006" w:tentative="1">
      <w:start w:val="1"/>
      <w:numFmt w:val="lowerRoman"/>
      <w:lvlText w:val="%3."/>
      <w:lvlJc w:val="right"/>
      <w:pPr>
        <w:ind w:left="1800" w:hanging="180"/>
      </w:pPr>
    </w:lvl>
    <w:lvl w:ilvl="3" w:tplc="C3F65DD2" w:tentative="1">
      <w:start w:val="1"/>
      <w:numFmt w:val="decimal"/>
      <w:lvlText w:val="%4."/>
      <w:lvlJc w:val="left"/>
      <w:pPr>
        <w:ind w:left="2520" w:hanging="360"/>
      </w:pPr>
    </w:lvl>
    <w:lvl w:ilvl="4" w:tplc="D1564AE6" w:tentative="1">
      <w:start w:val="1"/>
      <w:numFmt w:val="lowerLetter"/>
      <w:lvlText w:val="%5."/>
      <w:lvlJc w:val="left"/>
      <w:pPr>
        <w:ind w:left="3240" w:hanging="360"/>
      </w:pPr>
    </w:lvl>
    <w:lvl w:ilvl="5" w:tplc="B12464E4" w:tentative="1">
      <w:start w:val="1"/>
      <w:numFmt w:val="lowerRoman"/>
      <w:lvlText w:val="%6."/>
      <w:lvlJc w:val="right"/>
      <w:pPr>
        <w:ind w:left="3960" w:hanging="180"/>
      </w:pPr>
    </w:lvl>
    <w:lvl w:ilvl="6" w:tplc="E9F876D8" w:tentative="1">
      <w:start w:val="1"/>
      <w:numFmt w:val="decimal"/>
      <w:lvlText w:val="%7."/>
      <w:lvlJc w:val="left"/>
      <w:pPr>
        <w:ind w:left="4680" w:hanging="360"/>
      </w:pPr>
    </w:lvl>
    <w:lvl w:ilvl="7" w:tplc="9AC4FCA6" w:tentative="1">
      <w:start w:val="1"/>
      <w:numFmt w:val="lowerLetter"/>
      <w:lvlText w:val="%8."/>
      <w:lvlJc w:val="left"/>
      <w:pPr>
        <w:ind w:left="5400" w:hanging="360"/>
      </w:pPr>
    </w:lvl>
    <w:lvl w:ilvl="8" w:tplc="26E80656" w:tentative="1">
      <w:start w:val="1"/>
      <w:numFmt w:val="lowerRoman"/>
      <w:lvlText w:val="%9."/>
      <w:lvlJc w:val="right"/>
      <w:pPr>
        <w:ind w:left="6120" w:hanging="180"/>
      </w:pPr>
    </w:lvl>
  </w:abstractNum>
  <w:abstractNum w:abstractNumId="17" w15:restartNumberingAfterBreak="0">
    <w:nsid w:val="5D9730CC"/>
    <w:multiLevelType w:val="hybridMultilevel"/>
    <w:tmpl w:val="A41E8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2742DB"/>
    <w:multiLevelType w:val="multilevel"/>
    <w:tmpl w:val="2FE4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C774D8"/>
    <w:multiLevelType w:val="multilevel"/>
    <w:tmpl w:val="B790A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2C6C29"/>
    <w:multiLevelType w:val="multilevel"/>
    <w:tmpl w:val="519C2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457F6F"/>
    <w:multiLevelType w:val="multilevel"/>
    <w:tmpl w:val="2FE4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8D1BAD"/>
    <w:multiLevelType w:val="multilevel"/>
    <w:tmpl w:val="F2AC5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5427881">
    <w:abstractNumId w:val="9"/>
  </w:num>
  <w:num w:numId="2" w16cid:durableId="1878424056">
    <w:abstractNumId w:val="2"/>
  </w:num>
  <w:num w:numId="3" w16cid:durableId="176114506">
    <w:abstractNumId w:val="8"/>
  </w:num>
  <w:num w:numId="4" w16cid:durableId="595014692">
    <w:abstractNumId w:val="21"/>
  </w:num>
  <w:num w:numId="5" w16cid:durableId="1165631487">
    <w:abstractNumId w:val="19"/>
  </w:num>
  <w:num w:numId="6" w16cid:durableId="1617826949">
    <w:abstractNumId w:val="20"/>
  </w:num>
  <w:num w:numId="7" w16cid:durableId="517307742">
    <w:abstractNumId w:val="18"/>
  </w:num>
  <w:num w:numId="8" w16cid:durableId="627247568">
    <w:abstractNumId w:val="6"/>
  </w:num>
  <w:num w:numId="9" w16cid:durableId="66613032">
    <w:abstractNumId w:val="11"/>
  </w:num>
  <w:num w:numId="10" w16cid:durableId="982348671">
    <w:abstractNumId w:val="4"/>
  </w:num>
  <w:num w:numId="11" w16cid:durableId="1089350476">
    <w:abstractNumId w:val="3"/>
  </w:num>
  <w:num w:numId="12" w16cid:durableId="916552091">
    <w:abstractNumId w:val="10"/>
  </w:num>
  <w:num w:numId="13" w16cid:durableId="203299467">
    <w:abstractNumId w:val="15"/>
  </w:num>
  <w:num w:numId="14" w16cid:durableId="219168202">
    <w:abstractNumId w:val="1"/>
  </w:num>
  <w:num w:numId="15" w16cid:durableId="1596862998">
    <w:abstractNumId w:val="12"/>
  </w:num>
  <w:num w:numId="16" w16cid:durableId="181667987">
    <w:abstractNumId w:val="7"/>
  </w:num>
  <w:num w:numId="17" w16cid:durableId="1578200200">
    <w:abstractNumId w:val="14"/>
  </w:num>
  <w:num w:numId="18" w16cid:durableId="1044326832">
    <w:abstractNumId w:val="13"/>
  </w:num>
  <w:num w:numId="19" w16cid:durableId="1116753793">
    <w:abstractNumId w:val="22"/>
  </w:num>
  <w:num w:numId="20" w16cid:durableId="315568122">
    <w:abstractNumId w:val="5"/>
  </w:num>
  <w:num w:numId="21" w16cid:durableId="35324785">
    <w:abstractNumId w:val="16"/>
  </w:num>
  <w:num w:numId="22" w16cid:durableId="995299529">
    <w:abstractNumId w:val="0"/>
  </w:num>
  <w:num w:numId="23" w16cid:durableId="20924339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2D"/>
    <w:rsid w:val="000056D3"/>
    <w:rsid w:val="00011792"/>
    <w:rsid w:val="00061D57"/>
    <w:rsid w:val="000772BB"/>
    <w:rsid w:val="000A3828"/>
    <w:rsid w:val="00110CA3"/>
    <w:rsid w:val="00135FC5"/>
    <w:rsid w:val="00150475"/>
    <w:rsid w:val="00165AC4"/>
    <w:rsid w:val="00200A19"/>
    <w:rsid w:val="00215B92"/>
    <w:rsid w:val="00255C3F"/>
    <w:rsid w:val="002C34FA"/>
    <w:rsid w:val="002D5984"/>
    <w:rsid w:val="0030678A"/>
    <w:rsid w:val="003130A7"/>
    <w:rsid w:val="00356952"/>
    <w:rsid w:val="00366FCB"/>
    <w:rsid w:val="003D3B2C"/>
    <w:rsid w:val="003D57CA"/>
    <w:rsid w:val="004B460D"/>
    <w:rsid w:val="004E0E68"/>
    <w:rsid w:val="004E212D"/>
    <w:rsid w:val="00501BF9"/>
    <w:rsid w:val="00526D83"/>
    <w:rsid w:val="00553F67"/>
    <w:rsid w:val="005A499D"/>
    <w:rsid w:val="005D07BA"/>
    <w:rsid w:val="005E33EE"/>
    <w:rsid w:val="005F102C"/>
    <w:rsid w:val="00602BDB"/>
    <w:rsid w:val="006641C7"/>
    <w:rsid w:val="00666DA5"/>
    <w:rsid w:val="00676F49"/>
    <w:rsid w:val="00726430"/>
    <w:rsid w:val="00792E4E"/>
    <w:rsid w:val="007D26D0"/>
    <w:rsid w:val="00843B47"/>
    <w:rsid w:val="008D7D18"/>
    <w:rsid w:val="00977B92"/>
    <w:rsid w:val="009C0C49"/>
    <w:rsid w:val="009E28A4"/>
    <w:rsid w:val="00A0002B"/>
    <w:rsid w:val="00A93A5F"/>
    <w:rsid w:val="00AA0CEB"/>
    <w:rsid w:val="00AC2C37"/>
    <w:rsid w:val="00AD28ED"/>
    <w:rsid w:val="00B24218"/>
    <w:rsid w:val="00B94111"/>
    <w:rsid w:val="00B957F8"/>
    <w:rsid w:val="00BA4B5E"/>
    <w:rsid w:val="00BD7B07"/>
    <w:rsid w:val="00C63572"/>
    <w:rsid w:val="00C77C79"/>
    <w:rsid w:val="00CA1653"/>
    <w:rsid w:val="00DB15CA"/>
    <w:rsid w:val="00DE1F86"/>
    <w:rsid w:val="00DE4BBE"/>
    <w:rsid w:val="00E025D9"/>
    <w:rsid w:val="00E635EC"/>
    <w:rsid w:val="00E71178"/>
    <w:rsid w:val="00EC3B47"/>
    <w:rsid w:val="00F32511"/>
    <w:rsid w:val="00F424DE"/>
    <w:rsid w:val="00F545C8"/>
    <w:rsid w:val="00FC7DBB"/>
    <w:rsid w:val="013C7C9D"/>
    <w:rsid w:val="049B1AC6"/>
    <w:rsid w:val="05D4D716"/>
    <w:rsid w:val="080B56E2"/>
    <w:rsid w:val="0C67ECD1"/>
    <w:rsid w:val="0FC57C52"/>
    <w:rsid w:val="110E6721"/>
    <w:rsid w:val="138F8367"/>
    <w:rsid w:val="13F32A79"/>
    <w:rsid w:val="143142B6"/>
    <w:rsid w:val="15F13C5B"/>
    <w:rsid w:val="16211267"/>
    <w:rsid w:val="16F34C3F"/>
    <w:rsid w:val="174DDFA1"/>
    <w:rsid w:val="17DED4E8"/>
    <w:rsid w:val="1C6627A3"/>
    <w:rsid w:val="1C84890B"/>
    <w:rsid w:val="1D9D0E77"/>
    <w:rsid w:val="1F41AB33"/>
    <w:rsid w:val="21090341"/>
    <w:rsid w:val="222C916A"/>
    <w:rsid w:val="22B91B63"/>
    <w:rsid w:val="275B013E"/>
    <w:rsid w:val="27C501F1"/>
    <w:rsid w:val="2EC16D6B"/>
    <w:rsid w:val="3062ADBF"/>
    <w:rsid w:val="313A86C8"/>
    <w:rsid w:val="3170D08B"/>
    <w:rsid w:val="33004275"/>
    <w:rsid w:val="336A8267"/>
    <w:rsid w:val="33CCBAB9"/>
    <w:rsid w:val="35E55C21"/>
    <w:rsid w:val="3B3FCA6F"/>
    <w:rsid w:val="3C90379C"/>
    <w:rsid w:val="3C94CDBD"/>
    <w:rsid w:val="3E0124C3"/>
    <w:rsid w:val="3F4B5744"/>
    <w:rsid w:val="3FDB7605"/>
    <w:rsid w:val="405D8661"/>
    <w:rsid w:val="40877B58"/>
    <w:rsid w:val="40D4B949"/>
    <w:rsid w:val="42E1E6D0"/>
    <w:rsid w:val="46549512"/>
    <w:rsid w:val="46E5CE04"/>
    <w:rsid w:val="47B1F095"/>
    <w:rsid w:val="480B4935"/>
    <w:rsid w:val="485FB589"/>
    <w:rsid w:val="48B68918"/>
    <w:rsid w:val="498034B4"/>
    <w:rsid w:val="4A0CA275"/>
    <w:rsid w:val="4B614C81"/>
    <w:rsid w:val="4CDD36F2"/>
    <w:rsid w:val="4CF6689A"/>
    <w:rsid w:val="534F434B"/>
    <w:rsid w:val="53E7B2B1"/>
    <w:rsid w:val="58F90F63"/>
    <w:rsid w:val="59105CA9"/>
    <w:rsid w:val="5AD915F7"/>
    <w:rsid w:val="5B7A5307"/>
    <w:rsid w:val="5ECC47CD"/>
    <w:rsid w:val="5F3A3D82"/>
    <w:rsid w:val="608BBE71"/>
    <w:rsid w:val="6358F628"/>
    <w:rsid w:val="6403B3BC"/>
    <w:rsid w:val="6458EBAA"/>
    <w:rsid w:val="65E1263F"/>
    <w:rsid w:val="660CCF33"/>
    <w:rsid w:val="680623C4"/>
    <w:rsid w:val="6846FDDD"/>
    <w:rsid w:val="69FC04E5"/>
    <w:rsid w:val="69FD7C9E"/>
    <w:rsid w:val="6A66006F"/>
    <w:rsid w:val="6AD6131B"/>
    <w:rsid w:val="6AFBC0BA"/>
    <w:rsid w:val="6BD6AC48"/>
    <w:rsid w:val="6D40A709"/>
    <w:rsid w:val="6DA9CE32"/>
    <w:rsid w:val="6E31FABE"/>
    <w:rsid w:val="6F186EDC"/>
    <w:rsid w:val="7124F9B0"/>
    <w:rsid w:val="71639CED"/>
    <w:rsid w:val="71F33472"/>
    <w:rsid w:val="72E89961"/>
    <w:rsid w:val="74D1D398"/>
    <w:rsid w:val="751833BF"/>
    <w:rsid w:val="79061539"/>
    <w:rsid w:val="79AC589A"/>
    <w:rsid w:val="7A4C661E"/>
    <w:rsid w:val="7AB79F8F"/>
    <w:rsid w:val="7BA841B7"/>
    <w:rsid w:val="7CC63AE1"/>
    <w:rsid w:val="7D4307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5633"/>
  <w15:chartTrackingRefBased/>
  <w15:docId w15:val="{9474246C-5403-5C40-AE3A-A37988E1E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1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21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E21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E21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1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1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1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1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1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1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21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E21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E21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1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1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1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1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12D"/>
    <w:rPr>
      <w:rFonts w:eastAsiaTheme="majorEastAsia" w:cstheme="majorBidi"/>
      <w:color w:val="272727" w:themeColor="text1" w:themeTint="D8"/>
    </w:rPr>
  </w:style>
  <w:style w:type="paragraph" w:styleId="Title">
    <w:name w:val="Title"/>
    <w:basedOn w:val="Normal"/>
    <w:next w:val="Normal"/>
    <w:link w:val="TitleChar"/>
    <w:uiPriority w:val="10"/>
    <w:qFormat/>
    <w:rsid w:val="004E21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1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1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1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12D"/>
    <w:pPr>
      <w:spacing w:before="160"/>
      <w:jc w:val="center"/>
    </w:pPr>
    <w:rPr>
      <w:i/>
      <w:iCs/>
      <w:color w:val="404040" w:themeColor="text1" w:themeTint="BF"/>
    </w:rPr>
  </w:style>
  <w:style w:type="character" w:customStyle="1" w:styleId="QuoteChar">
    <w:name w:val="Quote Char"/>
    <w:basedOn w:val="DefaultParagraphFont"/>
    <w:link w:val="Quote"/>
    <w:uiPriority w:val="29"/>
    <w:rsid w:val="004E212D"/>
    <w:rPr>
      <w:i/>
      <w:iCs/>
      <w:color w:val="404040" w:themeColor="text1" w:themeTint="BF"/>
    </w:rPr>
  </w:style>
  <w:style w:type="paragraph" w:styleId="ListParagraph">
    <w:name w:val="List Paragraph"/>
    <w:basedOn w:val="Normal"/>
    <w:uiPriority w:val="34"/>
    <w:qFormat/>
    <w:rsid w:val="004E212D"/>
    <w:pPr>
      <w:ind w:left="720"/>
      <w:contextualSpacing/>
    </w:pPr>
  </w:style>
  <w:style w:type="character" w:styleId="IntenseEmphasis">
    <w:name w:val="Intense Emphasis"/>
    <w:basedOn w:val="DefaultParagraphFont"/>
    <w:uiPriority w:val="21"/>
    <w:qFormat/>
    <w:rsid w:val="004E212D"/>
    <w:rPr>
      <w:i/>
      <w:iCs/>
      <w:color w:val="0F4761" w:themeColor="accent1" w:themeShade="BF"/>
    </w:rPr>
  </w:style>
  <w:style w:type="paragraph" w:styleId="IntenseQuote">
    <w:name w:val="Intense Quote"/>
    <w:basedOn w:val="Normal"/>
    <w:next w:val="Normal"/>
    <w:link w:val="IntenseQuoteChar"/>
    <w:uiPriority w:val="30"/>
    <w:qFormat/>
    <w:rsid w:val="004E21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12D"/>
    <w:rPr>
      <w:i/>
      <w:iCs/>
      <w:color w:val="0F4761" w:themeColor="accent1" w:themeShade="BF"/>
    </w:rPr>
  </w:style>
  <w:style w:type="character" w:styleId="IntenseReference">
    <w:name w:val="Intense Reference"/>
    <w:basedOn w:val="DefaultParagraphFont"/>
    <w:uiPriority w:val="32"/>
    <w:qFormat/>
    <w:rsid w:val="004E212D"/>
    <w:rPr>
      <w:b/>
      <w:bCs/>
      <w:smallCaps/>
      <w:color w:val="0F4761" w:themeColor="accent1" w:themeShade="BF"/>
      <w:spacing w:val="5"/>
    </w:rPr>
  </w:style>
  <w:style w:type="character" w:styleId="Strong">
    <w:name w:val="Strong"/>
    <w:basedOn w:val="DefaultParagraphFont"/>
    <w:uiPriority w:val="22"/>
    <w:qFormat/>
    <w:rsid w:val="004E212D"/>
    <w:rPr>
      <w:b/>
      <w:bCs/>
    </w:rPr>
  </w:style>
  <w:style w:type="paragraph" w:styleId="NormalWeb">
    <w:name w:val="Normal (Web)"/>
    <w:basedOn w:val="Normal"/>
    <w:uiPriority w:val="99"/>
    <w:unhideWhenUsed/>
    <w:rsid w:val="004E212D"/>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4E212D"/>
  </w:style>
  <w:style w:type="character" w:styleId="Emphasis">
    <w:name w:val="Emphasis"/>
    <w:basedOn w:val="DefaultParagraphFont"/>
    <w:uiPriority w:val="20"/>
    <w:qFormat/>
    <w:rsid w:val="004E212D"/>
    <w:rPr>
      <w:i/>
      <w:iCs/>
    </w:rPr>
  </w:style>
  <w:style w:type="character" w:styleId="Hyperlink">
    <w:name w:val="Hyperlink"/>
    <w:basedOn w:val="DefaultParagraphFont"/>
    <w:uiPriority w:val="99"/>
    <w:unhideWhenUsed/>
    <w:rsid w:val="004E212D"/>
    <w:rPr>
      <w:color w:val="467886" w:themeColor="hyperlink"/>
      <w:u w:val="single"/>
    </w:rPr>
  </w:style>
  <w:style w:type="character" w:styleId="UnresolvedMention">
    <w:name w:val="Unresolved Mention"/>
    <w:basedOn w:val="DefaultParagraphFont"/>
    <w:uiPriority w:val="99"/>
    <w:semiHidden/>
    <w:unhideWhenUsed/>
    <w:rsid w:val="004E21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89819">
      <w:bodyDiv w:val="1"/>
      <w:marLeft w:val="0"/>
      <w:marRight w:val="0"/>
      <w:marTop w:val="0"/>
      <w:marBottom w:val="0"/>
      <w:divBdr>
        <w:top w:val="none" w:sz="0" w:space="0" w:color="auto"/>
        <w:left w:val="none" w:sz="0" w:space="0" w:color="auto"/>
        <w:bottom w:val="none" w:sz="0" w:space="0" w:color="auto"/>
        <w:right w:val="none" w:sz="0" w:space="0" w:color="auto"/>
      </w:divBdr>
      <w:divsChild>
        <w:div w:id="1063796110">
          <w:marLeft w:val="0"/>
          <w:marRight w:val="0"/>
          <w:marTop w:val="0"/>
          <w:marBottom w:val="0"/>
          <w:divBdr>
            <w:top w:val="none" w:sz="0" w:space="0" w:color="auto"/>
            <w:left w:val="none" w:sz="0" w:space="0" w:color="auto"/>
            <w:bottom w:val="none" w:sz="0" w:space="0" w:color="auto"/>
            <w:right w:val="none" w:sz="0" w:space="0" w:color="auto"/>
          </w:divBdr>
        </w:div>
      </w:divsChild>
    </w:div>
    <w:div w:id="147986518">
      <w:bodyDiv w:val="1"/>
      <w:marLeft w:val="0"/>
      <w:marRight w:val="0"/>
      <w:marTop w:val="0"/>
      <w:marBottom w:val="0"/>
      <w:divBdr>
        <w:top w:val="none" w:sz="0" w:space="0" w:color="auto"/>
        <w:left w:val="none" w:sz="0" w:space="0" w:color="auto"/>
        <w:bottom w:val="none" w:sz="0" w:space="0" w:color="auto"/>
        <w:right w:val="none" w:sz="0" w:space="0" w:color="auto"/>
      </w:divBdr>
    </w:div>
    <w:div w:id="471211724">
      <w:bodyDiv w:val="1"/>
      <w:marLeft w:val="0"/>
      <w:marRight w:val="0"/>
      <w:marTop w:val="0"/>
      <w:marBottom w:val="0"/>
      <w:divBdr>
        <w:top w:val="none" w:sz="0" w:space="0" w:color="auto"/>
        <w:left w:val="none" w:sz="0" w:space="0" w:color="auto"/>
        <w:bottom w:val="none" w:sz="0" w:space="0" w:color="auto"/>
        <w:right w:val="none" w:sz="0" w:space="0" w:color="auto"/>
      </w:divBdr>
    </w:div>
    <w:div w:id="525287405">
      <w:bodyDiv w:val="1"/>
      <w:marLeft w:val="0"/>
      <w:marRight w:val="0"/>
      <w:marTop w:val="0"/>
      <w:marBottom w:val="0"/>
      <w:divBdr>
        <w:top w:val="none" w:sz="0" w:space="0" w:color="auto"/>
        <w:left w:val="none" w:sz="0" w:space="0" w:color="auto"/>
        <w:bottom w:val="none" w:sz="0" w:space="0" w:color="auto"/>
        <w:right w:val="none" w:sz="0" w:space="0" w:color="auto"/>
      </w:divBdr>
    </w:div>
    <w:div w:id="669335696">
      <w:bodyDiv w:val="1"/>
      <w:marLeft w:val="0"/>
      <w:marRight w:val="0"/>
      <w:marTop w:val="0"/>
      <w:marBottom w:val="0"/>
      <w:divBdr>
        <w:top w:val="none" w:sz="0" w:space="0" w:color="auto"/>
        <w:left w:val="none" w:sz="0" w:space="0" w:color="auto"/>
        <w:bottom w:val="none" w:sz="0" w:space="0" w:color="auto"/>
        <w:right w:val="none" w:sz="0" w:space="0" w:color="auto"/>
      </w:divBdr>
    </w:div>
    <w:div w:id="698318423">
      <w:bodyDiv w:val="1"/>
      <w:marLeft w:val="0"/>
      <w:marRight w:val="0"/>
      <w:marTop w:val="0"/>
      <w:marBottom w:val="0"/>
      <w:divBdr>
        <w:top w:val="none" w:sz="0" w:space="0" w:color="auto"/>
        <w:left w:val="none" w:sz="0" w:space="0" w:color="auto"/>
        <w:bottom w:val="none" w:sz="0" w:space="0" w:color="auto"/>
        <w:right w:val="none" w:sz="0" w:space="0" w:color="auto"/>
      </w:divBdr>
    </w:div>
    <w:div w:id="908999053">
      <w:bodyDiv w:val="1"/>
      <w:marLeft w:val="0"/>
      <w:marRight w:val="0"/>
      <w:marTop w:val="0"/>
      <w:marBottom w:val="0"/>
      <w:divBdr>
        <w:top w:val="none" w:sz="0" w:space="0" w:color="auto"/>
        <w:left w:val="none" w:sz="0" w:space="0" w:color="auto"/>
        <w:bottom w:val="none" w:sz="0" w:space="0" w:color="auto"/>
        <w:right w:val="none" w:sz="0" w:space="0" w:color="auto"/>
      </w:divBdr>
    </w:div>
    <w:div w:id="979925495">
      <w:bodyDiv w:val="1"/>
      <w:marLeft w:val="0"/>
      <w:marRight w:val="0"/>
      <w:marTop w:val="0"/>
      <w:marBottom w:val="0"/>
      <w:divBdr>
        <w:top w:val="none" w:sz="0" w:space="0" w:color="auto"/>
        <w:left w:val="none" w:sz="0" w:space="0" w:color="auto"/>
        <w:bottom w:val="none" w:sz="0" w:space="0" w:color="auto"/>
        <w:right w:val="none" w:sz="0" w:space="0" w:color="auto"/>
      </w:divBdr>
    </w:div>
    <w:div w:id="1011032261">
      <w:bodyDiv w:val="1"/>
      <w:marLeft w:val="0"/>
      <w:marRight w:val="0"/>
      <w:marTop w:val="0"/>
      <w:marBottom w:val="0"/>
      <w:divBdr>
        <w:top w:val="none" w:sz="0" w:space="0" w:color="auto"/>
        <w:left w:val="none" w:sz="0" w:space="0" w:color="auto"/>
        <w:bottom w:val="none" w:sz="0" w:space="0" w:color="auto"/>
        <w:right w:val="none" w:sz="0" w:space="0" w:color="auto"/>
      </w:divBdr>
    </w:div>
    <w:div w:id="1103963037">
      <w:bodyDiv w:val="1"/>
      <w:marLeft w:val="0"/>
      <w:marRight w:val="0"/>
      <w:marTop w:val="0"/>
      <w:marBottom w:val="0"/>
      <w:divBdr>
        <w:top w:val="none" w:sz="0" w:space="0" w:color="auto"/>
        <w:left w:val="none" w:sz="0" w:space="0" w:color="auto"/>
        <w:bottom w:val="none" w:sz="0" w:space="0" w:color="auto"/>
        <w:right w:val="none" w:sz="0" w:space="0" w:color="auto"/>
      </w:divBdr>
      <w:divsChild>
        <w:div w:id="1239825687">
          <w:marLeft w:val="0"/>
          <w:marRight w:val="0"/>
          <w:marTop w:val="0"/>
          <w:marBottom w:val="0"/>
          <w:divBdr>
            <w:top w:val="none" w:sz="0" w:space="0" w:color="auto"/>
            <w:left w:val="none" w:sz="0" w:space="0" w:color="auto"/>
            <w:bottom w:val="none" w:sz="0" w:space="0" w:color="auto"/>
            <w:right w:val="none" w:sz="0" w:space="0" w:color="auto"/>
          </w:divBdr>
        </w:div>
        <w:div w:id="1240825342">
          <w:marLeft w:val="0"/>
          <w:marRight w:val="0"/>
          <w:marTop w:val="0"/>
          <w:marBottom w:val="0"/>
          <w:divBdr>
            <w:top w:val="none" w:sz="0" w:space="0" w:color="auto"/>
            <w:left w:val="none" w:sz="0" w:space="0" w:color="auto"/>
            <w:bottom w:val="none" w:sz="0" w:space="0" w:color="auto"/>
            <w:right w:val="none" w:sz="0" w:space="0" w:color="auto"/>
          </w:divBdr>
        </w:div>
        <w:div w:id="1679306662">
          <w:marLeft w:val="0"/>
          <w:marRight w:val="0"/>
          <w:marTop w:val="0"/>
          <w:marBottom w:val="0"/>
          <w:divBdr>
            <w:top w:val="none" w:sz="0" w:space="0" w:color="auto"/>
            <w:left w:val="none" w:sz="0" w:space="0" w:color="auto"/>
            <w:bottom w:val="none" w:sz="0" w:space="0" w:color="auto"/>
            <w:right w:val="none" w:sz="0" w:space="0" w:color="auto"/>
          </w:divBdr>
        </w:div>
        <w:div w:id="378633875">
          <w:marLeft w:val="0"/>
          <w:marRight w:val="0"/>
          <w:marTop w:val="0"/>
          <w:marBottom w:val="0"/>
          <w:divBdr>
            <w:top w:val="none" w:sz="0" w:space="0" w:color="auto"/>
            <w:left w:val="none" w:sz="0" w:space="0" w:color="auto"/>
            <w:bottom w:val="none" w:sz="0" w:space="0" w:color="auto"/>
            <w:right w:val="none" w:sz="0" w:space="0" w:color="auto"/>
          </w:divBdr>
        </w:div>
        <w:div w:id="864712911">
          <w:marLeft w:val="0"/>
          <w:marRight w:val="0"/>
          <w:marTop w:val="0"/>
          <w:marBottom w:val="0"/>
          <w:divBdr>
            <w:top w:val="none" w:sz="0" w:space="0" w:color="auto"/>
            <w:left w:val="none" w:sz="0" w:space="0" w:color="auto"/>
            <w:bottom w:val="none" w:sz="0" w:space="0" w:color="auto"/>
            <w:right w:val="none" w:sz="0" w:space="0" w:color="auto"/>
          </w:divBdr>
        </w:div>
      </w:divsChild>
    </w:div>
    <w:div w:id="1129712005">
      <w:bodyDiv w:val="1"/>
      <w:marLeft w:val="0"/>
      <w:marRight w:val="0"/>
      <w:marTop w:val="0"/>
      <w:marBottom w:val="0"/>
      <w:divBdr>
        <w:top w:val="none" w:sz="0" w:space="0" w:color="auto"/>
        <w:left w:val="none" w:sz="0" w:space="0" w:color="auto"/>
        <w:bottom w:val="none" w:sz="0" w:space="0" w:color="auto"/>
        <w:right w:val="none" w:sz="0" w:space="0" w:color="auto"/>
      </w:divBdr>
    </w:div>
    <w:div w:id="1192496760">
      <w:bodyDiv w:val="1"/>
      <w:marLeft w:val="0"/>
      <w:marRight w:val="0"/>
      <w:marTop w:val="0"/>
      <w:marBottom w:val="0"/>
      <w:divBdr>
        <w:top w:val="none" w:sz="0" w:space="0" w:color="auto"/>
        <w:left w:val="none" w:sz="0" w:space="0" w:color="auto"/>
        <w:bottom w:val="none" w:sz="0" w:space="0" w:color="auto"/>
        <w:right w:val="none" w:sz="0" w:space="0" w:color="auto"/>
      </w:divBdr>
    </w:div>
    <w:div w:id="1227959035">
      <w:bodyDiv w:val="1"/>
      <w:marLeft w:val="0"/>
      <w:marRight w:val="0"/>
      <w:marTop w:val="0"/>
      <w:marBottom w:val="0"/>
      <w:divBdr>
        <w:top w:val="none" w:sz="0" w:space="0" w:color="auto"/>
        <w:left w:val="none" w:sz="0" w:space="0" w:color="auto"/>
        <w:bottom w:val="none" w:sz="0" w:space="0" w:color="auto"/>
        <w:right w:val="none" w:sz="0" w:space="0" w:color="auto"/>
      </w:divBdr>
    </w:div>
    <w:div w:id="1255628806">
      <w:bodyDiv w:val="1"/>
      <w:marLeft w:val="0"/>
      <w:marRight w:val="0"/>
      <w:marTop w:val="0"/>
      <w:marBottom w:val="0"/>
      <w:divBdr>
        <w:top w:val="none" w:sz="0" w:space="0" w:color="auto"/>
        <w:left w:val="none" w:sz="0" w:space="0" w:color="auto"/>
        <w:bottom w:val="none" w:sz="0" w:space="0" w:color="auto"/>
        <w:right w:val="none" w:sz="0" w:space="0" w:color="auto"/>
      </w:divBdr>
    </w:div>
    <w:div w:id="1699886694">
      <w:bodyDiv w:val="1"/>
      <w:marLeft w:val="0"/>
      <w:marRight w:val="0"/>
      <w:marTop w:val="0"/>
      <w:marBottom w:val="0"/>
      <w:divBdr>
        <w:top w:val="none" w:sz="0" w:space="0" w:color="auto"/>
        <w:left w:val="none" w:sz="0" w:space="0" w:color="auto"/>
        <w:bottom w:val="none" w:sz="0" w:space="0" w:color="auto"/>
        <w:right w:val="none" w:sz="0" w:space="0" w:color="auto"/>
      </w:divBdr>
    </w:div>
    <w:div w:id="1731614245">
      <w:bodyDiv w:val="1"/>
      <w:marLeft w:val="0"/>
      <w:marRight w:val="0"/>
      <w:marTop w:val="0"/>
      <w:marBottom w:val="0"/>
      <w:divBdr>
        <w:top w:val="none" w:sz="0" w:space="0" w:color="auto"/>
        <w:left w:val="none" w:sz="0" w:space="0" w:color="auto"/>
        <w:bottom w:val="none" w:sz="0" w:space="0" w:color="auto"/>
        <w:right w:val="none" w:sz="0" w:space="0" w:color="auto"/>
      </w:divBdr>
    </w:div>
    <w:div w:id="1765564076">
      <w:bodyDiv w:val="1"/>
      <w:marLeft w:val="0"/>
      <w:marRight w:val="0"/>
      <w:marTop w:val="0"/>
      <w:marBottom w:val="0"/>
      <w:divBdr>
        <w:top w:val="none" w:sz="0" w:space="0" w:color="auto"/>
        <w:left w:val="none" w:sz="0" w:space="0" w:color="auto"/>
        <w:bottom w:val="none" w:sz="0" w:space="0" w:color="auto"/>
        <w:right w:val="none" w:sz="0" w:space="0" w:color="auto"/>
      </w:divBdr>
    </w:div>
    <w:div w:id="1799950509">
      <w:bodyDiv w:val="1"/>
      <w:marLeft w:val="0"/>
      <w:marRight w:val="0"/>
      <w:marTop w:val="0"/>
      <w:marBottom w:val="0"/>
      <w:divBdr>
        <w:top w:val="none" w:sz="0" w:space="0" w:color="auto"/>
        <w:left w:val="none" w:sz="0" w:space="0" w:color="auto"/>
        <w:bottom w:val="none" w:sz="0" w:space="0" w:color="auto"/>
        <w:right w:val="none" w:sz="0" w:space="0" w:color="auto"/>
      </w:divBdr>
    </w:div>
    <w:div w:id="1852447489">
      <w:bodyDiv w:val="1"/>
      <w:marLeft w:val="0"/>
      <w:marRight w:val="0"/>
      <w:marTop w:val="0"/>
      <w:marBottom w:val="0"/>
      <w:divBdr>
        <w:top w:val="none" w:sz="0" w:space="0" w:color="auto"/>
        <w:left w:val="none" w:sz="0" w:space="0" w:color="auto"/>
        <w:bottom w:val="none" w:sz="0" w:space="0" w:color="auto"/>
        <w:right w:val="none" w:sz="0" w:space="0" w:color="auto"/>
      </w:divBdr>
    </w:div>
    <w:div w:id="1878666119">
      <w:bodyDiv w:val="1"/>
      <w:marLeft w:val="0"/>
      <w:marRight w:val="0"/>
      <w:marTop w:val="0"/>
      <w:marBottom w:val="0"/>
      <w:divBdr>
        <w:top w:val="none" w:sz="0" w:space="0" w:color="auto"/>
        <w:left w:val="none" w:sz="0" w:space="0" w:color="auto"/>
        <w:bottom w:val="none" w:sz="0" w:space="0" w:color="auto"/>
        <w:right w:val="none" w:sz="0" w:space="0" w:color="auto"/>
      </w:divBdr>
    </w:div>
    <w:div w:id="2002807540">
      <w:bodyDiv w:val="1"/>
      <w:marLeft w:val="0"/>
      <w:marRight w:val="0"/>
      <w:marTop w:val="0"/>
      <w:marBottom w:val="0"/>
      <w:divBdr>
        <w:top w:val="none" w:sz="0" w:space="0" w:color="auto"/>
        <w:left w:val="none" w:sz="0" w:space="0" w:color="auto"/>
        <w:bottom w:val="none" w:sz="0" w:space="0" w:color="auto"/>
        <w:right w:val="none" w:sz="0" w:space="0" w:color="auto"/>
      </w:divBdr>
    </w:div>
    <w:div w:id="2005430636">
      <w:bodyDiv w:val="1"/>
      <w:marLeft w:val="0"/>
      <w:marRight w:val="0"/>
      <w:marTop w:val="0"/>
      <w:marBottom w:val="0"/>
      <w:divBdr>
        <w:top w:val="none" w:sz="0" w:space="0" w:color="auto"/>
        <w:left w:val="none" w:sz="0" w:space="0" w:color="auto"/>
        <w:bottom w:val="none" w:sz="0" w:space="0" w:color="auto"/>
        <w:right w:val="none" w:sz="0" w:space="0" w:color="auto"/>
      </w:divBdr>
    </w:div>
    <w:div w:id="2026514418">
      <w:bodyDiv w:val="1"/>
      <w:marLeft w:val="0"/>
      <w:marRight w:val="0"/>
      <w:marTop w:val="0"/>
      <w:marBottom w:val="0"/>
      <w:divBdr>
        <w:top w:val="none" w:sz="0" w:space="0" w:color="auto"/>
        <w:left w:val="none" w:sz="0" w:space="0" w:color="auto"/>
        <w:bottom w:val="none" w:sz="0" w:space="0" w:color="auto"/>
        <w:right w:val="none" w:sz="0" w:space="0" w:color="auto"/>
      </w:divBdr>
    </w:div>
    <w:div w:id="2063868081">
      <w:bodyDiv w:val="1"/>
      <w:marLeft w:val="0"/>
      <w:marRight w:val="0"/>
      <w:marTop w:val="0"/>
      <w:marBottom w:val="0"/>
      <w:divBdr>
        <w:top w:val="none" w:sz="0" w:space="0" w:color="auto"/>
        <w:left w:val="none" w:sz="0" w:space="0" w:color="auto"/>
        <w:bottom w:val="none" w:sz="0" w:space="0" w:color="auto"/>
        <w:right w:val="none" w:sz="0" w:space="0" w:color="auto"/>
      </w:divBdr>
      <w:divsChild>
        <w:div w:id="226651857">
          <w:marLeft w:val="0"/>
          <w:marRight w:val="0"/>
          <w:marTop w:val="0"/>
          <w:marBottom w:val="0"/>
          <w:divBdr>
            <w:top w:val="none" w:sz="0" w:space="0" w:color="auto"/>
            <w:left w:val="none" w:sz="0" w:space="0" w:color="auto"/>
            <w:bottom w:val="none" w:sz="0" w:space="0" w:color="auto"/>
            <w:right w:val="none" w:sz="0" w:space="0" w:color="auto"/>
          </w:divBdr>
        </w:div>
      </w:divsChild>
    </w:div>
    <w:div w:id="212326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hyperlink" Target="https://macrotrends.net/stocks/charts/UNH/unitedhealth-group/financial-statements" TargetMode="Externa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hyperlink" Target="https://www.unitedhealthgroup.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s://www.unitedhealthgroup.com/content/dam/UHG/PDF/investors/2024/UNH-Q4-2024-Form-10-K.pdf" TargetMode="Externa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hyperlink" Target="https://www.unitedhealthgroup.com/content/dam/UHG/PDF/investors/2023/UNH-Q4-2023-Release.pdf" TargetMode="External"/><Relationship Id="rId4" Type="http://schemas.openxmlformats.org/officeDocument/2006/relationships/webSettings" Target="webSettings.xml"/><Relationship Id="rId9" Type="http://schemas.openxmlformats.org/officeDocument/2006/relationships/hyperlink" Target="https://www.sec.gov" TargetMode="External"/><Relationship Id="rId14" Type="http://schemas.openxmlformats.org/officeDocument/2006/relationships/hyperlink" Target="https://www.unitedhealthgroup.com/investors/financial-reports.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indureddy\Downloads\Assignment%204%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indureddy\Downloads\Assignment%204%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r2090\Desktop\UNT_Courses\BI%20Fondations\Assigment_4\Assignment%204%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indureddy\Downloads\Assignment%204%20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Membership!$A$3</c:f>
              <c:strCache>
                <c:ptCount val="1"/>
                <c:pt idx="0">
                  <c:v>Optum Health (Lives Served)</c:v>
                </c:pt>
              </c:strCache>
            </c:strRef>
          </c:tx>
          <c:spPr>
            <a:ln w="34925" cap="rnd">
              <a:solidFill>
                <a:schemeClr val="lt1"/>
              </a:solidFill>
              <a:round/>
            </a:ln>
            <a:effectLst>
              <a:outerShdw dist="25400" dir="2700000" algn="tl" rotWithShape="0">
                <a:schemeClr val="accent4"/>
              </a:outerShdw>
            </a:effectLst>
          </c:spPr>
          <c:marker>
            <c:symbol val="none"/>
          </c:marker>
          <c:cat>
            <c:numRef>
              <c:f>Membership!$B$2:$F$2</c:f>
              <c:numCache>
                <c:formatCode>General</c:formatCode>
                <c:ptCount val="5"/>
                <c:pt idx="0">
                  <c:v>2020</c:v>
                </c:pt>
                <c:pt idx="1">
                  <c:v>2021</c:v>
                </c:pt>
                <c:pt idx="2">
                  <c:v>2022</c:v>
                </c:pt>
                <c:pt idx="3">
                  <c:v>2023</c:v>
                </c:pt>
                <c:pt idx="4">
                  <c:v>2024</c:v>
                </c:pt>
              </c:numCache>
            </c:numRef>
          </c:cat>
          <c:val>
            <c:numRef>
              <c:f>Membership!$B$3:$F$3</c:f>
              <c:numCache>
                <c:formatCode>General</c:formatCode>
                <c:ptCount val="5"/>
                <c:pt idx="0">
                  <c:v>98</c:v>
                </c:pt>
                <c:pt idx="1">
                  <c:v>100</c:v>
                </c:pt>
                <c:pt idx="2">
                  <c:v>102</c:v>
                </c:pt>
                <c:pt idx="3">
                  <c:v>103</c:v>
                </c:pt>
                <c:pt idx="4">
                  <c:v>100</c:v>
                </c:pt>
              </c:numCache>
            </c:numRef>
          </c:val>
          <c:smooth val="0"/>
          <c:extLst>
            <c:ext xmlns:c16="http://schemas.microsoft.com/office/drawing/2014/chart" uri="{C3380CC4-5D6E-409C-BE32-E72D297353CC}">
              <c16:uniqueId val="{00000000-27B8-2F49-BD3C-1331C53C62F2}"/>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1791108255"/>
        <c:axId val="1643518239"/>
      </c:lineChart>
      <c:catAx>
        <c:axId val="1791108255"/>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1643518239"/>
        <c:crosses val="autoZero"/>
        <c:auto val="1"/>
        <c:lblAlgn val="ctr"/>
        <c:lblOffset val="100"/>
        <c:noMultiLvlLbl val="0"/>
      </c:catAx>
      <c:valAx>
        <c:axId val="1643518239"/>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IN MILLIONS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179110825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legend>
    <c:plotVisOnly val="1"/>
    <c:dispBlanksAs val="gap"/>
    <c:showDLblsOverMax val="0"/>
  </c:chart>
  <c:spPr>
    <a:solidFill>
      <a:schemeClr val="accent4"/>
    </a:solidFill>
    <a:ln w="9525" cap="flat" cmpd="sng" algn="ctr">
      <a:solidFill>
        <a:schemeClr val="accent4"/>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Membership!$A$5</c:f>
              <c:strCache>
                <c:ptCount val="1"/>
                <c:pt idx="0">
                  <c:v>Domestic Memberships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Membership!$B$2:$F$2</c:f>
              <c:numCache>
                <c:formatCode>General</c:formatCode>
                <c:ptCount val="5"/>
                <c:pt idx="0">
                  <c:v>2020</c:v>
                </c:pt>
                <c:pt idx="1">
                  <c:v>2021</c:v>
                </c:pt>
                <c:pt idx="2">
                  <c:v>2022</c:v>
                </c:pt>
                <c:pt idx="3">
                  <c:v>2023</c:v>
                </c:pt>
                <c:pt idx="4">
                  <c:v>2024</c:v>
                </c:pt>
              </c:numCache>
            </c:numRef>
          </c:cat>
          <c:val>
            <c:numRef>
              <c:f>Membership!$B$5:$F$5</c:f>
              <c:numCache>
                <c:formatCode>General</c:formatCode>
                <c:ptCount val="5"/>
                <c:pt idx="0">
                  <c:v>43</c:v>
                </c:pt>
                <c:pt idx="1">
                  <c:v>45</c:v>
                </c:pt>
                <c:pt idx="2">
                  <c:v>46</c:v>
                </c:pt>
                <c:pt idx="3">
                  <c:v>47</c:v>
                </c:pt>
                <c:pt idx="4">
                  <c:v>49</c:v>
                </c:pt>
              </c:numCache>
            </c:numRef>
          </c:val>
          <c:extLst>
            <c:ext xmlns:c16="http://schemas.microsoft.com/office/drawing/2014/chart" uri="{C3380CC4-5D6E-409C-BE32-E72D297353CC}">
              <c16:uniqueId val="{00000000-5DE8-7640-912F-06D31EEE86EA}"/>
            </c:ext>
          </c:extLst>
        </c:ser>
        <c:dLbls>
          <c:showLegendKey val="0"/>
          <c:showVal val="0"/>
          <c:showCatName val="0"/>
          <c:showSerName val="0"/>
          <c:showPercent val="0"/>
          <c:showBubbleSize val="0"/>
        </c:dLbls>
        <c:gapWidth val="100"/>
        <c:overlap val="-24"/>
        <c:axId val="1654784223"/>
        <c:axId val="1654784703"/>
      </c:barChart>
      <c:catAx>
        <c:axId val="1654784223"/>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54784703"/>
        <c:crosses val="autoZero"/>
        <c:auto val="1"/>
        <c:lblAlgn val="ctr"/>
        <c:lblOffset val="100"/>
        <c:noMultiLvlLbl val="0"/>
      </c:catAx>
      <c:valAx>
        <c:axId val="1654784703"/>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In</a:t>
                </a:r>
                <a:r>
                  <a:rPr lang="en-US" baseline="0"/>
                  <a:t> millions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547842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Medicaid VS Medicare Advantage Plans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Membership!$A$6</c:f>
              <c:strCache>
                <c:ptCount val="1"/>
                <c:pt idx="0">
                  <c:v>Medicaid Plans</c:v>
                </c:pt>
              </c:strCache>
            </c:strRef>
          </c:tx>
          <c:spPr>
            <a:ln w="22225" cap="rnd">
              <a:solidFill>
                <a:schemeClr val="accent2"/>
              </a:solidFill>
            </a:ln>
            <a:effectLst>
              <a:glow rad="139700">
                <a:schemeClr val="accent2">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Membership!$B$2:$F$2</c:f>
              <c:numCache>
                <c:formatCode>General</c:formatCode>
                <c:ptCount val="5"/>
                <c:pt idx="0">
                  <c:v>2020</c:v>
                </c:pt>
                <c:pt idx="1">
                  <c:v>2021</c:v>
                </c:pt>
                <c:pt idx="2">
                  <c:v>2022</c:v>
                </c:pt>
                <c:pt idx="3">
                  <c:v>2023</c:v>
                </c:pt>
                <c:pt idx="4">
                  <c:v>2024</c:v>
                </c:pt>
              </c:numCache>
            </c:numRef>
          </c:cat>
          <c:val>
            <c:numRef>
              <c:f>Membership!$B$6:$F$6</c:f>
              <c:numCache>
                <c:formatCode>General</c:formatCode>
                <c:ptCount val="5"/>
                <c:pt idx="0">
                  <c:v>6.6</c:v>
                </c:pt>
                <c:pt idx="1">
                  <c:v>7.6</c:v>
                </c:pt>
                <c:pt idx="2">
                  <c:v>8.1</c:v>
                </c:pt>
                <c:pt idx="3">
                  <c:v>7.8</c:v>
                </c:pt>
                <c:pt idx="4">
                  <c:v>7.4</c:v>
                </c:pt>
              </c:numCache>
            </c:numRef>
          </c:val>
          <c:smooth val="0"/>
          <c:extLst>
            <c:ext xmlns:c16="http://schemas.microsoft.com/office/drawing/2014/chart" uri="{C3380CC4-5D6E-409C-BE32-E72D297353CC}">
              <c16:uniqueId val="{00000000-F535-476E-8385-68645AB3A74B}"/>
            </c:ext>
          </c:extLst>
        </c:ser>
        <c:ser>
          <c:idx val="1"/>
          <c:order val="1"/>
          <c:tx>
            <c:strRef>
              <c:f>Membership!$A$7</c:f>
              <c:strCache>
                <c:ptCount val="1"/>
                <c:pt idx="0">
                  <c:v>Medicare Advantage Plans</c:v>
                </c:pt>
              </c:strCache>
            </c:strRef>
          </c:tx>
          <c:spPr>
            <a:ln w="22225" cap="rnd">
              <a:solidFill>
                <a:schemeClr val="accent4"/>
              </a:solidFill>
            </a:ln>
            <a:effectLst>
              <a:glow rad="139700">
                <a:schemeClr val="accent4">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Membership!$B$2:$F$2</c:f>
              <c:numCache>
                <c:formatCode>General</c:formatCode>
                <c:ptCount val="5"/>
                <c:pt idx="0">
                  <c:v>2020</c:v>
                </c:pt>
                <c:pt idx="1">
                  <c:v>2021</c:v>
                </c:pt>
                <c:pt idx="2">
                  <c:v>2022</c:v>
                </c:pt>
                <c:pt idx="3">
                  <c:v>2023</c:v>
                </c:pt>
                <c:pt idx="4">
                  <c:v>2024</c:v>
                </c:pt>
              </c:numCache>
            </c:numRef>
          </c:cat>
          <c:val>
            <c:numRef>
              <c:f>Membership!$B$7:$F$7</c:f>
              <c:numCache>
                <c:formatCode>General</c:formatCode>
                <c:ptCount val="5"/>
                <c:pt idx="0">
                  <c:v>5.7</c:v>
                </c:pt>
                <c:pt idx="1">
                  <c:v>6.4</c:v>
                </c:pt>
                <c:pt idx="2">
                  <c:v>7.1</c:v>
                </c:pt>
                <c:pt idx="3">
                  <c:v>7.6</c:v>
                </c:pt>
                <c:pt idx="4">
                  <c:v>7.8</c:v>
                </c:pt>
              </c:numCache>
            </c:numRef>
          </c:val>
          <c:smooth val="0"/>
          <c:extLst>
            <c:ext xmlns:c16="http://schemas.microsoft.com/office/drawing/2014/chart" uri="{C3380CC4-5D6E-409C-BE32-E72D297353CC}">
              <c16:uniqueId val="{00000001-F535-476E-8385-68645AB3A74B}"/>
            </c:ext>
          </c:extLst>
        </c:ser>
        <c:dLbls>
          <c:dLblPos val="ctr"/>
          <c:showLegendKey val="0"/>
          <c:showVal val="1"/>
          <c:showCatName val="0"/>
          <c:showSerName val="0"/>
          <c:showPercent val="0"/>
          <c:showBubbleSize val="0"/>
        </c:dLbls>
        <c:smooth val="0"/>
        <c:axId val="1752968735"/>
        <c:axId val="759229888"/>
      </c:lineChart>
      <c:catAx>
        <c:axId val="1752968735"/>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59229888"/>
        <c:crosses val="autoZero"/>
        <c:auto val="1"/>
        <c:lblAlgn val="ctr"/>
        <c:lblOffset val="100"/>
        <c:noMultiLvlLbl val="0"/>
      </c:catAx>
      <c:valAx>
        <c:axId val="75922988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ENROLLMENT COUNT IN MILLIONS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5296873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Revenue vs. Operating Income: 2020–2024 Analysis</a:t>
            </a:r>
          </a:p>
        </c:rich>
      </c:tx>
      <c:layout>
        <c:manualLayout>
          <c:xMode val="edge"/>
          <c:yMode val="edge"/>
          <c:x val="0.15143744531933509"/>
          <c:y val="4.6296296296296294E-2"/>
        </c:manualLayout>
      </c:layout>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'Income Statement '!$A$3</c:f>
              <c:strCache>
                <c:ptCount val="1"/>
                <c:pt idx="0">
                  <c:v>Revenue</c:v>
                </c:pt>
              </c:strCache>
            </c:strRef>
          </c:tx>
          <c:spPr>
            <a:solidFill>
              <a:schemeClr val="accent1"/>
            </a:solidFill>
            <a:ln>
              <a:noFill/>
            </a:ln>
            <a:effectLst/>
            <a:sp3d/>
          </c:spPr>
          <c:invertIfNegative val="0"/>
          <c:cat>
            <c:numRef>
              <c:f>'Income Statement '!$B$2:$K$2</c:f>
              <c:numCache>
                <c:formatCode>0</c:formatCode>
                <c:ptCount val="10"/>
                <c:pt idx="0">
                  <c:v>2020</c:v>
                </c:pt>
                <c:pt idx="1">
                  <c:v>2021</c:v>
                </c:pt>
                <c:pt idx="2">
                  <c:v>2022</c:v>
                </c:pt>
                <c:pt idx="3">
                  <c:v>2023</c:v>
                </c:pt>
                <c:pt idx="4">
                  <c:v>2024</c:v>
                </c:pt>
              </c:numCache>
            </c:numRef>
          </c:cat>
          <c:val>
            <c:numRef>
              <c:f>'Income Statement '!$B$3:$K$3</c:f>
              <c:numCache>
                <c:formatCode>0</c:formatCode>
                <c:ptCount val="10"/>
                <c:pt idx="0">
                  <c:v>257141</c:v>
                </c:pt>
                <c:pt idx="1">
                  <c:v>287597</c:v>
                </c:pt>
                <c:pt idx="2">
                  <c:v>324162</c:v>
                </c:pt>
                <c:pt idx="3">
                  <c:v>371622</c:v>
                </c:pt>
                <c:pt idx="4">
                  <c:v>400278</c:v>
                </c:pt>
              </c:numCache>
            </c:numRef>
          </c:val>
          <c:extLst>
            <c:ext xmlns:c16="http://schemas.microsoft.com/office/drawing/2014/chart" uri="{C3380CC4-5D6E-409C-BE32-E72D297353CC}">
              <c16:uniqueId val="{00000000-61F0-7443-9B1E-5034FFF384AD}"/>
            </c:ext>
          </c:extLst>
        </c:ser>
        <c:ser>
          <c:idx val="1"/>
          <c:order val="1"/>
          <c:tx>
            <c:strRef>
              <c:f>'Income Statement '!$A$8</c:f>
              <c:strCache>
                <c:ptCount val="1"/>
                <c:pt idx="0">
                  <c:v>Operating Income</c:v>
                </c:pt>
              </c:strCache>
            </c:strRef>
          </c:tx>
          <c:spPr>
            <a:solidFill>
              <a:schemeClr val="accent2"/>
            </a:solidFill>
            <a:ln>
              <a:noFill/>
            </a:ln>
            <a:effectLst/>
            <a:sp3d/>
          </c:spPr>
          <c:invertIfNegative val="0"/>
          <c:cat>
            <c:numRef>
              <c:f>'Income Statement '!$B$2:$K$2</c:f>
              <c:numCache>
                <c:formatCode>0</c:formatCode>
                <c:ptCount val="10"/>
                <c:pt idx="0">
                  <c:v>2020</c:v>
                </c:pt>
                <c:pt idx="1">
                  <c:v>2021</c:v>
                </c:pt>
                <c:pt idx="2">
                  <c:v>2022</c:v>
                </c:pt>
                <c:pt idx="3">
                  <c:v>2023</c:v>
                </c:pt>
                <c:pt idx="4">
                  <c:v>2024</c:v>
                </c:pt>
              </c:numCache>
            </c:numRef>
          </c:cat>
          <c:val>
            <c:numRef>
              <c:f>'Income Statement '!$B$8:$K$8</c:f>
              <c:numCache>
                <c:formatCode>0</c:formatCode>
                <c:ptCount val="10"/>
                <c:pt idx="0">
                  <c:v>22405</c:v>
                </c:pt>
                <c:pt idx="1">
                  <c:v>23970</c:v>
                </c:pt>
                <c:pt idx="2">
                  <c:v>28435</c:v>
                </c:pt>
                <c:pt idx="3">
                  <c:v>32358</c:v>
                </c:pt>
                <c:pt idx="4">
                  <c:v>32287</c:v>
                </c:pt>
              </c:numCache>
            </c:numRef>
          </c:val>
          <c:extLst>
            <c:ext xmlns:c16="http://schemas.microsoft.com/office/drawing/2014/chart" uri="{C3380CC4-5D6E-409C-BE32-E72D297353CC}">
              <c16:uniqueId val="{00000001-61F0-7443-9B1E-5034FFF384AD}"/>
            </c:ext>
          </c:extLst>
        </c:ser>
        <c:dLbls>
          <c:showLegendKey val="0"/>
          <c:showVal val="0"/>
          <c:showCatName val="0"/>
          <c:showSerName val="0"/>
          <c:showPercent val="0"/>
          <c:showBubbleSize val="0"/>
        </c:dLbls>
        <c:gapWidth val="150"/>
        <c:shape val="box"/>
        <c:axId val="1778224463"/>
        <c:axId val="1778224943"/>
        <c:axId val="0"/>
      </c:bar3DChart>
      <c:catAx>
        <c:axId val="1778224463"/>
        <c:scaling>
          <c:orientation val="minMax"/>
        </c:scaling>
        <c:delete val="0"/>
        <c:axPos val="b"/>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778224943"/>
        <c:crosses val="autoZero"/>
        <c:auto val="1"/>
        <c:lblAlgn val="ctr"/>
        <c:lblOffset val="100"/>
        <c:noMultiLvlLbl val="0"/>
      </c:catAx>
      <c:valAx>
        <c:axId val="17782249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8224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7f4b8a2-ad4f-41b5-9a91-284d2cc38f56}" enabled="1" method="Privilege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8</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Battula, Indu</dc:creator>
  <cp:keywords/>
  <dc:description/>
  <cp:lastModifiedBy>Ramachandra Reddy, Anushareddy</cp:lastModifiedBy>
  <cp:revision>2</cp:revision>
  <dcterms:created xsi:type="dcterms:W3CDTF">2025-07-10T22:39:00Z</dcterms:created>
  <dcterms:modified xsi:type="dcterms:W3CDTF">2025-07-10T22:39:00Z</dcterms:modified>
</cp:coreProperties>
</file>