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48"/>
          <w:szCs w:val="48"/>
        </w:rPr>
        <w:t xml:space="preserve">Evidence, Not Commands: A Deterministic-First Multi-Agent Framework for Cross-Service Root Cause Analysis and Human-Governed Remediation in Financial Microservices</w:t>
      </w:r>
    </w:p>
    <w:p>
      <w:pPr>
        <w:spacing w:after="120" w:line="259"/>
        <w:jc w:val="both"/>
      </w:pPr>
      <w:r>
        <w:rPr>
          <w:rFonts w:ascii="Times New Roman" w:cs="Times New Roman" w:eastAsia="Times New Roman" w:hAnsi="Times New Roman"/>
          <w:b/>
          <w:bCs/>
          <w:sz w:val="20"/>
          <w:szCs w:val="20"/>
        </w:rPr>
        <w:t xml:space="preserve">Anushk Agrawal, Bhoomi Airen, Abhijay Krishnan</w:t>
      </w:r>
      <w:r>
        <w:rPr>
          <w:rFonts w:ascii="Times New Roman" w:cs="Times New Roman" w:eastAsia="Times New Roman" w:hAnsi="Times New Roman"/>
          <w:sz w:val="20"/>
          <w:szCs w:val="20"/>
        </w:rPr>
        <w:t xml:space="preserve"> Department of Computer Engineering, Mukesh Patel School of Technology Management &amp; Engineering, NMIMS, Mumbai, India</w:t>
      </w:r>
    </w:p>
    <w:p>
      <w:pPr>
        <w:spacing w:after="120" w:line="259"/>
        <w:jc w:val="both"/>
      </w:pPr>
      <w:r>
        <w:rPr>
          <w:rFonts w:ascii="Times New Roman" w:cs="Times New Roman" w:eastAsia="Times New Roman" w:hAnsi="Times New Roman"/>
          <w:b/>
          <w:bCs/>
          <w:sz w:val="20"/>
          <w:szCs w:val="20"/>
        </w:rPr>
        <w:t xml:space="preserve">Guide:</w:t>
      </w:r>
      <w:r>
        <w:rPr>
          <w:rFonts w:ascii="Times New Roman" w:cs="Times New Roman" w:eastAsia="Times New Roman" w:hAnsi="Times New Roman"/>
          <w:sz w:val="20"/>
          <w:szCs w:val="20"/>
        </w:rPr>
        <w:t xml:space="preserve"> Prof. Shakila Shaikh, Department of Computer Engineering, MPSTME, NMIMS, Mumbai, India</w:t>
      </w:r>
    </w:p>
    <w:p>
      <w:pPr>
        <w:pBdr>
          <w:bottom w:val="single" w:color="AAAAAA" w:sz="6" w:space="1"/>
        </w:pBdr>
        <w:spacing w:after="120" w:before="120"/>
      </w:pPr>
    </w:p>
    <w:p>
      <w:pPr>
        <w:pBdr>
          <w:left w:val="single" w:color="C00000" w:sz="12" w:space="8"/>
        </w:pBdr>
        <w:spacing w:after="80"/>
        <w:ind w:left="360"/>
      </w:pPr>
      <w:r>
        <w:rPr>
          <w:rFonts w:ascii="Times New Roman" w:cs="Times New Roman" w:eastAsia="Times New Roman" w:hAnsi="Times New Roman"/>
          <w:b/>
          <w:bCs/>
          <w:color w:val="7A0000"/>
          <w:sz w:val="20"/>
          <w:szCs w:val="20"/>
        </w:rPr>
        <w:t xml:space="preserve">Drafting note for the authors (delete before submission).</w:t>
      </w:r>
      <w:r>
        <w:rPr>
          <w:rFonts w:ascii="Times New Roman" w:cs="Times New Roman" w:eastAsia="Times New Roman" w:hAnsi="Times New Roman"/>
          <w:color w:val="7A0000"/>
          <w:sz w:val="20"/>
          <w:szCs w:val="20"/>
        </w:rPr>
        <w:t xml:space="preserve"> Every quantitative statement in this</w:t>
      </w:r>
    </w:p>
    <w:p>
      <w:pPr>
        <w:pBdr>
          <w:left w:val="single" w:color="C00000" w:sz="12" w:space="8"/>
        </w:pBdr>
        <w:spacing w:after="80"/>
        <w:ind w:left="360"/>
      </w:pPr>
      <w:r>
        <w:rPr>
          <w:rFonts w:ascii="Times New Roman" w:cs="Times New Roman" w:eastAsia="Times New Roman" w:hAnsi="Times New Roman"/>
          <w:color w:val="7A0000"/>
          <w:sz w:val="20"/>
          <w:szCs w:val="20"/>
        </w:rPr>
        <w:t xml:space="preserve">draft is traceable to a committed artefact under </w:t>
      </w:r>
      <w:r>
        <w:rPr>
          <w:rFonts w:ascii="Consolas" w:cs="Consolas" w:eastAsia="Consolas" w:hAnsi="Consolas"/>
          <w:color w:val="7A0000"/>
          <w:sz w:val="18"/>
          <w:szCs w:val="18"/>
        </w:rPr>
        <w:t xml:space="preserve">docs/evaluation/</w:t>
      </w:r>
      <w:r>
        <w:rPr>
          <w:rFonts w:ascii="Times New Roman" w:cs="Times New Roman" w:eastAsia="Times New Roman" w:hAnsi="Times New Roman"/>
          <w:color w:val="7A0000"/>
          <w:sz w:val="20"/>
          <w:szCs w:val="20"/>
        </w:rPr>
        <w:t xml:space="preserve">. Numbers are not to be edited</w:t>
      </w:r>
    </w:p>
    <w:p>
      <w:pPr>
        <w:pBdr>
          <w:left w:val="single" w:color="C00000" w:sz="12" w:space="8"/>
        </w:pBdr>
        <w:spacing w:after="80"/>
        <w:ind w:left="360"/>
      </w:pPr>
      <w:r>
        <w:rPr>
          <w:rFonts w:ascii="Times New Roman" w:cs="Times New Roman" w:eastAsia="Times New Roman" w:hAnsi="Times New Roman"/>
          <w:color w:val="7A0000"/>
          <w:sz w:val="20"/>
          <w:szCs w:val="20"/>
        </w:rPr>
        <w:t xml:space="preserve">by hand: </w:t>
      </w:r>
      <w:r>
        <w:rPr>
          <w:rFonts w:ascii="Consolas" w:cs="Consolas" w:eastAsia="Consolas" w:hAnsi="Consolas"/>
          <w:color w:val="7A0000"/>
          <w:sz w:val="18"/>
          <w:szCs w:val="18"/>
        </w:rPr>
        <w:t xml:space="preserve">ai-orchestration/tests/test_paper_claims_match_artefacts.py</w:t>
      </w:r>
      <w:r>
        <w:rPr>
          <w:rFonts w:ascii="Times New Roman" w:cs="Times New Roman" w:eastAsia="Times New Roman" w:hAnsi="Times New Roman"/>
          <w:color w:val="7A0000"/>
          <w:sz w:val="20"/>
          <w:szCs w:val="20"/>
        </w:rPr>
        <w:t xml:space="preserve"> re-derives them from</w:t>
      </w:r>
    </w:p>
    <w:p>
      <w:pPr>
        <w:pBdr>
          <w:left w:val="single" w:color="C00000" w:sz="12" w:space="8"/>
        </w:pBdr>
        <w:spacing w:after="80"/>
        <w:ind w:left="360"/>
      </w:pPr>
      <w:r>
        <w:rPr>
          <w:rFonts w:ascii="Consolas" w:cs="Consolas" w:eastAsia="Consolas" w:hAnsi="Consolas"/>
          <w:color w:val="7A0000"/>
          <w:sz w:val="18"/>
          <w:szCs w:val="18"/>
        </w:rPr>
        <w:t xml:space="preserve">metrics.json</w:t>
      </w:r>
      <w:r>
        <w:rPr>
          <w:rFonts w:ascii="Times New Roman" w:cs="Times New Roman" w:eastAsia="Times New Roman" w:hAnsi="Times New Roman"/>
          <w:color w:val="7A0000"/>
          <w:sz w:val="20"/>
          <w:szCs w:val="20"/>
        </w:rPr>
        <w:t xml:space="preserve"> and fails if the prose and the artefacts disagree. Placeholders requiring your</w:t>
      </w:r>
    </w:p>
    <w:p>
      <w:pPr>
        <w:pBdr>
          <w:left w:val="single" w:color="C00000" w:sz="12" w:space="8"/>
        </w:pBdr>
        <w:spacing w:after="80"/>
        <w:ind w:left="360"/>
      </w:pPr>
      <w:r>
        <w:rPr>
          <w:rFonts w:ascii="Times New Roman" w:cs="Times New Roman" w:eastAsia="Times New Roman" w:hAnsi="Times New Roman"/>
          <w:color w:val="7A0000"/>
          <w:sz w:val="20"/>
          <w:szCs w:val="20"/>
        </w:rPr>
        <w:t xml:space="preserve">action are marked </w:t>
      </w:r>
      <w:r>
        <w:rPr>
          <w:rFonts w:ascii="Times New Roman" w:cs="Times New Roman" w:eastAsia="Times New Roman" w:hAnsi="Times New Roman"/>
          <w:b/>
          <w:bCs/>
          <w:color w:val="7A0000"/>
          <w:sz w:val="20"/>
          <w:szCs w:val="20"/>
        </w:rPr>
        <w:t xml:space="preserve">[AUTHOR]</w:t>
      </w:r>
      <w:r>
        <w:rPr>
          <w:rFonts w:ascii="Times New Roman" w:cs="Times New Roman" w:eastAsia="Times New Roman" w:hAnsi="Times New Roman"/>
          <w:color w:val="7A0000"/>
          <w:sz w:val="20"/>
          <w:szCs w:val="20"/>
        </w:rPr>
        <w:t xml:space="preserve">.</w:t>
      </w:r>
    </w:p>
    <w:p>
      <w:pPr>
        <w:pBdr>
          <w:left w:val="single" w:color="C00000" w:sz="12" w:space="8"/>
        </w:pBdr>
        <w:spacing w:after="80"/>
        <w:ind w:left="360"/>
      </w:pPr>
      <w:r>
        <w:rPr>
          <w:rFonts w:ascii="Times New Roman" w:cs="Times New Roman" w:eastAsia="Times New Roman" w:hAnsi="Times New Roman"/>
          <w:b/>
          <w:bCs/>
          <w:color w:val="7A0000"/>
          <w:sz w:val="20"/>
          <w:szCs w:val="20"/>
        </w:rPr>
        <w:t xml:space="preserve">Figure inventory.</w:t>
      </w:r>
      <w:r>
        <w:rPr>
          <w:rFonts w:ascii="Times New Roman" w:cs="Times New Roman" w:eastAsia="Times New Roman" w:hAnsi="Times New Roman"/>
          <w:color w:val="7A0000"/>
          <w:sz w:val="20"/>
          <w:szCs w:val="20"/>
        </w:rPr>
        <w:t xml:space="preserve"> Eight figures are slotted, each with an HTML comment giving placement,</w:t>
      </w:r>
    </w:p>
    <w:p>
      <w:pPr>
        <w:pBdr>
          <w:left w:val="single" w:color="C00000" w:sz="12" w:space="8"/>
        </w:pBdr>
        <w:spacing w:after="80"/>
        <w:ind w:left="360"/>
      </w:pPr>
      <w:r>
        <w:rPr>
          <w:rFonts w:ascii="Times New Roman" w:cs="Times New Roman" w:eastAsia="Times New Roman" w:hAnsi="Times New Roman"/>
          <w:color w:val="7A0000"/>
          <w:sz w:val="20"/>
          <w:szCs w:val="20"/>
        </w:rPr>
        <w:t xml:space="preserve">column width and a pre-submission checklist. Captions are written; the artwork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Fig.</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Subject</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Section</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System architecture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You have it</w:t>
            </w:r>
            <w:r>
              <w:rPr>
                <w:rFonts w:ascii="Times New Roman" w:cs="Times New Roman" w:eastAsia="Times New Roman" w:hAnsi="Times New Roman"/>
                <w:sz w:val="20"/>
                <w:szCs w:val="20"/>
              </w:rPr>
              <w:t xml:space="preserve"> — check item (e), the operator as an external actor</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III-A</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Pipeline control flow</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You have it</w:t>
            </w:r>
            <w:r>
              <w:rPr>
                <w:rFonts w:ascii="Times New Roman" w:cs="Times New Roman" w:eastAsia="Times New Roman" w:hAnsi="Times New Roman"/>
                <w:sz w:val="20"/>
                <w:szCs w:val="20"/>
              </w:rPr>
              <w:t xml:space="preserve"> — check item (d), the advisory retrieval edge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III-A</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Cross-service fault propagation</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Render from </w:t>
            </w:r>
            <w:r>
              <w:rPr>
                <w:rFonts w:ascii="Consolas" w:cs="Consolas" w:eastAsia="Consolas" w:hAnsi="Consolas"/>
                <w:sz w:val="18"/>
                <w:szCs w:val="18"/>
              </w:rPr>
              <w:t xml:space="preserve">diagrams.md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III-B</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Dataset construction and leakage barrier</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Render from </w:t>
            </w:r>
            <w:r>
              <w:rPr>
                <w:rFonts w:ascii="Consolas" w:cs="Consolas" w:eastAsia="Consolas" w:hAnsi="Consolas"/>
                <w:sz w:val="18"/>
                <w:szCs w:val="18"/>
              </w:rPr>
              <w:t xml:space="preserve">diagrams.md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IV-C</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comparison</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PNG exists; </w:t>
            </w:r>
            <w:r>
              <w:rPr>
                <w:rFonts w:ascii="Times New Roman" w:cs="Times New Roman" w:eastAsia="Times New Roman" w:hAnsi="Times New Roman"/>
                <w:b/>
                <w:bCs/>
                <w:sz w:val="20"/>
                <w:szCs w:val="20"/>
              </w:rPr>
              <w:t xml:space="preserve">add error bars</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V-A</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Negative control by phase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Generate from </w:t>
            </w:r>
            <w:r>
              <w:rPr>
                <w:rFonts w:ascii="Consolas" w:cs="Consolas" w:eastAsia="Consolas" w:hAnsi="Consolas"/>
                <w:sz w:val="18"/>
                <w:szCs w:val="18"/>
              </w:rPr>
              <w:t xml:space="preserve">negative_control.json</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V-D</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Ablation summary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Generate from the two ablation metric files</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VI-A</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Cost per incident</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PNG exists</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VII-D</w:t>
            </w:r>
          </w:p>
        </w:tc>
      </w:tr>
    </w:tbl>
    <w:p>
      <w:pPr>
        <w:spacing w:after="120"/>
      </w:pPr>
    </w:p>
    <w:p>
      <w:pPr>
        <w:pBdr>
          <w:left w:val="single" w:color="C00000" w:sz="12" w:space="8"/>
        </w:pBdr>
        <w:spacing w:after="80"/>
        <w:ind w:left="360"/>
      </w:pPr>
      <w:r>
        <w:rPr>
          <w:rFonts w:ascii="Times New Roman" w:cs="Times New Roman" w:eastAsia="Times New Roman" w:hAnsi="Times New Roman"/>
          <w:color w:val="7A0000"/>
          <w:sz w:val="20"/>
          <w:szCs w:val="20"/>
        </w:rPr>
        <w:t xml:space="preserve">Eight figures suits 14–15 pages. If you must cut, cut 8 then 5; keep 1, 2, 3 and 7. Figure 7</w:t>
      </w:r>
    </w:p>
    <w:p>
      <w:pPr>
        <w:pBdr>
          <w:left w:val="single" w:color="C00000" w:sz="12" w:space="8"/>
        </w:pBdr>
        <w:spacing w:after="80"/>
        <w:ind w:left="360"/>
      </w:pPr>
      <w:r>
        <w:rPr>
          <w:rFonts w:ascii="Times New Roman" w:cs="Times New Roman" w:eastAsia="Times New Roman" w:hAnsi="Times New Roman"/>
          <w:color w:val="7A0000"/>
          <w:sz w:val="20"/>
          <w:szCs w:val="20"/>
        </w:rPr>
        <w:t xml:space="preserve">carries Finding B1 and Figure 3 defines the problem the paper exists to solve.</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ABSTRACT</w:t>
      </w:r>
    </w:p>
    <w:p>
      <w:pPr>
        <w:spacing w:after="120" w:line="259"/>
        <w:jc w:val="both"/>
      </w:pPr>
      <w:r>
        <w:rPr>
          <w:rFonts w:ascii="Times New Roman" w:cs="Times New Roman" w:eastAsia="Times New Roman" w:hAnsi="Times New Roman"/>
          <w:sz w:val="20"/>
          <w:szCs w:val="20"/>
        </w:rPr>
        <w:t xml:space="preserve">Modern financial platforms are built as networks of interdependent microservices, in which a fault originating in one service frequently manifests as an observable symptom in a different service. Automated diagnosis systems that reason primarily from the symptomatic service, or that defer to historical precedent retrieved by similarity, systematically attribute such faults to the wrong component. We present a deterministic-first multi-agent framework in which anomaly detection, root-cause inference, remediation proposal, safety validation, human approval, execution and recovery verification are separate stages of an explicitly checkpointed state graph. The framework is organised around one architectural constraint: retrieved historical incidents are treated as evidence that may adjust confidence, and are never permitted to override a conclusion reached deterministically from telemetry. Remediation actions are produced by a fault-type lookup with no model call, safety rules are evaluated without any AI component, and execution is physically unreachable without an external human approval signal.</w:t>
      </w:r>
    </w:p>
    <w:p>
      <w:pPr>
        <w:spacing w:after="120" w:line="259"/>
        <w:jc w:val="both"/>
      </w:pPr>
      <w:r>
        <w:rPr>
          <w:rFonts w:ascii="Times New Roman" w:cs="Times New Roman" w:eastAsia="Times New Roman" w:hAnsi="Times New Roman"/>
          <w:sz w:val="20"/>
          <w:szCs w:val="20"/>
        </w:rPr>
        <w:t xml:space="preserve">We evaluate the framework on 48 held-out incidents spanning four controlled fault types, two of which are cross-service, against a single-agent large language model baseline that shares every non-diagnostic stage of the pipeline, so that the isolated variable is agent decomposition rather than retrieval or downstream governance. On the incidents both arms answered, the multi-agent pipeline was correct on 10 of 10 against 6 of 10 for the baseline. On cross-service faults specifically it was correct on 4 of 4 against 0 of 4, with the baseline naming the symptomatic service on every one (Fisher exact, two-sided, p = 0.0286). The arms were indistinguishable on same-service faults, so the entire difference is confined to incidents where the service reporting the symptom is not the service at fault.</w:t>
      </w:r>
    </w:p>
    <w:p>
      <w:pPr>
        <w:spacing w:after="120" w:line="259"/>
        <w:jc w:val="both"/>
      </w:pPr>
      <w:r>
        <w:rPr>
          <w:rFonts w:ascii="Times New Roman" w:cs="Times New Roman" w:eastAsia="Times New Roman" w:hAnsi="Times New Roman"/>
          <w:sz w:val="20"/>
          <w:szCs w:val="20"/>
        </w:rPr>
        <w:t xml:space="preserve">Two ablations establish that this difference is architectural rather than incidental. Disabling retrieval entirely leaves all 48 multi-agent diagnoses unchanged, showing that retrieval contributes no diagnostic accuracy and that the advantage derives from refusing to defer to it. Permitting retrieval to override a deterministic match reconstructs the conventional retrieval-first design and reproduces the single-agent baseline exactly, to four decimal places on every metric.</w:t>
      </w:r>
    </w:p>
    <w:p>
      <w:pPr>
        <w:spacing w:after="120" w:line="259"/>
        <w:jc w:val="both"/>
      </w:pPr>
      <w:r>
        <w:rPr>
          <w:rFonts w:ascii="Times New Roman" w:cs="Times New Roman" w:eastAsia="Times New Roman" w:hAnsi="Times New Roman"/>
          <w:sz w:val="20"/>
          <w:szCs w:val="20"/>
        </w:rPr>
        <w:t xml:space="preserve">We report three findings that qualify these results. Detection, not diagnosis, was the binding constraint: the shared detector surfaced only 10 of 48 incidents, so both arms abstained on 79.2%. A negative control on healthy telemetry gives a 4.17% false-positive rate on normal-phase records but 27.08% on post-recovery records, indicating that the system continues to alarm after a fault has been cleared. Finally, the conventional hallucination metric, defined as citing a metric absent from the evidence, reports 0% for a baseline that was demonstrably misrepresenting the significance of metrics that were present; we propose a stronger measure that reports 10.0% on the same responses and show that even it is a demonstrable lower bound.</w:t>
      </w:r>
    </w:p>
    <w:p>
      <w:pPr>
        <w:spacing w:after="120" w:line="259"/>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 — AIOps, root cause analysis, microservices, multi-agent systems, large language models, retrieval-augmented generation, human-in-the-loop, self-healing systems, financial systems, fault injection.</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I. INTRODUCTION</w:t>
      </w:r>
    </w:p>
    <w:p>
      <w:pPr>
        <w:pStyle w:val="Heading2"/>
        <w:spacing w:after="120" w:before="240"/>
        <w:jc w:val="left"/>
      </w:pPr>
      <w:r>
        <w:rPr>
          <w:rFonts w:ascii="Times New Roman" w:cs="Times New Roman" w:eastAsia="Times New Roman" w:hAnsi="Times New Roman"/>
          <w:b w:val="false"/>
          <w:bCs w:val="false"/>
          <w:i/>
          <w:iCs/>
          <w:sz w:val="21"/>
          <w:szCs w:val="21"/>
        </w:rPr>
        <w:t xml:space="preserve">A. Motivation</w:t>
      </w:r>
    </w:p>
    <w:p>
      <w:pPr>
        <w:spacing w:after="120" w:line="259"/>
        <w:jc w:val="both"/>
      </w:pPr>
      <w:r>
        <w:rPr>
          <w:rFonts w:ascii="Times New Roman" w:cs="Times New Roman" w:eastAsia="Times New Roman" w:hAnsi="Times New Roman"/>
          <w:sz w:val="20"/>
          <w:szCs w:val="20"/>
        </w:rPr>
        <w:t xml:space="preserve">Financial technology platforms have converged on microservice architectures to obtain independent deployability, fault isolation and horizontal scalability under transaction volumes that monolithic designs cannot sustain [18], [21]. The same decomposition that delivers these properties also distributes the evidence required to diagnose a failure. A single fault propagates along synchronous call chains and surfaces as a symptom in a service that is itself healthy.</w:t>
      </w:r>
    </w:p>
    <w:p>
      <w:pPr>
        <w:spacing w:after="120" w:line="259"/>
        <w:jc w:val="both"/>
      </w:pPr>
      <w:r>
        <w:rPr>
          <w:rFonts w:ascii="Times New Roman" w:cs="Times New Roman" w:eastAsia="Times New Roman" w:hAnsi="Times New Roman"/>
          <w:sz w:val="20"/>
          <w:szCs w:val="20"/>
        </w:rPr>
        <w:t xml:space="preserve">Operational reliability in this domain is not a secondary engineering concern. Payment authorisation, ledger settlement and fraud screening are subject to availability and auditability obligations, and an outage carries direct financial and regulatory consequence [15], [16], [18]. Where a remediation action can restart a service holding uncommitted transactional state, the cost of an incorrect automated decision is not merely a prolonged outage but a potential integrity violation.</w:t>
      </w:r>
    </w:p>
    <w:p>
      <w:pPr>
        <w:pStyle w:val="Heading2"/>
        <w:spacing w:after="120" w:before="240"/>
        <w:jc w:val="left"/>
      </w:pPr>
      <w:r>
        <w:rPr>
          <w:rFonts w:ascii="Times New Roman" w:cs="Times New Roman" w:eastAsia="Times New Roman" w:hAnsi="Times New Roman"/>
          <w:b w:val="false"/>
          <w:bCs w:val="false"/>
          <w:i/>
          <w:iCs/>
          <w:sz w:val="21"/>
          <w:szCs w:val="21"/>
        </w:rPr>
        <w:t xml:space="preserve">B. The problem with the obvious approach</w:t>
      </w:r>
    </w:p>
    <w:p>
      <w:pPr>
        <w:spacing w:after="120" w:line="259"/>
        <w:jc w:val="both"/>
      </w:pPr>
      <w:r>
        <w:rPr>
          <w:rFonts w:ascii="Times New Roman" w:cs="Times New Roman" w:eastAsia="Times New Roman" w:hAnsi="Times New Roman"/>
          <w:sz w:val="20"/>
          <w:szCs w:val="20"/>
        </w:rPr>
        <w:t xml:space="preserve">The intuitive application of large language models to this problem is to present an agent with the telemetry of the service that raised the alert, together with similar historical incidents retrieved by embedding similarity, and to ask it to name a root cause and an action. This design fails on precisely the class of fault that matters most, and it fails systematically rather than randomly.</w:t>
      </w:r>
    </w:p>
    <w:p>
      <w:pPr>
        <w:spacing w:after="120" w:line="259"/>
        <w:jc w:val="both"/>
      </w:pPr>
      <w:r>
        <w:rPr>
          <w:rFonts w:ascii="Times New Roman" w:cs="Times New Roman" w:eastAsia="Times New Roman" w:hAnsi="Times New Roman"/>
          <w:sz w:val="20"/>
          <w:szCs w:val="20"/>
        </w:rPr>
        <w:t xml:space="preserve">The failure has two compounding sources. First, the telemetry presented is that of the symptomatic service, which for a cross-service fault is not the faulty one. Second, retrieval by similarity over symptom-service telemetry returns incidents that share surface features with the query, which are disproportionately incidents whose root cause </w:t>
      </w:r>
      <w:r>
        <w:rPr>
          <w:rFonts w:ascii="Times New Roman" w:cs="Times New Roman" w:eastAsia="Times New Roman" w:hAnsi="Times New Roman"/>
          <w:i/>
          <w:iCs/>
          <w:sz w:val="20"/>
          <w:szCs w:val="20"/>
        </w:rPr>
        <w:t xml:space="preserve">is</w:t>
      </w:r>
      <w:r>
        <w:rPr>
          <w:rFonts w:ascii="Times New Roman" w:cs="Times New Roman" w:eastAsia="Times New Roman" w:hAnsi="Times New Roman"/>
          <w:sz w:val="20"/>
          <w:szCs w:val="20"/>
        </w:rPr>
        <w:t xml:space="preserve"> the symptom service. The agent then reasons correctly from precedent that happens to be wrong.</w:t>
      </w:r>
    </w:p>
    <w:p>
      <w:pPr>
        <w:spacing w:after="120" w:line="259"/>
        <w:jc w:val="both"/>
      </w:pPr>
      <w:r>
        <w:rPr>
          <w:rFonts w:ascii="Times New Roman" w:cs="Times New Roman" w:eastAsia="Times New Roman" w:hAnsi="Times New Roman"/>
          <w:sz w:val="20"/>
          <w:szCs w:val="20"/>
        </w:rPr>
        <w:t xml:space="preserve">This is not a hypothetical failure mode. Independent work reports the same pattern from a different direction: OperAID [4] finds that when large language model agents are denied live observability, 95.3% of their failures are confident diagnoses of plausible but incorrect root causes, and argues that text-similarity scoring would rate such responses favourably while execution shows complete failure. The gap between plausibility and functionality is the central evaluation problem in this area.</w:t>
      </w:r>
    </w:p>
    <w:p>
      <w:pPr>
        <w:pStyle w:val="Heading2"/>
        <w:spacing w:after="120" w:before="240"/>
        <w:jc w:val="left"/>
      </w:pPr>
      <w:r>
        <w:rPr>
          <w:rFonts w:ascii="Times New Roman" w:cs="Times New Roman" w:eastAsia="Times New Roman" w:hAnsi="Times New Roman"/>
          <w:b w:val="false"/>
          <w:bCs w:val="false"/>
          <w:i/>
          <w:iCs/>
          <w:sz w:val="21"/>
          <w:szCs w:val="21"/>
        </w:rPr>
        <w:t xml:space="preserve">C. Research questions</w:t>
      </w:r>
    </w:p>
    <w:p>
      <w:pPr>
        <w:pStyle w:val="ListParagraph"/>
        <w:numPr>
          <w:ilvl w:val="0"/>
          <w:numId w:val="1"/>
        </w:numPr>
        <w:spacing w:after="8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Does decomposing diagnosis into deterministic inference with retrieval as advisory evidence improve root-cause identification over a single-agent model given identical evidence, and is any improvement confined to cross-service faults?</w:t>
      </w:r>
    </w:p>
    <w:p>
      <w:pPr>
        <w:pStyle w:val="ListParagraph"/>
        <w:numPr>
          <w:ilvl w:val="0"/>
          <w:numId w:val="1"/>
        </w:numPr>
        <w:spacing w:after="8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Is the improvement attributable to the architectural constraint on retrieval, or to retrieval itself?</w:t>
      </w:r>
    </w:p>
    <w:p>
      <w:pPr>
        <w:pStyle w:val="ListParagraph"/>
        <w:numPr>
          <w:ilvl w:val="0"/>
          <w:numId w:val="1"/>
        </w:numPr>
        <w:spacing w:after="8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What are the operational limits of the resulting system in terms of detection coverage, false alarms on healthy telemetry, and computational cost?</w:t>
      </w:r>
    </w:p>
    <w:p>
      <w:pPr>
        <w:pStyle w:val="Heading2"/>
        <w:spacing w:after="120" w:before="240"/>
        <w:jc w:val="left"/>
      </w:pPr>
      <w:r>
        <w:rPr>
          <w:rFonts w:ascii="Times New Roman" w:cs="Times New Roman" w:eastAsia="Times New Roman" w:hAnsi="Times New Roman"/>
          <w:b w:val="false"/>
          <w:bCs w:val="false"/>
          <w:i/>
          <w:iCs/>
          <w:sz w:val="21"/>
          <w:szCs w:val="21"/>
        </w:rPr>
        <w:t xml:space="preserve">D. Contributions</w:t>
      </w:r>
    </w:p>
    <w:p>
      <w:pPr>
        <w:pStyle w:val="ListParagraph"/>
        <w:numPr>
          <w:ilvl w:val="0"/>
          <w:numId w:val="2"/>
        </w:numPr>
        <w:spacing w:after="80"/>
        <w:jc w:val="both"/>
      </w:pPr>
      <w:r>
        <w:rPr>
          <w:rFonts w:ascii="Times New Roman" w:cs="Times New Roman" w:eastAsia="Times New Roman" w:hAnsi="Times New Roman"/>
          <w:b/>
          <w:bCs/>
          <w:sz w:val="20"/>
          <w:szCs w:val="20"/>
        </w:rPr>
        <w:t xml:space="preserve">A deterministic-first pipeline in which retrieval is architecturally advisory.</w:t>
      </w:r>
      <w:r>
        <w:rPr>
          <w:rFonts w:ascii="Times New Roman" w:cs="Times New Roman" w:eastAsia="Times New Roman" w:hAnsi="Times New Roman"/>
          <w:sz w:val="20"/>
          <w:szCs w:val="20"/>
        </w:rPr>
        <w:t xml:space="preserve"> Root cause is determined by fault-signature matching against documented thresholds; retrieved incidents may raise or lower recorded confidence but cannot change the conclusion. We show this constraint, rather than retrieval, is the entire measured difference between the arms (Section VI).</w:t>
      </w:r>
    </w:p>
    <w:p>
      <w:pPr>
        <w:pStyle w:val="ListParagraph"/>
        <w:numPr>
          <w:ilvl w:val="0"/>
          <w:numId w:val="2"/>
        </w:numPr>
        <w:spacing w:after="80"/>
        <w:jc w:val="both"/>
      </w:pPr>
      <w:r>
        <w:rPr>
          <w:rFonts w:ascii="Times New Roman" w:cs="Times New Roman" w:eastAsia="Times New Roman" w:hAnsi="Times New Roman"/>
          <w:b/>
          <w:bCs/>
          <w:sz w:val="20"/>
          <w:szCs w:val="20"/>
        </w:rPr>
        <w:t xml:space="preserve">Governance as a structural property rather than a convention.</w:t>
      </w:r>
      <w:r>
        <w:rPr>
          <w:rFonts w:ascii="Times New Roman" w:cs="Times New Roman" w:eastAsia="Times New Roman" w:hAnsi="Times New Roman"/>
          <w:sz w:val="20"/>
          <w:szCs w:val="20"/>
        </w:rPr>
        <w:t xml:space="preserve"> Safety validation contains no AI component and is evaluated before a human is consulted; the workflow graph cannot advance past the approval stage without an external resume signal; each remediation retry raises a fresh approval rather than inheriting one. Across the reported evaluation, executions without approval were zero by measurement, not by assertion.</w:t>
      </w:r>
    </w:p>
    <w:p>
      <w:pPr>
        <w:pStyle w:val="ListParagraph"/>
        <w:numPr>
          <w:ilvl w:val="0"/>
          <w:numId w:val="2"/>
        </w:numPr>
        <w:spacing w:after="80"/>
        <w:jc w:val="both"/>
      </w:pPr>
      <w:r>
        <w:rPr>
          <w:rFonts w:ascii="Times New Roman" w:cs="Times New Roman" w:eastAsia="Times New Roman" w:hAnsi="Times New Roman"/>
          <w:b/>
          <w:bCs/>
          <w:sz w:val="20"/>
          <w:szCs w:val="20"/>
        </w:rPr>
        <w:t xml:space="preserve">A controlled architectural ablation.</w:t>
      </w:r>
      <w:r>
        <w:rPr>
          <w:rFonts w:ascii="Times New Roman" w:cs="Times New Roman" w:eastAsia="Times New Roman" w:hAnsi="Times New Roman"/>
          <w:sz w:val="20"/>
          <w:szCs w:val="20"/>
        </w:rPr>
        <w:t xml:space="preserve"> We reconstruct the conventional retrieval-first design inside the same codebase and show it reproduces the single-agent baseline exactly, converting an attribution argument into a controlled result.</w:t>
      </w:r>
    </w:p>
    <w:p>
      <w:pPr>
        <w:pStyle w:val="ListParagraph"/>
        <w:numPr>
          <w:ilvl w:val="0"/>
          <w:numId w:val="2"/>
        </w:numPr>
        <w:spacing w:after="80"/>
        <w:jc w:val="both"/>
      </w:pPr>
      <w:r>
        <w:rPr>
          <w:rFonts w:ascii="Times New Roman" w:cs="Times New Roman" w:eastAsia="Times New Roman" w:hAnsi="Times New Roman"/>
          <w:b/>
          <w:bCs/>
          <w:sz w:val="20"/>
          <w:szCs w:val="20"/>
        </w:rPr>
        <w:t xml:space="preserve">A critique of hallucination measurement in operational settings,</w:t>
      </w:r>
      <w:r>
        <w:rPr>
          <w:rFonts w:ascii="Times New Roman" w:cs="Times New Roman" w:eastAsia="Times New Roman" w:hAnsi="Times New Roman"/>
          <w:sz w:val="20"/>
          <w:szCs w:val="20"/>
        </w:rPr>
        <w:t xml:space="preserve"> with a stronger measure, and a demonstration that our own stronger measure remains a lower bound for a specific and reproducible parsing reason.</w:t>
      </w:r>
    </w:p>
    <w:p>
      <w:pPr>
        <w:pStyle w:val="ListParagraph"/>
        <w:numPr>
          <w:ilvl w:val="0"/>
          <w:numId w:val="2"/>
        </w:numPr>
        <w:spacing w:after="80"/>
        <w:jc w:val="both"/>
      </w:pPr>
      <w:r>
        <w:rPr>
          <w:rFonts w:ascii="Times New Roman" w:cs="Times New Roman" w:eastAsia="Times New Roman" w:hAnsi="Times New Roman"/>
          <w:b/>
          <w:bCs/>
          <w:sz w:val="20"/>
          <w:szCs w:val="20"/>
        </w:rPr>
        <w:t xml:space="preserve">A negative control on healthy telemetry,</w:t>
      </w:r>
      <w:r>
        <w:rPr>
          <w:rFonts w:ascii="Times New Roman" w:cs="Times New Roman" w:eastAsia="Times New Roman" w:hAnsi="Times New Roman"/>
          <w:sz w:val="20"/>
          <w:szCs w:val="20"/>
        </w:rPr>
        <w:t xml:space="preserve"> which surfaces a post-recovery false-alarm rate six times higher than the normal-phase rate.</w:t>
      </w:r>
    </w:p>
    <w:p>
      <w:pPr>
        <w:pStyle w:val="Heading2"/>
        <w:spacing w:after="120" w:before="240"/>
        <w:jc w:val="left"/>
      </w:pPr>
      <w:r>
        <w:rPr>
          <w:rFonts w:ascii="Times New Roman" w:cs="Times New Roman" w:eastAsia="Times New Roman" w:hAnsi="Times New Roman"/>
          <w:b w:val="false"/>
          <w:bCs w:val="false"/>
          <w:i/>
          <w:iCs/>
          <w:sz w:val="21"/>
          <w:szCs w:val="21"/>
        </w:rPr>
        <w:t xml:space="preserve">E. What this paper does not claim</w:t>
      </w:r>
    </w:p>
    <w:p>
      <w:pPr>
        <w:spacing w:after="120" w:line="259"/>
        <w:jc w:val="both"/>
      </w:pPr>
      <w:r>
        <w:rPr>
          <w:rFonts w:ascii="Times New Roman" w:cs="Times New Roman" w:eastAsia="Times New Roman" w:hAnsi="Times New Roman"/>
          <w:sz w:val="20"/>
          <w:szCs w:val="20"/>
        </w:rPr>
        <w:t xml:space="preserve">We state the boundaries before the results, because several are consequential.</w:t>
      </w:r>
    </w:p>
    <w:p>
      <w:pPr>
        <w:pStyle w:val="ListParagraph"/>
        <w:numPr>
          <w:ilvl w:val="0"/>
          <w:numId w:val="1"/>
        </w:numPr>
        <w:spacing w:after="80"/>
        <w:jc w:val="both"/>
      </w:pPr>
      <w:r>
        <w:rPr>
          <w:rFonts w:ascii="Times New Roman" w:cs="Times New Roman" w:eastAsia="Times New Roman" w:hAnsi="Times New Roman"/>
          <w:b/>
          <w:bCs/>
          <w:sz w:val="20"/>
          <w:szCs w:val="20"/>
        </w:rPr>
        <w:t xml:space="preserve">Not that the absolute accuracy generalises.</w:t>
      </w:r>
      <w:r>
        <w:rPr>
          <w:rFonts w:ascii="Times New Roman" w:cs="Times New Roman" w:eastAsia="Times New Roman" w:hAnsi="Times New Roman"/>
          <w:sz w:val="20"/>
          <w:szCs w:val="20"/>
        </w:rPr>
        <w:t xml:space="preserve"> The reported corpus is synthetic, and the generator's fault formulas share constants with the diagnostic thresholds. The comparison between arms is unaffected, since both received byte-identical inputs; the absolute figure is not a capability claim. LATS-RCA [3] reports 91.3% on an open benchmark against 65.1% on real production incidents, and treats that gap as its finding; we expect a comparable gap.</w:t>
      </w:r>
    </w:p>
    <w:p>
      <w:pPr>
        <w:pStyle w:val="ListParagraph"/>
        <w:numPr>
          <w:ilvl w:val="0"/>
          <w:numId w:val="1"/>
        </w:numPr>
        <w:spacing w:after="80"/>
        <w:jc w:val="both"/>
      </w:pPr>
      <w:r>
        <w:rPr>
          <w:rFonts w:ascii="Times New Roman" w:cs="Times New Roman" w:eastAsia="Times New Roman" w:hAnsi="Times New Roman"/>
          <w:b/>
          <w:bCs/>
          <w:sz w:val="20"/>
          <w:szCs w:val="20"/>
        </w:rPr>
        <w:t xml:space="preserve">Not that the system achieves high coverage.</w:t>
      </w:r>
      <w:r>
        <w:rPr>
          <w:rFonts w:ascii="Times New Roman" w:cs="Times New Roman" w:eastAsia="Times New Roman" w:hAnsi="Times New Roman"/>
          <w:sz w:val="20"/>
          <w:szCs w:val="20"/>
        </w:rPr>
        <w:t xml:space="preserve"> Measured over all incidents rather than answered ones, accuracy is 20.8%, because detection surfaced only 10 of 48.</w:t>
      </w:r>
    </w:p>
    <w:p>
      <w:pPr>
        <w:pStyle w:val="ListParagraph"/>
        <w:numPr>
          <w:ilvl w:val="0"/>
          <w:numId w:val="1"/>
        </w:numPr>
        <w:spacing w:after="80"/>
        <w:jc w:val="both"/>
      </w:pPr>
      <w:r>
        <w:rPr>
          <w:rFonts w:ascii="Times New Roman" w:cs="Times New Roman" w:eastAsia="Times New Roman" w:hAnsi="Times New Roman"/>
          <w:b/>
          <w:bCs/>
          <w:sz w:val="20"/>
          <w:szCs w:val="20"/>
        </w:rPr>
        <w:t xml:space="preserve">Not that unsafe-action prevention is demonstrated.</w:t>
      </w:r>
      <w:r>
        <w:rPr>
          <w:rFonts w:ascii="Times New Roman" w:cs="Times New Roman" w:eastAsia="Times New Roman" w:hAnsi="Times New Roman"/>
          <w:sz w:val="20"/>
          <w:szCs w:val="20"/>
        </w:rPr>
        <w:t xml:space="preserve"> The count is zero. Dry-run execution never failed, so no retry escalated to the high-risk action the ledger-service rule guards.</w:t>
      </w:r>
    </w:p>
    <w:p>
      <w:pPr>
        <w:pStyle w:val="ListParagraph"/>
        <w:numPr>
          <w:ilvl w:val="0"/>
          <w:numId w:val="1"/>
        </w:numPr>
        <w:spacing w:after="80"/>
        <w:jc w:val="both"/>
      </w:pPr>
      <w:r>
        <w:rPr>
          <w:rFonts w:ascii="Times New Roman" w:cs="Times New Roman" w:eastAsia="Times New Roman" w:hAnsi="Times New Roman"/>
          <w:b/>
          <w:bCs/>
          <w:sz w:val="20"/>
          <w:szCs w:val="20"/>
        </w:rPr>
        <w:t xml:space="preserve">Not that the local model is adequate for narration.</w:t>
      </w:r>
      <w:r>
        <w:rPr>
          <w:rFonts w:ascii="Times New Roman" w:cs="Times New Roman" w:eastAsia="Times New Roman" w:hAnsi="Times New Roman"/>
          <w:sz w:val="20"/>
          <w:szCs w:val="20"/>
        </w:rPr>
        <w:t xml:space="preserve"> It exceeded a 30-second timeout on 9 of 10 incidents. That the diagnostic accuracy was unaffected is a claim about the architecture, not about the model.</w:t>
      </w:r>
    </w:p>
    <w:p>
      <w:pPr>
        <w:pStyle w:val="Heading2"/>
        <w:spacing w:after="120" w:before="240"/>
        <w:jc w:val="left"/>
      </w:pPr>
      <w:r>
        <w:rPr>
          <w:rFonts w:ascii="Times New Roman" w:cs="Times New Roman" w:eastAsia="Times New Roman" w:hAnsi="Times New Roman"/>
          <w:b w:val="false"/>
          <w:bCs w:val="false"/>
          <w:i/>
          <w:iCs/>
          <w:sz w:val="21"/>
          <w:szCs w:val="21"/>
        </w:rPr>
        <w:t xml:space="preserve">F. Organisation</w:t>
      </w:r>
    </w:p>
    <w:p>
      <w:pPr>
        <w:spacing w:after="120" w:line="259"/>
        <w:jc w:val="both"/>
      </w:pPr>
      <w:r>
        <w:rPr>
          <w:rFonts w:ascii="Times New Roman" w:cs="Times New Roman" w:eastAsia="Times New Roman" w:hAnsi="Times New Roman"/>
          <w:sz w:val="20"/>
          <w:szCs w:val="20"/>
        </w:rPr>
        <w:t xml:space="preserve">Section II reviews related work. Section III presents the framework. Section IV describes the dataset, baseline and experimental protocol. Section V reports results, Section VI the ablations, Section VII discusses implications, Section VIII threats to validity, and Section IX concludes.</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II. RELATED WORK</w:t>
      </w:r>
    </w:p>
    <w:p>
      <w:pPr>
        <w:pStyle w:val="Heading2"/>
        <w:spacing w:after="120" w:before="240"/>
        <w:jc w:val="left"/>
      </w:pPr>
      <w:r>
        <w:rPr>
          <w:rFonts w:ascii="Times New Roman" w:cs="Times New Roman" w:eastAsia="Times New Roman" w:hAnsi="Times New Roman"/>
          <w:b w:val="false"/>
          <w:bCs w:val="false"/>
          <w:i/>
          <w:iCs/>
          <w:sz w:val="21"/>
          <w:szCs w:val="21"/>
        </w:rPr>
        <w:t xml:space="preserve">A. Graph-based root cause localisation</w:t>
      </w:r>
    </w:p>
    <w:p>
      <w:pPr>
        <w:spacing w:after="120" w:line="259"/>
        <w:jc w:val="both"/>
      </w:pPr>
      <w:r>
        <w:rPr>
          <w:rFonts w:ascii="Times New Roman" w:cs="Times New Roman" w:eastAsia="Times New Roman" w:hAnsi="Times New Roman"/>
          <w:sz w:val="20"/>
          <w:szCs w:val="20"/>
        </w:rPr>
        <w:t xml:space="preserve">A substantial body of work formulates root cause analysis as inference over service-dependency or telemetry-correlation graphs. CausalRCA [5] unifies metrics, traces, logs and topology into a temporal causal candidate graph, adds retrieval-augmented incident reasoning, and reports 86.0% top-1 and 95.0% top-3 accuracy on DeathStarBench, with an ablation indicating that the retrieval module and the causal graph contribute complementary strengths across fault categories. GALR [7] fuses multimodal signals into a service call graph, applies a graph-attention module with temporal-aware edge attention, and injects LLM-derived anomaly and uncertainty scores into node representations. TransTVDiag [8] replaces a GraphSAGE encoder with a Graph Transformer using degree centrality and shortest-path structural encodings, improving hit ratio by 5.3% while reducing inference time by 83.8%. HEMA-RCL [6] organises hierarchical expert agents under a global orchestrator, reaching consensus through belief propagation with causal enhancement to reduce hub misidentification.</w:t>
      </w:r>
    </w:p>
    <w:p>
      <w:pPr>
        <w:spacing w:after="120" w:line="259"/>
        <w:jc w:val="both"/>
      </w:pPr>
      <w:r>
        <w:rPr>
          <w:rFonts w:ascii="Times New Roman" w:cs="Times New Roman" w:eastAsia="Times New Roman" w:hAnsi="Times New Roman"/>
          <w:sz w:val="20"/>
          <w:szCs w:val="20"/>
        </w:rPr>
        <w:t xml:space="preserve">These methods establish that precise localisation is achievable without deep application instrumentation. They also share a prerequisite that our setting does not satisfy: a populated dependency or correlation graph derived from distributed tracing across many services. Our system operates on four services and reaches the symptom-to-cause relation through a documented domain mapping instead. Section VII-E returns to this as a conceded limitation rather than a design advantage.</w:t>
      </w:r>
    </w:p>
    <w:p>
      <w:pPr>
        <w:pStyle w:val="Heading2"/>
        <w:spacing w:after="120" w:before="240"/>
        <w:jc w:val="left"/>
      </w:pPr>
      <w:r>
        <w:rPr>
          <w:rFonts w:ascii="Times New Roman" w:cs="Times New Roman" w:eastAsia="Times New Roman" w:hAnsi="Times New Roman"/>
          <w:b w:val="false"/>
          <w:bCs w:val="false"/>
          <w:i/>
          <w:iCs/>
          <w:sz w:val="21"/>
          <w:szCs w:val="21"/>
        </w:rPr>
        <w:t xml:space="preserve">B. Large language model agents for diagnosis and remediation</w:t>
      </w:r>
    </w:p>
    <w:p>
      <w:pPr>
        <w:spacing w:after="120" w:line="259"/>
        <w:jc w:val="both"/>
      </w:pPr>
      <w:r>
        <w:rPr>
          <w:rFonts w:ascii="Times New Roman" w:cs="Times New Roman" w:eastAsia="Times New Roman" w:hAnsi="Times New Roman"/>
          <w:sz w:val="20"/>
          <w:szCs w:val="20"/>
        </w:rPr>
        <w:t xml:space="preserve">LATS-RCA [3] formulates root cause analysis as a reflection-guided tree search over hypotheses, achieving 91.3% on the LO2 benchmark with small variance across frontier models, and reports both a computational cost analysis and a substantially lower 65.1% on real production incidents from a commercial web-hosting provider. OperAID [4] evaluates agents through a closed-loop pipeline of fault injection, diagnosis, remediation and execution-based verification on a live Open5GS Kubernetes deployment, finding across 900 experiments that tool access raises average success from 10.9% to 61.1% and that model size alone does not predict operational success. Souza and Colaço Júnior [10] conduct a randomised complete block design experiment over 360 executions in Kubernetes, reporting a 71.1% success rate for the strongest configuration against a computed random-chance baseline of 0.91%, and observing that smaller models incurred higher total cost through redundant reasoning cycles. AgentTrace [9] reconstructs causal graphs from execution logs to localise failures in deployed multi-agent workflows without requiring model inference at debugging time.</w:t>
      </w:r>
    </w:p>
    <w:p>
      <w:pPr>
        <w:spacing w:after="120" w:line="259"/>
        <w:jc w:val="both"/>
      </w:pPr>
      <w:r>
        <w:rPr>
          <w:rFonts w:ascii="Times New Roman" w:cs="Times New Roman" w:eastAsia="Times New Roman" w:hAnsi="Times New Roman"/>
          <w:sz w:val="20"/>
          <w:szCs w:val="20"/>
        </w:rPr>
        <w:t xml:space="preserve">Three methodological practices from this group inform our design directly: execution-based verification rather than output plausibility [4], explicit comparison against a computed random-chance baseline [10], and reporting the benchmark-to-production gap as a finding rather than a caveat [3].</w:t>
      </w:r>
    </w:p>
    <w:p>
      <w:pPr>
        <w:pStyle w:val="Heading2"/>
        <w:spacing w:after="120" w:before="240"/>
        <w:jc w:val="left"/>
      </w:pPr>
      <w:r>
        <w:rPr>
          <w:rFonts w:ascii="Times New Roman" w:cs="Times New Roman" w:eastAsia="Times New Roman" w:hAnsi="Times New Roman"/>
          <w:b w:val="false"/>
          <w:bCs w:val="false"/>
          <w:i/>
          <w:iCs/>
          <w:sz w:val="21"/>
          <w:szCs w:val="21"/>
        </w:rPr>
        <w:t xml:space="preserve">C. Self-healing architectures and autonomic computing</w:t>
      </w:r>
    </w:p>
    <w:p>
      <w:pPr>
        <w:spacing w:after="120" w:line="259"/>
        <w:jc w:val="both"/>
      </w:pPr>
      <w:r>
        <w:rPr>
          <w:rFonts w:ascii="Times New Roman" w:cs="Times New Roman" w:eastAsia="Times New Roman" w:hAnsi="Times New Roman"/>
          <w:sz w:val="20"/>
          <w:szCs w:val="20"/>
        </w:rPr>
        <w:t xml:space="preserve">The MAPE-K reference model remains the organising abstraction for self-healing systems. Aribe and Oracion [11] implement a modular MAPE-K framework with an AutoFix-inspired recovery mechanism, evaluated over twenty runtime failure scenarios, reporting a mean fault-detection F1 of 90.7%, a recovery success rate of 93.2% and a 56.2% reduction in time-to-recovery. Yazdanparast [12] surveys self-healing methods and their failure-mode taxonomies. Konda [19] and Meyer et al. [20] integrate machine-learned anomaly detection with recovery, the latter combining detection and root cause analysis in a single pipeline to reduce mean time to recovery.</w:t>
      </w:r>
    </w:p>
    <w:p>
      <w:pPr>
        <w:spacing w:after="120" w:line="259"/>
        <w:jc w:val="both"/>
      </w:pPr>
      <w:r>
        <w:rPr>
          <w:rFonts w:ascii="Times New Roman" w:cs="Times New Roman" w:eastAsia="Times New Roman" w:hAnsi="Times New Roman"/>
          <w:sz w:val="20"/>
          <w:szCs w:val="20"/>
        </w:rPr>
        <w:t xml:space="preserve">Our pipeline maps onto MAPE-K directly: telemetry capture is Monitor, detection and root cause analysis are Analyse, remediation proposal and safety validation are Plan, and execution with recovery verification is Execute, with the retrieval memory serving as the shared Knowledge base. The distinguishing feature is that the transition from Plan to Execute is gated by a mandatory human decision.</w:t>
      </w:r>
    </w:p>
    <w:p>
      <w:pPr>
        <w:pStyle w:val="Heading2"/>
        <w:spacing w:after="120" w:before="240"/>
        <w:jc w:val="left"/>
      </w:pPr>
      <w:r>
        <w:rPr>
          <w:rFonts w:ascii="Times New Roman" w:cs="Times New Roman" w:eastAsia="Times New Roman" w:hAnsi="Times New Roman"/>
          <w:b w:val="false"/>
          <w:bCs w:val="false"/>
          <w:i/>
          <w:iCs/>
          <w:sz w:val="21"/>
          <w:szCs w:val="21"/>
        </w:rPr>
        <w:t xml:space="preserve">D. Resilience and self-healing in financial systems</w:t>
      </w:r>
    </w:p>
    <w:p>
      <w:pPr>
        <w:spacing w:after="120" w:line="259"/>
        <w:jc w:val="both"/>
      </w:pPr>
      <w:r>
        <w:rPr>
          <w:rFonts w:ascii="Times New Roman" w:cs="Times New Roman" w:eastAsia="Times New Roman" w:hAnsi="Times New Roman"/>
          <w:sz w:val="20"/>
          <w:szCs w:val="20"/>
        </w:rPr>
        <w:t xml:space="preserve">Anderson et al. [21] catalogue fault-tolerance patterns for financial microservices including circuit breaker, retry, bulkhead, timeout and fallback. Deshpande [18] examines Spring Boot and Spring Cloud for scaling banking applications under PSD2, GDPR and Basel III obligations. Singh [13] proposes a machine-learning-driven self-healing framework for FinTech platforms combining supervised detection, unsupervised pattern discovery and reinforcement-learned recovery policy. Gaddam [14] presents a four-layer autonomous financial platform comprising observability, intelligence, decision and execution layers. Singh [15] argues for a prevention-first posture with built-in governance for high-availability banking infrastructure. Nagaraja et al. [16] couple fraud detection with autonomous response and infrastructure stabilisation, reporting a 35% reduction in system instability. Fahmi et al. [17] detect artifact-state anomalies in microservice-based financial applications at design time.</w:t>
      </w:r>
    </w:p>
    <w:p>
      <w:pPr>
        <w:spacing w:after="120" w:line="259"/>
        <w:jc w:val="both"/>
      </w:pPr>
      <w:r>
        <w:rPr>
          <w:rFonts w:ascii="Times New Roman" w:cs="Times New Roman" w:eastAsia="Times New Roman" w:hAnsi="Times New Roman"/>
          <w:sz w:val="20"/>
          <w:szCs w:val="20"/>
        </w:rPr>
        <w:t xml:space="preserve">This literature establishes the domain requirement for auditability and governance but, with the partial exception of [15], treats human oversight as an operational practice rather than an architecturally enforced constraint.</w:t>
      </w:r>
    </w:p>
    <w:p>
      <w:pPr>
        <w:pStyle w:val="Heading2"/>
        <w:spacing w:after="120" w:before="240"/>
        <w:jc w:val="left"/>
      </w:pPr>
      <w:r>
        <w:rPr>
          <w:rFonts w:ascii="Times New Roman" w:cs="Times New Roman" w:eastAsia="Times New Roman" w:hAnsi="Times New Roman"/>
          <w:b w:val="false"/>
          <w:bCs w:val="false"/>
          <w:i/>
          <w:iCs/>
          <w:sz w:val="21"/>
          <w:szCs w:val="21"/>
        </w:rPr>
        <w:t xml:space="preserve">E. Anomaly detection as a precondition for root cause analysis</w:t>
      </w:r>
    </w:p>
    <w:p>
      <w:pPr>
        <w:spacing w:after="120" w:line="259"/>
        <w:jc w:val="both"/>
      </w:pPr>
      <w:r>
        <w:rPr>
          <w:rFonts w:ascii="Times New Roman" w:cs="Times New Roman" w:eastAsia="Times New Roman" w:hAnsi="Times New Roman"/>
          <w:sz w:val="20"/>
          <w:szCs w:val="20"/>
        </w:rPr>
        <w:t xml:space="preserve">Soldani and Brogi [1] survey anomaly detection and root cause analysis in multi-service applications and organise the field by signal modality, noting a recurring trade-off between setup cost, accuracy and explainability. BARO [2] makes the dependency explicit: because root cause analysis techniques generally presuppose accurate anomaly detection, and no detector guarantees that accuracy, inaccurate detection propagates directly into localisation error. BARO addresses this with multivariate Bayesian online change point detection and a nonparametric hypothesis test that is less sensitive to detection quality.</w:t>
      </w:r>
    </w:p>
    <w:p>
      <w:pPr>
        <w:spacing w:after="120" w:line="259"/>
        <w:jc w:val="both"/>
      </w:pPr>
      <w:r>
        <w:rPr>
          <w:rFonts w:ascii="Times New Roman" w:cs="Times New Roman" w:eastAsia="Times New Roman" w:hAnsi="Times New Roman"/>
          <w:sz w:val="20"/>
          <w:szCs w:val="20"/>
        </w:rPr>
        <w:t xml:space="preserve">This is the published counterpart of our own strongest negative finding. Our diagnostic layer was correct on every incident it answered, and the system's overall accuracy was nonetheless 20.8%, because the detector surfaced only a fifth of the corpus (Section VII-A).</w:t>
      </w:r>
    </w:p>
    <w:p>
      <w:pPr>
        <w:pStyle w:val="Heading2"/>
        <w:spacing w:after="120" w:before="240"/>
        <w:jc w:val="left"/>
      </w:pPr>
      <w:r>
        <w:rPr>
          <w:rFonts w:ascii="Times New Roman" w:cs="Times New Roman" w:eastAsia="Times New Roman" w:hAnsi="Times New Roman"/>
          <w:b w:val="false"/>
          <w:bCs w:val="false"/>
          <w:i/>
          <w:iCs/>
          <w:sz w:val="21"/>
          <w:szCs w:val="21"/>
        </w:rPr>
        <w:t xml:space="preserve">F. Evaluation practice, and an obligation it creates</w:t>
      </w:r>
    </w:p>
    <w:p>
      <w:pPr>
        <w:spacing w:after="120" w:line="259"/>
        <w:jc w:val="both"/>
      </w:pPr>
      <w:r>
        <w:rPr>
          <w:rFonts w:ascii="Times New Roman" w:cs="Times New Roman" w:eastAsia="Times New Roman" w:hAnsi="Times New Roman"/>
          <w:sz w:val="20"/>
          <w:szCs w:val="20"/>
        </w:rPr>
        <w:t xml:space="preserve">A paper proposing a multi-agent versus single-agent comparison in this area was withdrawn by its author in 2025 after a code audit found that the multi-agent arm's action list was a source constant rather than model output, and that the scorer read only that field </w:t>
      </w:r>
      <w:r>
        <w:rPr>
          <w:rFonts w:ascii="Times New Roman" w:cs="Times New Roman" w:eastAsia="Times New Roman" w:hAnsi="Times New Roman"/>
          <w:b/>
          <w:bCs/>
          <w:sz w:val="20"/>
          <w:szCs w:val="20"/>
        </w:rPr>
        <w:t xml:space="preserve">[AUTHOR: verify the current state of arXiv 2511.15755 on the abstract page and cite it exactly as it stands at submission time]</w:t>
      </w:r>
      <w:r>
        <w:rPr>
          <w:rFonts w:ascii="Times New Roman" w:cs="Times New Roman" w:eastAsia="Times New Roman" w:hAnsi="Times New Roman"/>
          <w:sz w:val="20"/>
          <w:szCs w:val="20"/>
        </w:rPr>
        <w:t xml:space="preserve">. The reported superiority was therefore an artefact of measuring a constant.</w:t>
      </w:r>
    </w:p>
    <w:p>
      <w:pPr>
        <w:spacing w:after="120" w:line="259"/>
        <w:jc w:val="both"/>
      </w:pPr>
      <w:r>
        <w:rPr>
          <w:rFonts w:ascii="Times New Roman" w:cs="Times New Roman" w:eastAsia="Times New Roman" w:hAnsi="Times New Roman"/>
          <w:sz w:val="20"/>
          <w:szCs w:val="20"/>
        </w:rPr>
        <w:t xml:space="preserve">This is the natural failure mode of any deliberately deterministic multi-agent pipeline, and our system is one: its remediation proposer </w:t>
      </w:r>
      <w:r>
        <w:rPr>
          <w:rFonts w:ascii="Times New Roman" w:cs="Times New Roman" w:eastAsia="Times New Roman" w:hAnsi="Times New Roman"/>
          <w:i/>
          <w:iCs/>
          <w:sz w:val="20"/>
          <w:szCs w:val="20"/>
        </w:rPr>
        <w:t xml:space="preserve">is</w:t>
      </w:r>
      <w:r>
        <w:rPr>
          <w:rFonts w:ascii="Times New Roman" w:cs="Times New Roman" w:eastAsia="Times New Roman" w:hAnsi="Times New Roman"/>
          <w:sz w:val="20"/>
          <w:szCs w:val="20"/>
        </w:rPr>
        <w:t xml:space="preserve"> a hardcoded template lookup. We therefore treat the demonstration that our scored quantity varies with input telemetry as an obligation rather than an assurance, and discharge it in Section IV-G with a permanent regression test.</w:t>
      </w:r>
    </w:p>
    <w:p>
      <w:pPr>
        <w:pStyle w:val="Heading2"/>
        <w:spacing w:after="120" w:before="240"/>
        <w:jc w:val="left"/>
      </w:pPr>
      <w:r>
        <w:rPr>
          <w:rFonts w:ascii="Times New Roman" w:cs="Times New Roman" w:eastAsia="Times New Roman" w:hAnsi="Times New Roman"/>
          <w:b w:val="false"/>
          <w:bCs w:val="false"/>
          <w:i/>
          <w:iCs/>
          <w:sz w:val="21"/>
          <w:szCs w:val="21"/>
        </w:rPr>
        <w:t xml:space="preserve">G. Research gap</w:t>
      </w:r>
    </w:p>
    <w:p>
      <w:pPr>
        <w:spacing w:after="120" w:line="259"/>
        <w:jc w:val="both"/>
      </w:pPr>
      <w:r>
        <w:rPr>
          <w:rFonts w:ascii="Times New Roman" w:cs="Times New Roman" w:eastAsia="Times New Roman" w:hAnsi="Times New Roman"/>
          <w:sz w:val="20"/>
          <w:szCs w:val="20"/>
        </w:rPr>
        <w:t xml:space="preserve">Across the reviewed work, three gaps are consistent. No system treats human approval as an architecturally enforced precondition for execution. Retrieval is used to inform or to determine the conclusion, but its authority relative to deterministic evidence is not treated as an experimental variable. And hallucination, where measured at all, is measured as reference to non-existent entities rather than as misrepresentation of real ones.</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III. PROPOSED FRAMEWORK</w:t>
      </w:r>
    </w:p>
    <w:p>
      <w:pPr>
        <w:pStyle w:val="Heading2"/>
        <w:spacing w:after="120" w:before="240"/>
        <w:jc w:val="left"/>
      </w:pPr>
      <w:r>
        <w:rPr>
          <w:rFonts w:ascii="Times New Roman" w:cs="Times New Roman" w:eastAsia="Times New Roman" w:hAnsi="Times New Roman"/>
          <w:b w:val="false"/>
          <w:bCs w:val="false"/>
          <w:i/>
          <w:iCs/>
          <w:sz w:val="21"/>
          <w:szCs w:val="21"/>
        </w:rPr>
        <w:t xml:space="preserve">A. Overview and design principles</w:t>
      </w:r>
    </w:p>
    <w:p>
      <w:pPr>
        <w:spacing w:after="120" w:line="259"/>
        <w:jc w:val="both"/>
      </w:pPr>
      <w:r>
        <w:rPr>
          <w:rFonts w:ascii="Times New Roman" w:cs="Times New Roman" w:eastAsia="Times New Roman" w:hAnsi="Times New Roman"/>
          <w:sz w:val="20"/>
          <w:szCs w:val="20"/>
        </w:rPr>
        <w:t xml:space="preserve">Fig. 1 shows the system architecture: the four monitored services, the telemetry path, the components of the orchestration layer and the two stores it depends on. Fig. 2 shows the same system as a control flow, tracing a single incident from a telemetry record to a terminal state and marking the three points at which the pipeline can refuse to proceed.</w:t>
      </w:r>
    </w:p>
    <w:p>
      <w:pPr>
        <w:spacing w:after="120" w:line="259"/>
        <w:jc w:val="both"/>
      </w:pPr>
      <w:r>
        <w:rPr>
          <w:rFonts w:ascii="Times New Roman" w:cs="Times New Roman" w:eastAsia="Times New Roman" w:hAnsi="Times New Roman"/>
          <w:sz w:val="20"/>
          <w:szCs w:val="20"/>
        </w:rPr>
        <w:t xml:space="preserve">The two views are separated deliberately. The architecture answers </w:t>
      </w:r>
      <w:r>
        <w:rPr>
          <w:rFonts w:ascii="Times New Roman" w:cs="Times New Roman" w:eastAsia="Times New Roman" w:hAnsi="Times New Roman"/>
          <w:i/>
          <w:iCs/>
          <w:sz w:val="20"/>
          <w:szCs w:val="20"/>
        </w:rPr>
        <w:t xml:space="preserve">what exists and what talks to what</w:t>
      </w:r>
      <w:r>
        <w:rPr>
          <w:rFonts w:ascii="Times New Roman" w:cs="Times New Roman" w:eastAsia="Times New Roman" w:hAnsi="Times New Roman"/>
          <w:sz w:val="20"/>
          <w:szCs w:val="20"/>
        </w:rPr>
        <w:t xml:space="preserve">; the flow answers </w:t>
      </w:r>
      <w:r>
        <w:rPr>
          <w:rFonts w:ascii="Times New Roman" w:cs="Times New Roman" w:eastAsia="Times New Roman" w:hAnsi="Times New Roman"/>
          <w:i/>
          <w:iCs/>
          <w:sz w:val="20"/>
          <w:szCs w:val="20"/>
        </w:rPr>
        <w:t xml:space="preserve">what may happen and in what order</w:t>
      </w:r>
      <w:r>
        <w:rPr>
          <w:rFonts w:ascii="Times New Roman" w:cs="Times New Roman" w:eastAsia="Times New Roman" w:hAnsi="Times New Roman"/>
          <w:sz w:val="20"/>
          <w:szCs w:val="20"/>
        </w:rPr>
        <w:t xml:space="preserve">, which is where this design differs from the reviewed alternatives. Readers comparing this work against retrieval-first pipelines should look at the flow, not the architecture, because the components are largely conventional and the ordering constraints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1 - SYSTEM ARCHITECTURE   [AUTHOR: insert your architecture diagram]</w:t>
            </w:r>
          </w:p>
          <w:p>
            <w:pPr>
              <w:spacing w:after="60"/>
            </w:pPr>
            <w:r>
              <w:rPr>
                <w:rFonts w:ascii="Times New Roman" w:cs="Times New Roman" w:eastAsia="Times New Roman" w:hAnsi="Times New Roman"/>
                <w:i/>
                <w:iCs/>
                <w:color w:val="6B4E00"/>
                <w:sz w:val="18"/>
                <w:szCs w:val="18"/>
              </w:rPr>
              <w:t xml:space="preserve">Full column width (single column) or double column if legibility requires.</w:t>
            </w:r>
          </w:p>
          <w:p>
            <w:pPr>
              <w:spacing w:after="60"/>
            </w:pPr>
            <w:r>
              <w:rPr>
                <w:rFonts w:ascii="Times New Roman" w:cs="Times New Roman" w:eastAsia="Times New Roman" w:hAnsi="Times New Roman"/>
                <w:i/>
                <w:iCs/>
                <w:color w:val="6B4E00"/>
                <w:sz w:val="18"/>
                <w:szCs w:val="18"/>
              </w:rPr>
              <w:t xml:space="preserve">Place at the top of the page containing Section III-A.</w:t>
            </w:r>
          </w:p>
          <w:p>
            <w:pPr>
              <w:spacing w:after="60"/>
            </w:pPr>
            <w:r>
              <w:rPr>
                <w:rFonts w:ascii="Times New Roman" w:cs="Times New Roman" w:eastAsia="Times New Roman" w:hAnsi="Times New Roman"/>
                <w:i/>
                <w:iCs/>
                <w:color w:val="6B4E00"/>
                <w:sz w:val="18"/>
                <w:szCs w:val="18"/>
              </w:rPr>
              <w:t xml:space="preserve">Check before submission - the caption below asserts each of these:</w:t>
            </w:r>
          </w:p>
          <w:p>
            <w:pPr>
              <w:spacing w:after="60"/>
            </w:pPr>
            <w:r>
              <w:rPr>
                <w:rFonts w:ascii="Times New Roman" w:cs="Times New Roman" w:eastAsia="Times New Roman" w:hAnsi="Times New Roman"/>
                <w:i/>
                <w:iCs/>
                <w:color w:val="6B4E00"/>
                <w:sz w:val="18"/>
                <w:szCs w:val="18"/>
              </w:rPr>
              <w:t xml:space="preserve">(a) all four services shown, with the payment service's synchronous calls</w:t>
            </w:r>
          </w:p>
          <w:p>
            <w:pPr>
              <w:spacing w:after="60"/>
            </w:pPr>
            <w:r>
              <w:rPr>
                <w:rFonts w:ascii="Times New Roman" w:cs="Times New Roman" w:eastAsia="Times New Roman" w:hAnsi="Times New Roman"/>
                <w:i/>
                <w:iCs/>
                <w:color w:val="6B4E00"/>
                <w:sz w:val="18"/>
                <w:szCs w:val="18"/>
              </w:rPr>
              <w:t xml:space="preserve">to the other three drawn as directed edges;</w:t>
            </w:r>
          </w:p>
          <w:p>
            <w:pPr>
              <w:spacing w:after="60"/>
            </w:pPr>
            <w:r>
              <w:rPr>
                <w:rFonts w:ascii="Times New Roman" w:cs="Times New Roman" w:eastAsia="Times New Roman" w:hAnsi="Times New Roman"/>
                <w:i/>
                <w:iCs/>
                <w:color w:val="6B4E00"/>
                <w:sz w:val="18"/>
                <w:szCs w:val="18"/>
              </w:rPr>
              <w:t xml:space="preserve">(b) the telemetry collector and the synthetic payment probe both shown;</w:t>
            </w:r>
          </w:p>
          <w:p>
            <w:pPr>
              <w:spacing w:after="60"/>
            </w:pPr>
            <w:r>
              <w:rPr>
                <w:rFonts w:ascii="Times New Roman" w:cs="Times New Roman" w:eastAsia="Times New Roman" w:hAnsi="Times New Roman"/>
                <w:i/>
                <w:iCs/>
                <w:color w:val="6B4E00"/>
                <w:sz w:val="18"/>
                <w:szCs w:val="18"/>
              </w:rPr>
              <w:t xml:space="preserve">(c) the orchestration layer's stages distinguishable;</w:t>
            </w:r>
          </w:p>
          <w:p>
            <w:pPr>
              <w:spacing w:after="60"/>
            </w:pPr>
            <w:r>
              <w:rPr>
                <w:rFonts w:ascii="Times New Roman" w:cs="Times New Roman" w:eastAsia="Times New Roman" w:hAnsi="Times New Roman"/>
                <w:i/>
                <w:iCs/>
                <w:color w:val="6B4E00"/>
                <w:sz w:val="18"/>
                <w:szCs w:val="18"/>
              </w:rPr>
              <w:t xml:space="preserve">(d) both stores shown (per-service detector models, retrieval memory);</w:t>
            </w:r>
          </w:p>
          <w:p>
            <w:pPr>
              <w:spacing w:after="60"/>
            </w:pPr>
            <w:r>
              <w:rPr>
                <w:rFonts w:ascii="Times New Roman" w:cs="Times New Roman" w:eastAsia="Times New Roman" w:hAnsi="Times New Roman"/>
                <w:i/>
                <w:iCs/>
                <w:color w:val="6B4E00"/>
                <w:sz w:val="18"/>
                <w:szCs w:val="18"/>
              </w:rPr>
              <w:t xml:space="preserve">(e) the human operator drawn as an external actor, not an internal box.</w:t>
            </w:r>
          </w:p>
          <w:p>
            <w:pPr>
              <w:spacing w:after="60"/>
            </w:pPr>
            <w:r>
              <w:rPr>
                <w:rFonts w:ascii="Times New Roman" w:cs="Times New Roman" w:eastAsia="Times New Roman" w:hAnsi="Times New Roman"/>
                <w:i/>
                <w:iCs/>
                <w:color w:val="6B4E00"/>
                <w:sz w:val="18"/>
                <w:szCs w:val="18"/>
              </w:rPr>
              <w:t xml:space="preserve">If (e) is not in your current diagram, add it. It is the paper's contribution</w:t>
            </w:r>
          </w:p>
          <w:p>
            <w:pPr>
              <w:spacing w:after="0"/>
            </w:pPr>
            <w:r>
              <w:rPr>
                <w:rFonts w:ascii="Times New Roman" w:cs="Times New Roman" w:eastAsia="Times New Roman" w:hAnsi="Times New Roman"/>
                <w:i/>
                <w:iCs/>
                <w:color w:val="6B4E00"/>
                <w:sz w:val="18"/>
                <w:szCs w:val="18"/>
              </w:rPr>
              <w:t xml:space="preserve">and a reader should be able to see it without reading the caption.</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System architecture. Four Spring Boot microservices are polled by a telemetry collector that also drives a synthetic login-and-payment probe, since two of the four faults manifest only on a live request path. The orchestration layer consumes the resulting records and draws on two local stores: per-service anomaly detectors, and a retrieval memory built exclusively from the Memory partition. The human operator is external to the system boundary; no path from diagnosis to execution bypasses that actor.</w:t>
      </w:r>
    </w:p>
    <w:p>
      <w:pPr>
        <w:spacing w:after="120" w:line="259"/>
        <w:jc w:val="both"/>
      </w:pPr>
      <w:r>
        <w:rPr>
          <w:rFonts w:ascii="Times New Roman" w:cs="Times New Roman" w:eastAsia="Times New Roman" w:hAnsi="Times New Roman"/>
          <w:sz w:val="20"/>
          <w:szCs w:val="20"/>
        </w:rPr>
        <w:t xml:space="preserve">Four principles govern the design, each of which is falsifiable and is tested later in this paper.</w:t>
      </w:r>
    </w:p>
    <w:p>
      <w:pPr>
        <w:pStyle w:val="ListParagraph"/>
        <w:numPr>
          <w:ilvl w:val="0"/>
          <w:numId w:val="2"/>
        </w:numPr>
        <w:spacing w:after="80"/>
        <w:jc w:val="both"/>
      </w:pPr>
      <w:r>
        <w:rPr>
          <w:rFonts w:ascii="Times New Roman" w:cs="Times New Roman" w:eastAsia="Times New Roman" w:hAnsi="Times New Roman"/>
          <w:b/>
          <w:bCs/>
          <w:sz w:val="20"/>
          <w:szCs w:val="20"/>
        </w:rPr>
        <w:t xml:space="preserve">Determinism where a rule suffices.</w:t>
      </w:r>
      <w:r>
        <w:rPr>
          <w:rFonts w:ascii="Times New Roman" w:cs="Times New Roman" w:eastAsia="Times New Roman" w:hAnsi="Times New Roman"/>
          <w:sz w:val="20"/>
          <w:szCs w:val="20"/>
        </w:rPr>
        <w:t xml:space="preserve"> Any stage expressible as a threshold or a lookup is implemented as such. Model inference is confined to narration.</w:t>
      </w:r>
    </w:p>
    <w:p>
      <w:pPr>
        <w:pStyle w:val="ListParagraph"/>
        <w:numPr>
          <w:ilvl w:val="0"/>
          <w:numId w:val="2"/>
        </w:numPr>
        <w:spacing w:after="80"/>
        <w:jc w:val="both"/>
      </w:pPr>
      <w:r>
        <w:rPr>
          <w:rFonts w:ascii="Times New Roman" w:cs="Times New Roman" w:eastAsia="Times New Roman" w:hAnsi="Times New Roman"/>
          <w:b/>
          <w:bCs/>
          <w:sz w:val="20"/>
          <w:szCs w:val="20"/>
        </w:rPr>
        <w:t xml:space="preserve">Retrieved incidents are evidence, not commands.</w:t>
      </w:r>
      <w:r>
        <w:rPr>
          <w:rFonts w:ascii="Times New Roman" w:cs="Times New Roman" w:eastAsia="Times New Roman" w:hAnsi="Times New Roman"/>
          <w:sz w:val="20"/>
          <w:szCs w:val="20"/>
        </w:rPr>
        <w:t xml:space="preserve"> Retrieval may adjust recorded confidence and supplies provenance; it cannot change a conclusion reached from telemetry.</w:t>
      </w:r>
    </w:p>
    <w:p>
      <w:pPr>
        <w:pStyle w:val="ListParagraph"/>
        <w:numPr>
          <w:ilvl w:val="0"/>
          <w:numId w:val="2"/>
        </w:numPr>
        <w:spacing w:after="80"/>
        <w:jc w:val="both"/>
      </w:pPr>
      <w:r>
        <w:rPr>
          <w:rFonts w:ascii="Times New Roman" w:cs="Times New Roman" w:eastAsia="Times New Roman" w:hAnsi="Times New Roman"/>
          <w:b/>
          <w:bCs/>
          <w:sz w:val="20"/>
          <w:szCs w:val="20"/>
        </w:rPr>
        <w:t xml:space="preserve">Governance is structural.</w:t>
      </w:r>
      <w:r>
        <w:rPr>
          <w:rFonts w:ascii="Times New Roman" w:cs="Times New Roman" w:eastAsia="Times New Roman" w:hAnsi="Times New Roman"/>
          <w:sz w:val="20"/>
          <w:szCs w:val="20"/>
        </w:rPr>
        <w:t xml:space="preserve"> Safety validation precedes human consultation and contains no model call; the graph cannot advance past approval without an external signal.</w:t>
      </w:r>
    </w:p>
    <w:p>
      <w:pPr>
        <w:pStyle w:val="ListParagraph"/>
        <w:numPr>
          <w:ilvl w:val="0"/>
          <w:numId w:val="2"/>
        </w:numPr>
        <w:spacing w:after="80"/>
        <w:jc w:val="both"/>
      </w:pPr>
      <w:r>
        <w:rPr>
          <w:rFonts w:ascii="Times New Roman" w:cs="Times New Roman" w:eastAsia="Times New Roman" w:hAnsi="Times New Roman"/>
          <w:b/>
          <w:bCs/>
          <w:sz w:val="20"/>
          <w:szCs w:val="20"/>
        </w:rPr>
        <w:t xml:space="preserve">Refusal over fabrication.</w:t>
      </w:r>
      <w:r>
        <w:rPr>
          <w:rFonts w:ascii="Times New Roman" w:cs="Times New Roman" w:eastAsia="Times New Roman" w:hAnsi="Times New Roman"/>
          <w:sz w:val="20"/>
          <w:szCs w:val="20"/>
        </w:rPr>
        <w:t xml:space="preserve"> An unmeasurable quantity is reported as unmeasurable, and an abstention is scored separately from a wrong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2 - PIPELINE CONTROL FLOW   [AUTHOR: insert your flow diagram]</w:t>
            </w:r>
          </w:p>
          <w:p>
            <w:pPr>
              <w:spacing w:after="60"/>
            </w:pPr>
            <w:r>
              <w:rPr>
                <w:rFonts w:ascii="Times New Roman" w:cs="Times New Roman" w:eastAsia="Times New Roman" w:hAnsi="Times New Roman"/>
                <w:i/>
                <w:iCs/>
                <w:color w:val="6B4E00"/>
                <w:sz w:val="18"/>
                <w:szCs w:val="18"/>
              </w:rPr>
              <w:t xml:space="preserve">Full column width. Place near Section III-A or at the top of the page</w:t>
            </w:r>
          </w:p>
          <w:p>
            <w:pPr>
              <w:spacing w:after="60"/>
            </w:pPr>
            <w:r>
              <w:rPr>
                <w:rFonts w:ascii="Times New Roman" w:cs="Times New Roman" w:eastAsia="Times New Roman" w:hAnsi="Times New Roman"/>
                <w:i/>
                <w:iCs/>
                <w:color w:val="6B4E00"/>
                <w:sz w:val="18"/>
                <w:szCs w:val="18"/>
              </w:rPr>
              <w:t xml:space="preserve">carrying Sections III-F to III-I.</w:t>
            </w:r>
          </w:p>
          <w:p>
            <w:pPr>
              <w:spacing w:after="60"/>
            </w:pPr>
            <w:r>
              <w:rPr>
                <w:rFonts w:ascii="Times New Roman" w:cs="Times New Roman" w:eastAsia="Times New Roman" w:hAnsi="Times New Roman"/>
                <w:i/>
                <w:iCs/>
                <w:color w:val="6B4E00"/>
                <w:sz w:val="18"/>
                <w:szCs w:val="18"/>
              </w:rPr>
              <w:t xml:space="preserve">Check before submission - the caption below asserts each of these:</w:t>
            </w:r>
          </w:p>
          <w:p>
            <w:pPr>
              <w:spacing w:after="60"/>
            </w:pPr>
            <w:r>
              <w:rPr>
                <w:rFonts w:ascii="Times New Roman" w:cs="Times New Roman" w:eastAsia="Times New Roman" w:hAnsi="Times New Roman"/>
                <w:i/>
                <w:iCs/>
                <w:color w:val="6B4E00"/>
                <w:sz w:val="18"/>
                <w:szCs w:val="18"/>
              </w:rPr>
              <w:t xml:space="preserve">(a) the three refusal points are visually distinct from the ordinary</w:t>
            </w:r>
          </w:p>
          <w:p>
            <w:pPr>
              <w:spacing w:after="60"/>
            </w:pPr>
            <w:r>
              <w:rPr>
                <w:rFonts w:ascii="Times New Roman" w:cs="Times New Roman" w:eastAsia="Times New Roman" w:hAnsi="Times New Roman"/>
                <w:i/>
                <w:iCs/>
                <w:color w:val="6B4E00"/>
                <w:sz w:val="18"/>
                <w:szCs w:val="18"/>
              </w:rPr>
              <w:t xml:space="preserve">stages: abstention when nothing matches, safety rejection, and</w:t>
            </w:r>
          </w:p>
          <w:p>
            <w:pPr>
              <w:spacing w:after="60"/>
            </w:pPr>
            <w:r>
              <w:rPr>
                <w:rFonts w:ascii="Times New Roman" w:cs="Times New Roman" w:eastAsia="Times New Roman" w:hAnsi="Times New Roman"/>
                <w:i/>
                <w:iCs/>
                <w:color w:val="6B4E00"/>
                <w:sz w:val="18"/>
                <w:szCs w:val="18"/>
              </w:rPr>
              <w:t xml:space="preserve">human rejection;</w:t>
            </w:r>
          </w:p>
          <w:p>
            <w:pPr>
              <w:spacing w:after="60"/>
            </w:pPr>
            <w:r>
              <w:rPr>
                <w:rFonts w:ascii="Times New Roman" w:cs="Times New Roman" w:eastAsia="Times New Roman" w:hAnsi="Times New Roman"/>
                <w:i/>
                <w:iCs/>
                <w:color w:val="6B4E00"/>
                <w:sz w:val="18"/>
                <w:szCs w:val="18"/>
              </w:rPr>
              <w:t xml:space="preserve">(b) the safety validator sits BEFORE the human approval gate, since the</w:t>
            </w:r>
          </w:p>
          <w:p>
            <w:pPr>
              <w:spacing w:after="60"/>
            </w:pPr>
            <w:r>
              <w:rPr>
                <w:rFonts w:ascii="Times New Roman" w:cs="Times New Roman" w:eastAsia="Times New Roman" w:hAnsi="Times New Roman"/>
                <w:i/>
                <w:iCs/>
                <w:color w:val="6B4E00"/>
                <w:sz w:val="18"/>
                <w:szCs w:val="18"/>
              </w:rPr>
              <w:t xml:space="preserve">ordering is the claim (a rule violation never reaches an operator);</w:t>
            </w:r>
          </w:p>
          <w:p>
            <w:pPr>
              <w:spacing w:after="60"/>
            </w:pPr>
            <w:r>
              <w:rPr>
                <w:rFonts w:ascii="Times New Roman" w:cs="Times New Roman" w:eastAsia="Times New Roman" w:hAnsi="Times New Roman"/>
                <w:i/>
                <w:iCs/>
                <w:color w:val="6B4E00"/>
                <w:sz w:val="18"/>
                <w:szCs w:val="18"/>
              </w:rPr>
              <w:t xml:space="preserve">(c) the retry edge returns to remediation proposal, NOT to root cause</w:t>
            </w:r>
          </w:p>
          <w:p>
            <w:pPr>
              <w:spacing w:after="60"/>
            </w:pPr>
            <w:r>
              <w:rPr>
                <w:rFonts w:ascii="Times New Roman" w:cs="Times New Roman" w:eastAsia="Times New Roman" w:hAnsi="Times New Roman"/>
                <w:i/>
                <w:iCs/>
                <w:color w:val="6B4E00"/>
                <w:sz w:val="18"/>
                <w:szCs w:val="18"/>
              </w:rPr>
              <w:t xml:space="preserve">analysis, and passes through safety and approval again;</w:t>
            </w:r>
          </w:p>
          <w:p>
            <w:pPr>
              <w:spacing w:after="60"/>
            </w:pPr>
            <w:r>
              <w:rPr>
                <w:rFonts w:ascii="Times New Roman" w:cs="Times New Roman" w:eastAsia="Times New Roman" w:hAnsi="Times New Roman"/>
                <w:i/>
                <w:iCs/>
                <w:color w:val="6B4E00"/>
                <w:sz w:val="18"/>
                <w:szCs w:val="18"/>
              </w:rPr>
              <w:t xml:space="preserve">(d) the retrieval edge into root cause analysis is drawn as advisory</w:t>
            </w:r>
          </w:p>
          <w:p>
            <w:pPr>
              <w:spacing w:after="60"/>
            </w:pPr>
            <w:r>
              <w:rPr>
                <w:rFonts w:ascii="Times New Roman" w:cs="Times New Roman" w:eastAsia="Times New Roman" w:hAnsi="Times New Roman"/>
                <w:i/>
                <w:iCs/>
                <w:color w:val="6B4E00"/>
                <w:sz w:val="18"/>
                <w:szCs w:val="18"/>
              </w:rPr>
              <w:t xml:space="preserve">(dashed, or annotated "evidence only") and is visibly incapable of</w:t>
            </w:r>
          </w:p>
          <w:p>
            <w:pPr>
              <w:spacing w:after="60"/>
            </w:pPr>
            <w:r>
              <w:rPr>
                <w:rFonts w:ascii="Times New Roman" w:cs="Times New Roman" w:eastAsia="Times New Roman" w:hAnsi="Times New Roman"/>
                <w:i/>
                <w:iCs/>
                <w:color w:val="6B4E00"/>
                <w:sz w:val="18"/>
                <w:szCs w:val="18"/>
              </w:rPr>
              <w:t xml:space="preserve">replacing the deterministic conclusion. This single edge is the</w:t>
            </w:r>
          </w:p>
          <w:p>
            <w:pPr>
              <w:spacing w:after="60"/>
            </w:pPr>
            <w:r>
              <w:rPr>
                <w:rFonts w:ascii="Times New Roman" w:cs="Times New Roman" w:eastAsia="Times New Roman" w:hAnsi="Times New Roman"/>
                <w:i/>
                <w:iCs/>
                <w:color w:val="6B4E00"/>
                <w:sz w:val="18"/>
                <w:szCs w:val="18"/>
              </w:rPr>
              <w:t xml:space="preserve">paper's central claim - if a reader misreads it as an input that</w:t>
            </w:r>
          </w:p>
          <w:p>
            <w:pPr>
              <w:spacing w:after="0"/>
            </w:pPr>
            <w:r>
              <w:rPr>
                <w:rFonts w:ascii="Times New Roman" w:cs="Times New Roman" w:eastAsia="Times New Roman" w:hAnsi="Times New Roman"/>
                <w:i/>
                <w:iCs/>
                <w:color w:val="6B4E00"/>
                <w:sz w:val="18"/>
                <w:szCs w:val="18"/>
              </w:rPr>
              <w:t xml:space="preserve">determines the answer, Sections VI-B and VI-C will not land.</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Pipeline control flow for a single incident. Solid edges carry the conclusion; the dashed edge from retrieval is advisory and cannot alter it. Three states terminate a run without execution: abstention when no signature matches and no retrieval fallback applies, deterministic safety rejection, and human rejection. The retry path returns to remediation proposal rather than to diagnosis, and re-enters both the safety validator and the approval gate, so an approval granted for one action is never inherited by another.</w:t>
      </w:r>
    </w:p>
    <w:p>
      <w:pPr>
        <w:pStyle w:val="Heading2"/>
        <w:spacing w:after="120" w:before="240"/>
        <w:jc w:val="left"/>
      </w:pPr>
      <w:r>
        <w:rPr>
          <w:rFonts w:ascii="Times New Roman" w:cs="Times New Roman" w:eastAsia="Times New Roman" w:hAnsi="Times New Roman"/>
          <w:b w:val="false"/>
          <w:bCs w:val="false"/>
          <w:i/>
          <w:iCs/>
          <w:sz w:val="21"/>
          <w:szCs w:val="21"/>
        </w:rPr>
        <w:t xml:space="preserve">B. Monitored system and fault taxonomy</w:t>
      </w:r>
    </w:p>
    <w:p>
      <w:pPr>
        <w:spacing w:after="120" w:line="259"/>
        <w:jc w:val="both"/>
      </w:pPr>
      <w:r>
        <w:rPr>
          <w:rFonts w:ascii="Times New Roman" w:cs="Times New Roman" w:eastAsia="Times New Roman" w:hAnsi="Times New Roman"/>
          <w:sz w:val="20"/>
          <w:szCs w:val="20"/>
        </w:rPr>
        <w:t xml:space="preserve">The testbed is a four-service transactional application: an authentication service issuing JWTs, a payment orchestration service, a ledger service holding account balances in PostgreSQL behind pessimistic row locking, and a notification service. The payment service calls the others synchronously, which is what allows a fault elsewhere to surface as a payment-side symptom.</w:t>
      </w:r>
    </w:p>
    <w:p>
      <w:pPr>
        <w:spacing w:after="120" w:line="259"/>
        <w:jc w:val="both"/>
      </w:pPr>
      <w:r>
        <w:rPr>
          <w:rFonts w:ascii="Times New Roman" w:cs="Times New Roman" w:eastAsia="Times New Roman" w:hAnsi="Times New Roman"/>
          <w:sz w:val="20"/>
          <w:szCs w:val="20"/>
        </w:rPr>
        <w:t xml:space="preserve">Four faults are injectable, each disabled by default and independently resettable through an endpoint the service itself exposes. Two are same-service, where the symptom and the cause coincide, and two are cross-service.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Fault</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Injected at</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Symptom visible at</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Class</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memory-leak</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same-service</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db-lock</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ledger-service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ledger-service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same-service</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auth-key-error</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auth-service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cross-service</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notification-latency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notification-service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cross-service</w:t>
            </w:r>
          </w:p>
        </w:tc>
      </w:tr>
    </w:tbl>
    <w:p>
      <w:pPr>
        <w:spacing w:after="160"/>
      </w:pPr>
    </w:p>
    <w:p>
      <w:pPr>
        <w:spacing w:after="120" w:line="259"/>
        <w:jc w:val="both"/>
      </w:pPr>
      <w:r>
        <w:rPr>
          <w:rFonts w:ascii="Times New Roman" w:cs="Times New Roman" w:eastAsia="Times New Roman" w:hAnsi="Times New Roman"/>
          <w:sz w:val="20"/>
          <w:szCs w:val="20"/>
        </w:rPr>
        <w:t xml:space="preserve">The two cross-service faults are the experimental object of the paper. A system that reasons only from the symptomatic service will attribute both to payment-service.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3 - CROSS-SERVICE FAULT PROPAGATION   [AUTHOR: render from docs/paper/diagrams.md,</w:t>
            </w:r>
          </w:p>
          <w:p>
            <w:pPr>
              <w:spacing w:after="60"/>
            </w:pPr>
            <w:r>
              <w:rPr>
                <w:rFonts w:ascii="Times New Roman" w:cs="Times New Roman" w:eastAsia="Times New Roman" w:hAnsi="Times New Roman"/>
                <w:i/>
                <w:iCs/>
                <w:color w:val="6B4E00"/>
                <w:sz w:val="18"/>
                <w:szCs w:val="18"/>
              </w:rPr>
              <w:t xml:space="preserve">"Why cross-service faults are the hard case". Single column. Place early - this figure</w:t>
            </w:r>
          </w:p>
          <w:p>
            <w:pPr>
              <w:spacing w:after="0"/>
            </w:pPr>
            <w:r>
              <w:rPr>
                <w:rFonts w:ascii="Times New Roman" w:cs="Times New Roman" w:eastAsia="Times New Roman" w:hAnsi="Times New Roman"/>
                <w:i/>
                <w:iCs/>
                <w:color w:val="6B4E00"/>
                <w:sz w:val="18"/>
                <w:szCs w:val="18"/>
              </w:rPr>
              <w:t xml:space="preserve">defines the problem, and a reader who grasps it here needs no further motivation.</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Same-service versus cross-service faults. For </w:t>
      </w:r>
      <w:r>
        <w:rPr>
          <w:rFonts w:ascii="Consolas" w:cs="Consolas" w:eastAsia="Consolas" w:hAnsi="Consolas"/>
          <w:sz w:val="18"/>
          <w:szCs w:val="18"/>
        </w:rPr>
        <w:t xml:space="preserve">memory-leak</w:t>
      </w:r>
      <w:r>
        <w:rPr>
          <w:rFonts w:ascii="Times New Roman" w:cs="Times New Roman" w:eastAsia="Times New Roman" w:hAnsi="Times New Roman"/>
          <w:sz w:val="20"/>
          <w:szCs w:val="20"/>
        </w:rPr>
        <w:t xml:space="preserve"> and </w:t>
      </w:r>
      <w:r>
        <w:rPr>
          <w:rFonts w:ascii="Consolas" w:cs="Consolas" w:eastAsia="Consolas" w:hAnsi="Consolas"/>
          <w:sz w:val="18"/>
          <w:szCs w:val="18"/>
        </w:rPr>
        <w:t xml:space="preserve">db-lock</w:t>
      </w:r>
      <w:r>
        <w:rPr>
          <w:rFonts w:ascii="Times New Roman" w:cs="Times New Roman" w:eastAsia="Times New Roman" w:hAnsi="Times New Roman"/>
          <w:sz w:val="20"/>
          <w:szCs w:val="20"/>
        </w:rPr>
        <w:t xml:space="preserve"> the service reporting the anomaly is the faulty one, and naming the reporting service is correct. For </w:t>
      </w:r>
      <w:r>
        <w:rPr>
          <w:rFonts w:ascii="Consolas" w:cs="Consolas" w:eastAsia="Consolas" w:hAnsi="Consolas"/>
          <w:sz w:val="18"/>
          <w:szCs w:val="18"/>
        </w:rPr>
        <w:t xml:space="preserve">auth-key-error</w:t>
      </w:r>
      <w:r>
        <w:rPr>
          <w:rFonts w:ascii="Times New Roman" w:cs="Times New Roman" w:eastAsia="Times New Roman" w:hAnsi="Times New Roman"/>
          <w:sz w:val="20"/>
          <w:szCs w:val="20"/>
        </w:rPr>
        <w:t xml:space="preserve"> and </w:t>
      </w:r>
      <w:r>
        <w:rPr>
          <w:rFonts w:ascii="Consolas" w:cs="Consolas" w:eastAsia="Consolas" w:hAnsi="Consolas"/>
          <w:sz w:val="18"/>
          <w:szCs w:val="18"/>
        </w:rPr>
        <w:t xml:space="preserve">notification-latency</w:t>
      </w:r>
      <w:r>
        <w:rPr>
          <w:rFonts w:ascii="Times New Roman" w:cs="Times New Roman" w:eastAsia="Times New Roman" w:hAnsi="Times New Roman"/>
          <w:sz w:val="20"/>
          <w:szCs w:val="20"/>
        </w:rPr>
        <w:t xml:space="preserve"> the anomaly surfaces on the payment service while the fault lies upstream, so naming the reporting service is wrong every time. The two classes are indistinguishable from the reporting service's own telemetry without a rule that separates them.</w:t>
      </w:r>
    </w:p>
    <w:p>
      <w:pPr>
        <w:pStyle w:val="Heading2"/>
        <w:spacing w:after="120" w:before="240"/>
        <w:jc w:val="left"/>
      </w:pPr>
      <w:r>
        <w:rPr>
          <w:rFonts w:ascii="Times New Roman" w:cs="Times New Roman" w:eastAsia="Times New Roman" w:hAnsi="Times New Roman"/>
          <w:b w:val="false"/>
          <w:bCs w:val="false"/>
          <w:i/>
          <w:iCs/>
          <w:sz w:val="21"/>
          <w:szCs w:val="21"/>
        </w:rPr>
        <w:t xml:space="preserve">C. Telemetry capture</w:t>
      </w:r>
    </w:p>
    <w:p>
      <w:pPr>
        <w:spacing w:after="120" w:line="259"/>
        <w:jc w:val="both"/>
      </w:pPr>
      <w:r>
        <w:rPr>
          <w:rFonts w:ascii="Times New Roman" w:cs="Times New Roman" w:eastAsia="Times New Roman" w:hAnsi="Times New Roman"/>
          <w:sz w:val="20"/>
          <w:szCs w:val="20"/>
        </w:rPr>
        <w:t xml:space="preserve">A collector polls each service's health endpoint, a curated subset of its Prometheus metrics and its fault-status endpoint on a fixed interval, tolerating any single service being unreachable by recording a collection error rather than terminating. Metrics are extracted selectively rather than scraped wholesale: JVM heap used, committed and maximum; HikariCP pool state for the ledger service; HTTP server and client request counts, error counts and mean durations; and process and system CPU utilisation. A synthetic login-and-payment probe runs each cycle, because the authentication and latency faults manifest only on a real request path. The probe deliberately caches its token across cycles, so that a token obtained before an authentication fault continues to be presented and begins to fail, reproducing the experience of an already-authenticated user.</w:t>
      </w:r>
    </w:p>
    <w:p>
      <w:pPr>
        <w:pStyle w:val="Heading2"/>
        <w:spacing w:after="120" w:before="240"/>
        <w:jc w:val="left"/>
      </w:pPr>
      <w:r>
        <w:rPr>
          <w:rFonts w:ascii="Times New Roman" w:cs="Times New Roman" w:eastAsia="Times New Roman" w:hAnsi="Times New Roman"/>
          <w:b w:val="false"/>
          <w:bCs w:val="false"/>
          <w:i/>
          <w:iCs/>
          <w:sz w:val="21"/>
          <w:szCs w:val="21"/>
        </w:rPr>
        <w:t xml:space="preserve">D. Anomaly detection</w:t>
      </w:r>
    </w:p>
    <w:p>
      <w:pPr>
        <w:spacing w:after="120" w:line="259"/>
        <w:jc w:val="both"/>
      </w:pPr>
      <w:r>
        <w:rPr>
          <w:rFonts w:ascii="Times New Roman" w:cs="Times New Roman" w:eastAsia="Times New Roman" w:hAnsi="Times New Roman"/>
          <w:sz w:val="20"/>
          <w:szCs w:val="20"/>
        </w:rPr>
        <w:t xml:space="preserve">One Isolation Forest is trained per service rather than one shared model, because the curated feature set is service-specific: HikariCP fields apply only to the ledger service and HTTP client fields only to the payment service. Training uses 100 estimators, a contamination parameter of 0.1 and a fixed random seed of 42.</w:t>
      </w:r>
    </w:p>
    <w:p>
      <w:pPr>
        <w:spacing w:after="120" w:line="259"/>
        <w:jc w:val="both"/>
      </w:pPr>
      <w:r>
        <w:rPr>
          <w:rFonts w:ascii="Times New Roman" w:cs="Times New Roman" w:eastAsia="Times New Roman" w:hAnsi="Times New Roman"/>
          <w:sz w:val="20"/>
          <w:szCs w:val="20"/>
        </w:rPr>
        <w:t xml:space="preserve">Training data is restricted to normal-phase and recovery-phase telemetry drawn from incidents in the Memory partition. This restriction is enforced in code rather than by convention: the loader reads only the Memory file and exposes no parameter that could redirect it at the Evaluation file.</w:t>
      </w:r>
    </w:p>
    <w:p>
      <w:pPr>
        <w:pStyle w:val="Heading2"/>
        <w:spacing w:after="120" w:before="240"/>
        <w:jc w:val="left"/>
      </w:pPr>
      <w:r>
        <w:rPr>
          <w:rFonts w:ascii="Times New Roman" w:cs="Times New Roman" w:eastAsia="Times New Roman" w:hAnsi="Times New Roman"/>
          <w:b w:val="false"/>
          <w:bCs w:val="false"/>
          <w:i/>
          <w:iCs/>
          <w:sz w:val="21"/>
          <w:szCs w:val="21"/>
        </w:rPr>
        <w:t xml:space="preserve">E. Retrieval memory</w:t>
      </w:r>
    </w:p>
    <w:p>
      <w:pPr>
        <w:spacing w:after="120" w:line="259"/>
        <w:jc w:val="both"/>
      </w:pPr>
      <w:r>
        <w:rPr>
          <w:rFonts w:ascii="Times New Roman" w:cs="Times New Roman" w:eastAsia="Times New Roman" w:hAnsi="Times New Roman"/>
          <w:sz w:val="20"/>
          <w:szCs w:val="20"/>
        </w:rPr>
        <w:t xml:space="preserve">Each Memory-partition incident is rendered as a short template-structured postmortem narrative and embedded into a persistent local ChromaDB collection using the bundled default embedding model, so that no cloud service is involved. Queries retrieve the three nearest incidents by cosine similarity.</w:t>
      </w:r>
    </w:p>
    <w:p>
      <w:pPr>
        <w:pStyle w:val="Heading2"/>
        <w:spacing w:after="120" w:before="240"/>
        <w:jc w:val="left"/>
      </w:pPr>
      <w:r>
        <w:rPr>
          <w:rFonts w:ascii="Times New Roman" w:cs="Times New Roman" w:eastAsia="Times New Roman" w:hAnsi="Times New Roman"/>
          <w:b w:val="false"/>
          <w:bCs w:val="false"/>
          <w:i/>
          <w:iCs/>
          <w:sz w:val="21"/>
          <w:szCs w:val="21"/>
        </w:rPr>
        <w:t xml:space="preserve">F. Root cause analysis</w:t>
      </w:r>
    </w:p>
    <w:p>
      <w:pPr>
        <w:spacing w:after="120" w:line="259"/>
        <w:jc w:val="both"/>
      </w:pPr>
      <w:r>
        <w:rPr>
          <w:rFonts w:ascii="Times New Roman" w:cs="Times New Roman" w:eastAsia="Times New Roman" w:hAnsi="Times New Roman"/>
          <w:sz w:val="20"/>
          <w:szCs w:val="20"/>
        </w:rPr>
        <w:t xml:space="preserve">Root cause is determined in three ordered steps.</w:t>
      </w:r>
    </w:p>
    <w:p>
      <w:pPr>
        <w:pStyle w:val="ListParagraph"/>
        <w:numPr>
          <w:ilvl w:val="0"/>
          <w:numId w:val="2"/>
        </w:numPr>
        <w:spacing w:after="80"/>
        <w:jc w:val="both"/>
      </w:pPr>
      <w:r>
        <w:rPr>
          <w:rFonts w:ascii="Times New Roman" w:cs="Times New Roman" w:eastAsia="Times New Roman" w:hAnsi="Times New Roman"/>
          <w:b/>
          <w:bCs/>
          <w:sz w:val="20"/>
          <w:szCs w:val="20"/>
        </w:rPr>
        <w:t xml:space="preserve">Signature matching.</w:t>
      </w:r>
      <w:r>
        <w:rPr>
          <w:rFonts w:ascii="Times New Roman" w:cs="Times New Roman" w:eastAsia="Times New Roman" w:hAnsi="Times New Roman"/>
          <w:sz w:val="20"/>
          <w:szCs w:val="20"/>
        </w:rPr>
        <w:t xml:space="preserve"> Observed metrics are compared against documented per-service baseline ranges and fault-specific thresholds. A match yields a fault type.</w:t>
      </w:r>
    </w:p>
    <w:p>
      <w:pPr>
        <w:pStyle w:val="ListParagraph"/>
        <w:numPr>
          <w:ilvl w:val="0"/>
          <w:numId w:val="2"/>
        </w:numPr>
        <w:spacing w:after="80"/>
        <w:jc w:val="both"/>
      </w:pPr>
      <w:r>
        <w:rPr>
          <w:rFonts w:ascii="Times New Roman" w:cs="Times New Roman" w:eastAsia="Times New Roman" w:hAnsi="Times New Roman"/>
          <w:b/>
          <w:bCs/>
          <w:sz w:val="20"/>
          <w:szCs w:val="20"/>
        </w:rPr>
        <w:t xml:space="preserve">Symptom-to-cause resolution.</w:t>
      </w:r>
      <w:r>
        <w:rPr>
          <w:rFonts w:ascii="Times New Roman" w:cs="Times New Roman" w:eastAsia="Times New Roman" w:hAnsi="Times New Roman"/>
          <w:sz w:val="20"/>
          <w:szCs w:val="20"/>
        </w:rPr>
        <w:t xml:space="preserve"> The fault type is mapped to its root-cause service through a documented domain mapping, which for the two cross-service faults names a service other than the one whose telemetry was examined.</w:t>
      </w:r>
    </w:p>
    <w:p>
      <w:pPr>
        <w:pStyle w:val="ListParagraph"/>
        <w:numPr>
          <w:ilvl w:val="0"/>
          <w:numId w:val="2"/>
        </w:numPr>
        <w:spacing w:after="80"/>
        <w:jc w:val="both"/>
      </w:pPr>
      <w:r>
        <w:rPr>
          <w:rFonts w:ascii="Times New Roman" w:cs="Times New Roman" w:eastAsia="Times New Roman" w:hAnsi="Times New Roman"/>
          <w:b/>
          <w:bCs/>
          <w:sz w:val="20"/>
          <w:szCs w:val="20"/>
        </w:rPr>
        <w:t xml:space="preserve">Retrieval adjudication.</w:t>
      </w:r>
      <w:r>
        <w:rPr>
          <w:rFonts w:ascii="Times New Roman" w:cs="Times New Roman" w:eastAsia="Times New Roman" w:hAnsi="Times New Roman"/>
          <w:sz w:val="20"/>
          <w:szCs w:val="20"/>
        </w:rPr>
        <w:t xml:space="preserve"> Retrieved incidents are compared with the conclusion. Agreement raises recorded confidence to high; disagreement lowers it to medium and is recorded explicitly as </w:t>
      </w:r>
      <w:r>
        <w:rPr>
          <w:rFonts w:ascii="Consolas" w:cs="Consolas" w:eastAsia="Consolas" w:hAnsi="Consolas"/>
          <w:sz w:val="18"/>
          <w:szCs w:val="18"/>
        </w:rPr>
        <w:t xml:space="preserve">metric_signature+rag_disagreement</w:t>
      </w:r>
      <w:r>
        <w:rPr>
          <w:rFonts w:ascii="Times New Roman" w:cs="Times New Roman" w:eastAsia="Times New Roman" w:hAnsi="Times New Roman"/>
          <w:sz w:val="20"/>
          <w:szCs w:val="20"/>
        </w:rPr>
        <w:t xml:space="preserve">. Neither changes the conclusion. Where no signature matches, and only then, the nearest retrieved incident may supply the answer, recorded as </w:t>
      </w:r>
      <w:r>
        <w:rPr>
          <w:rFonts w:ascii="Consolas" w:cs="Consolas" w:eastAsia="Consolas" w:hAnsi="Consolas"/>
          <w:sz w:val="18"/>
          <w:szCs w:val="18"/>
        </w:rPr>
        <w:t xml:space="preserve">rag_only</w:t>
      </w:r>
      <w:r>
        <w:rPr>
          <w:rFonts w:ascii="Times New Roman" w:cs="Times New Roman" w:eastAsia="Times New Roman" w:hAnsi="Times New Roman"/>
          <w:sz w:val="20"/>
          <w:szCs w:val="20"/>
        </w:rPr>
        <w:t xml:space="preserve">. Where neither applies, the system abstains.</w:t>
      </w:r>
    </w:p>
    <w:p>
      <w:pPr>
        <w:spacing w:after="120" w:line="259"/>
        <w:jc w:val="both"/>
      </w:pPr>
      <w:r>
        <w:rPr>
          <w:rFonts w:ascii="Times New Roman" w:cs="Times New Roman" w:eastAsia="Times New Roman" w:hAnsi="Times New Roman"/>
          <w:sz w:val="20"/>
          <w:szCs w:val="20"/>
        </w:rPr>
        <w:t xml:space="preserve">An optional model-generated narrative explains the conclusion already reached. Its prompt contains no recommendation field, and its failure is non-fatal.</w:t>
      </w:r>
    </w:p>
    <w:p>
      <w:pPr>
        <w:pStyle w:val="Heading2"/>
        <w:spacing w:after="120" w:before="240"/>
        <w:jc w:val="left"/>
      </w:pPr>
      <w:r>
        <w:rPr>
          <w:rFonts w:ascii="Times New Roman" w:cs="Times New Roman" w:eastAsia="Times New Roman" w:hAnsi="Times New Roman"/>
          <w:b w:val="false"/>
          <w:bCs w:val="false"/>
          <w:i/>
          <w:iCs/>
          <w:sz w:val="21"/>
          <w:szCs w:val="21"/>
        </w:rPr>
        <w:t xml:space="preserve">G. Remediation proposal</w:t>
      </w:r>
    </w:p>
    <w:p>
      <w:pPr>
        <w:spacing w:after="120" w:line="259"/>
        <w:jc w:val="both"/>
      </w:pPr>
      <w:r>
        <w:rPr>
          <w:rFonts w:ascii="Times New Roman" w:cs="Times New Roman" w:eastAsia="Times New Roman" w:hAnsi="Times New Roman"/>
          <w:sz w:val="20"/>
          <w:szCs w:val="20"/>
        </w:rPr>
        <w:t xml:space="preserve">Remediation is a deterministic fault-type-to-action lookup with no model call. Each proposal carries an action category, a target service, a risk level and a type-level guarantee that human approval is required. The proposer walks a fixed escalation ladder on failure: a targeted fault reset, then a service restart, then escalation to a human, never re-proposing a category that has already failed.</w:t>
      </w:r>
    </w:p>
    <w:p>
      <w:pPr>
        <w:pStyle w:val="Heading2"/>
        <w:spacing w:after="120" w:before="240"/>
        <w:jc w:val="left"/>
      </w:pPr>
      <w:r>
        <w:rPr>
          <w:rFonts w:ascii="Times New Roman" w:cs="Times New Roman" w:eastAsia="Times New Roman" w:hAnsi="Times New Roman"/>
          <w:b w:val="false"/>
          <w:bCs w:val="false"/>
          <w:i/>
          <w:iCs/>
          <w:sz w:val="21"/>
          <w:szCs w:val="21"/>
        </w:rPr>
        <w:t xml:space="preserve">H. Safety validation</w:t>
      </w:r>
    </w:p>
    <w:p>
      <w:pPr>
        <w:spacing w:after="120" w:line="259"/>
        <w:jc w:val="both"/>
      </w:pPr>
      <w:r>
        <w:rPr>
          <w:rFonts w:ascii="Times New Roman" w:cs="Times New Roman" w:eastAsia="Times New Roman" w:hAnsi="Times New Roman"/>
          <w:sz w:val="20"/>
          <w:szCs w:val="20"/>
        </w:rPr>
        <w:t xml:space="preserve">The validator contains no AI, no model call and no network access. It independently re-checks every field of a proposal against a whitelist of permitted action categories and target services, and implements a domain rule: any action with risk level </w:t>
      </w:r>
      <w:r>
        <w:rPr>
          <w:rFonts w:ascii="Times New Roman" w:cs="Times New Roman" w:eastAsia="Times New Roman" w:hAnsi="Times New Roman"/>
          <w:i/>
          <w:iCs/>
          <w:sz w:val="20"/>
          <w:szCs w:val="20"/>
        </w:rPr>
        <w:t xml:space="preserve">high</w:t>
      </w:r>
      <w:r>
        <w:rPr>
          <w:rFonts w:ascii="Times New Roman" w:cs="Times New Roman" w:eastAsia="Times New Roman" w:hAnsi="Times New Roman"/>
          <w:sz w:val="20"/>
          <w:szCs w:val="20"/>
        </w:rPr>
        <w:t xml:space="preserve"> targeting the ledger service is rejected, because that service holds uncommitted transactional state behind a pessimistic locking boundary. A rejected proposal is routed to finalisation and never reaches a human, on the principle that a rule violation should not consume operator attention.</w:t>
      </w:r>
    </w:p>
    <w:p>
      <w:pPr>
        <w:pStyle w:val="Heading2"/>
        <w:spacing w:after="120" w:before="240"/>
        <w:jc w:val="left"/>
      </w:pPr>
      <w:r>
        <w:rPr>
          <w:rFonts w:ascii="Times New Roman" w:cs="Times New Roman" w:eastAsia="Times New Roman" w:hAnsi="Times New Roman"/>
          <w:b w:val="false"/>
          <w:bCs w:val="false"/>
          <w:i/>
          <w:iCs/>
          <w:sz w:val="21"/>
          <w:szCs w:val="21"/>
        </w:rPr>
        <w:t xml:space="preserve">I. Mandatory human approval</w:t>
      </w:r>
    </w:p>
    <w:p>
      <w:pPr>
        <w:spacing w:after="120" w:line="259"/>
        <w:jc w:val="both"/>
      </w:pPr>
      <w:r>
        <w:rPr>
          <w:rFonts w:ascii="Times New Roman" w:cs="Times New Roman" w:eastAsia="Times New Roman" w:hAnsi="Times New Roman"/>
          <w:sz w:val="20"/>
          <w:szCs w:val="20"/>
        </w:rPr>
        <w:t xml:space="preserve">Approval is implemented as a graph-level interrupt. The workflow is compiled with a checkpointer and physically cannot advance past the approval node without an external resume signal carrying an explicit decision. This is a structural property of the execution model, not a documented convention. Three further properties hold: a human approval cannot override a safety rejection, because safety is evaluated first and independently; the decision and its free-text reason are recorded verbatim in the final result; and each retry after a failed remediation raises a </w:t>
      </w:r>
      <w:r>
        <w:rPr>
          <w:rFonts w:ascii="Times New Roman" w:cs="Times New Roman" w:eastAsia="Times New Roman" w:hAnsi="Times New Roman"/>
          <w:i/>
          <w:iCs/>
          <w:sz w:val="20"/>
          <w:szCs w:val="20"/>
        </w:rPr>
        <w:t xml:space="preserve">fresh</w:t>
      </w:r>
      <w:r>
        <w:rPr>
          <w:rFonts w:ascii="Times New Roman" w:cs="Times New Roman" w:eastAsia="Times New Roman" w:hAnsi="Times New Roman"/>
          <w:sz w:val="20"/>
          <w:szCs w:val="20"/>
        </w:rPr>
        <w:t xml:space="preserve"> interrupt, so an approval granted for one action is never inherited by a different one.</w:t>
      </w:r>
    </w:p>
    <w:p>
      <w:pPr>
        <w:pStyle w:val="Heading2"/>
        <w:spacing w:after="120" w:before="240"/>
        <w:jc w:val="left"/>
      </w:pPr>
      <w:r>
        <w:rPr>
          <w:rFonts w:ascii="Times New Roman" w:cs="Times New Roman" w:eastAsia="Times New Roman" w:hAnsi="Times New Roman"/>
          <w:b w:val="false"/>
          <w:bCs w:val="false"/>
          <w:i/>
          <w:iCs/>
          <w:sz w:val="21"/>
          <w:szCs w:val="21"/>
        </w:rPr>
        <w:t xml:space="preserve">J. Execution, verification and feedback</w:t>
      </w:r>
    </w:p>
    <w:p>
      <w:pPr>
        <w:spacing w:after="120" w:line="259"/>
        <w:jc w:val="both"/>
      </w:pPr>
      <w:r>
        <w:rPr>
          <w:rFonts w:ascii="Times New Roman" w:cs="Times New Roman" w:eastAsia="Times New Roman" w:hAnsi="Times New Roman"/>
          <w:sz w:val="20"/>
          <w:szCs w:val="20"/>
        </w:rPr>
        <w:t xml:space="preserve">Execution is the only component that mutates the running system, and it re-checks all three gates immediately before acting rather than trusting graph routing. It can perform exactly one of three things: POST a service's own fault-reset endpoint, delete a pod so its deployment recreates it, or nothing. There is no generic command path, and the Kubernetes client refuses any service outside the four in this system.</w:t>
      </w:r>
    </w:p>
    <w:p>
      <w:pPr>
        <w:spacing w:after="120" w:line="259"/>
        <w:jc w:val="both"/>
      </w:pPr>
      <w:r>
        <w:rPr>
          <w:rFonts w:ascii="Times New Roman" w:cs="Times New Roman" w:eastAsia="Times New Roman" w:hAnsi="Times New Roman"/>
          <w:sz w:val="20"/>
          <w:szCs w:val="20"/>
        </w:rPr>
        <w:t xml:space="preserve">Verification re-observes the target's fault-status and health endpoints rather than trusting the remediation call's own success response. This is what makes a false recovery detectable at all. Completed runs are written back into retrieval memory in the same postmortem format, including failures and rejections rather than rewriting them as successes.</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IV. EXPERIMENTAL SETUP</w:t>
      </w:r>
    </w:p>
    <w:p>
      <w:pPr>
        <w:pStyle w:val="Heading2"/>
        <w:spacing w:after="120" w:before="240"/>
        <w:jc w:val="left"/>
      </w:pPr>
      <w:r>
        <w:rPr>
          <w:rFonts w:ascii="Times New Roman" w:cs="Times New Roman" w:eastAsia="Times New Roman" w:hAnsi="Times New Roman"/>
          <w:b w:val="false"/>
          <w:bCs w:val="false"/>
          <w:i/>
          <w:iCs/>
          <w:sz w:val="21"/>
          <w:szCs w:val="21"/>
        </w:rPr>
        <w:t xml:space="preserve">A. Dataset construction</w:t>
      </w:r>
    </w:p>
    <w:p>
      <w:pPr>
        <w:spacing w:after="120" w:line="259"/>
        <w:jc w:val="both"/>
      </w:pPr>
      <w:r>
        <w:rPr>
          <w:rFonts w:ascii="Times New Roman" w:cs="Times New Roman" w:eastAsia="Times New Roman" w:hAnsi="Times New Roman"/>
          <w:sz w:val="20"/>
          <w:szCs w:val="20"/>
        </w:rPr>
        <w:t xml:space="preserve">Incidents were reconstructed from raw telemetry captured during controlled fault-injection experiments, and augmented with deterministically generated synthetic incidents whose fault-phase formulas mirror each real fault mechanism and whose baseline ranges are anchored to values observed live. Every synthetic incident is labelled as such and never presented as real. The reported run uses a corpus of 68 incidents.</w:t>
      </w:r>
    </w:p>
    <w:p>
      <w:pPr>
        <w:spacing w:after="120" w:line="259"/>
        <w:jc w:val="both"/>
      </w:pPr>
      <w:r>
        <w:rPr>
          <w:rFonts w:ascii="Times New Roman" w:cs="Times New Roman" w:eastAsia="Times New Roman" w:hAnsi="Times New Roman"/>
          <w:sz w:val="20"/>
          <w:szCs w:val="20"/>
        </w:rPr>
        <w:t xml:space="preserve">Each incident records its phase boundaries, per-service metric averages for the normal, fault-active and recovery phases, metric deltas, observed errors, correlation identifiers and a generated postmortem narrative.</w:t>
      </w:r>
    </w:p>
    <w:p>
      <w:pPr>
        <w:pStyle w:val="Heading2"/>
        <w:spacing w:after="120" w:before="240"/>
        <w:jc w:val="left"/>
      </w:pPr>
      <w:r>
        <w:rPr>
          <w:rFonts w:ascii="Times New Roman" w:cs="Times New Roman" w:eastAsia="Times New Roman" w:hAnsi="Times New Roman"/>
          <w:b w:val="false"/>
          <w:bCs w:val="false"/>
          <w:i/>
          <w:iCs/>
          <w:sz w:val="21"/>
          <w:szCs w:val="21"/>
        </w:rPr>
        <w:t xml:space="preserve">B. Memory and Evaluation partitioning</w:t>
      </w:r>
    </w:p>
    <w:p>
      <w:pPr>
        <w:spacing w:after="120" w:line="259"/>
        <w:jc w:val="both"/>
      </w:pPr>
      <w:r>
        <w:rPr>
          <w:rFonts w:ascii="Times New Roman" w:cs="Times New Roman" w:eastAsia="Times New Roman" w:hAnsi="Times New Roman"/>
          <w:sz w:val="20"/>
          <w:szCs w:val="20"/>
        </w:rPr>
        <w:t xml:space="preserve">The corpus is split deterministically under seed 42, stratified by fault type, into a 20-incident Memory partition used exclusively for retrieval and detector training, and a 48-incident Evaluation partition used exclusively for measurement. The Evaluation partition contains 12 incidents of each fault type, of which 24 are cross-service.</w:t>
      </w:r>
    </w:p>
    <w:p>
      <w:pPr>
        <w:pStyle w:val="Heading2"/>
        <w:spacing w:after="120" w:before="240"/>
        <w:jc w:val="left"/>
      </w:pPr>
      <w:r>
        <w:rPr>
          <w:rFonts w:ascii="Times New Roman" w:cs="Times New Roman" w:eastAsia="Times New Roman" w:hAnsi="Times New Roman"/>
          <w:b w:val="false"/>
          <w:bCs w:val="false"/>
          <w:i/>
          <w:iCs/>
          <w:sz w:val="21"/>
          <w:szCs w:val="21"/>
        </w:rPr>
        <w:t xml:space="preserve">C. Leakage prevention</w:t>
      </w:r>
    </w:p>
    <w:p>
      <w:pPr>
        <w:spacing w:after="120" w:line="259"/>
        <w:jc w:val="both"/>
      </w:pPr>
      <w:r>
        <w:rPr>
          <w:rFonts w:ascii="Times New Roman" w:cs="Times New Roman" w:eastAsia="Times New Roman" w:hAnsi="Times New Roman"/>
          <w:sz w:val="20"/>
          <w:szCs w:val="20"/>
        </w:rPr>
        <w:t xml:space="preserve">Separation is enforced in code at three independent layers. The collection builder never opens the Evaluation file; it checks for identifier overlap before writing anything and re-verifies by direct lookup afterwards. The feedback writer refuses any incident belonging to the Evaluation partition, and fails closed when the Evaluation file cannot be read, so that "cannot check" is never silently treated as "nothing to check". Finally, the evaluation harness verifies the guard </w:t>
      </w:r>
      <w:r>
        <w:rPr>
          <w:rFonts w:ascii="Times New Roman" w:cs="Times New Roman" w:eastAsia="Times New Roman" w:hAnsi="Times New Roman"/>
          <w:i/>
          <w:iCs/>
          <w:sz w:val="20"/>
          <w:szCs w:val="20"/>
        </w:rPr>
        <w:t xml:space="preserve">live</w:t>
      </w:r>
      <w:r>
        <w:rPr>
          <w:rFonts w:ascii="Times New Roman" w:cs="Times New Roman" w:eastAsia="Times New Roman" w:hAnsi="Times New Roman"/>
          <w:sz w:val="20"/>
          <w:szCs w:val="20"/>
        </w:rPr>
        <w:t xml:space="preserve"> before any measurement is recorded: it attempts a write-back of a genuine Evaluation incident and aborts the entire run unless the refusal occurs. The probe identifier and refusal reason are recorded in the results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4 - DATASET CONSTRUCTION AND THE LEAKAGE BARRIER   [AUTHOR: render from</w:t>
            </w:r>
          </w:p>
          <w:p>
            <w:pPr>
              <w:spacing w:after="60"/>
            </w:pPr>
            <w:r>
              <w:rPr>
                <w:rFonts w:ascii="Times New Roman" w:cs="Times New Roman" w:eastAsia="Times New Roman" w:hAnsi="Times New Roman"/>
                <w:i/>
                <w:iCs/>
                <w:color w:val="6B4E00"/>
                <w:sz w:val="18"/>
                <w:szCs w:val="18"/>
              </w:rPr>
              <w:t xml:space="preserve">docs/paper/diagrams.md, "Dataset construction and the leakage barrier". Single column.</w:t>
            </w:r>
          </w:p>
          <w:p>
            <w:pPr>
              <w:spacing w:after="60"/>
            </w:pPr>
            <w:r>
              <w:rPr>
                <w:rFonts w:ascii="Times New Roman" w:cs="Times New Roman" w:eastAsia="Times New Roman" w:hAnsi="Times New Roman"/>
                <w:i/>
                <w:iCs/>
                <w:color w:val="6B4E00"/>
                <w:sz w:val="18"/>
                <w:szCs w:val="18"/>
              </w:rPr>
              <w:t xml:space="preserve">Show all three enforcement layers as separate barriers, and mark the live pre-flight</w:t>
            </w:r>
          </w:p>
          <w:p>
            <w:pPr>
              <w:spacing w:after="0"/>
            </w:pPr>
            <w:r>
              <w:rPr>
                <w:rFonts w:ascii="Times New Roman" w:cs="Times New Roman" w:eastAsia="Times New Roman" w:hAnsi="Times New Roman"/>
                <w:i/>
                <w:iCs/>
                <w:color w:val="6B4E00"/>
                <w:sz w:val="18"/>
                <w:szCs w:val="18"/>
              </w:rPr>
              <w:t xml:space="preserve">check distinctly - it is the one that runs at measurement time rather than at build time.</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Dataset construction and the three independent points at which Evaluation-set leakage is refused. The retrieval-memory builder never opens the Evaluation file; the feedback writer refuses Evaluation incidents and fails closed when the file cannot be read; and the harness verifies the guard live before any measurement, aborting the run if a genuine Evaluation incident is not refused.</w:t>
      </w:r>
    </w:p>
    <w:p>
      <w:pPr>
        <w:pStyle w:val="Heading2"/>
        <w:spacing w:after="120" w:before="240"/>
        <w:jc w:val="left"/>
      </w:pPr>
      <w:r>
        <w:rPr>
          <w:rFonts w:ascii="Times New Roman" w:cs="Times New Roman" w:eastAsia="Times New Roman" w:hAnsi="Times New Roman"/>
          <w:b w:val="false"/>
          <w:bCs w:val="false"/>
          <w:i/>
          <w:iCs/>
          <w:sz w:val="21"/>
          <w:szCs w:val="21"/>
        </w:rPr>
        <w:t xml:space="preserve">D. Single-agent baseline</w:t>
      </w:r>
    </w:p>
    <w:p>
      <w:pPr>
        <w:spacing w:after="120" w:line="259"/>
        <w:jc w:val="both"/>
      </w:pPr>
      <w:r>
        <w:rPr>
          <w:rFonts w:ascii="Times New Roman" w:cs="Times New Roman" w:eastAsia="Times New Roman" w:hAnsi="Times New Roman"/>
          <w:sz w:val="20"/>
          <w:szCs w:val="20"/>
        </w:rPr>
        <w:t xml:space="preserve">The baseline is a genuinely separate implementation: one prompt, one model call producing root cause and action together, importing nothing from the root-cause, remediation or interpretation modules. Every stage that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the diagnostic step is shared by importing the identical node objects, and a test asserts node identity so the arms cannot drift apart. The isolated variable is therefore agent decomposition, not retrieval, not detection and not downstream governance. The baseline receives the same retrieved incidents. Its failure modes are recorded rather than repaired: a hallucinated service or invented action becomes a countable parse issue, and an invented action is coerced to something non-executable. It does not retry, so the comparison uses one attempt per incident for both arms.</w:t>
      </w:r>
    </w:p>
    <w:p>
      <w:pPr>
        <w:pStyle w:val="Heading2"/>
        <w:spacing w:after="120" w:before="240"/>
        <w:jc w:val="left"/>
      </w:pPr>
      <w:r>
        <w:rPr>
          <w:rFonts w:ascii="Times New Roman" w:cs="Times New Roman" w:eastAsia="Times New Roman" w:hAnsi="Times New Roman"/>
          <w:b w:val="false"/>
          <w:bCs w:val="false"/>
          <w:i/>
          <w:iCs/>
          <w:sz w:val="21"/>
          <w:szCs w:val="21"/>
        </w:rPr>
        <w:t xml:space="preserve">E. Replay protocol</w:t>
      </w:r>
    </w:p>
    <w:p>
      <w:pPr>
        <w:spacing w:after="120" w:line="259"/>
        <w:jc w:val="both"/>
      </w:pPr>
      <w:r>
        <w:rPr>
          <w:rFonts w:ascii="Times New Roman" w:cs="Times New Roman" w:eastAsia="Times New Roman" w:hAnsi="Times New Roman"/>
          <w:sz w:val="20"/>
          <w:szCs w:val="20"/>
        </w:rPr>
        <w:t xml:space="preserve">Each Evaluation incident is converted into the single raw telemetry record a monitor would have seen. Three decisions carry methodological weight.</w:t>
      </w:r>
    </w:p>
    <w:p>
      <w:pPr>
        <w:pStyle w:val="ListParagraph"/>
        <w:numPr>
          <w:ilvl w:val="0"/>
          <w:numId w:val="2"/>
        </w:numPr>
        <w:spacing w:after="80"/>
        <w:jc w:val="both"/>
      </w:pPr>
      <w:r>
        <w:rPr>
          <w:rFonts w:ascii="Times New Roman" w:cs="Times New Roman" w:eastAsia="Times New Roman" w:hAnsi="Times New Roman"/>
          <w:b/>
          <w:bCs/>
          <w:sz w:val="20"/>
          <w:szCs w:val="20"/>
        </w:rPr>
        <w:t xml:space="preserve">The symptom service's record is replayed</w:t>
      </w:r>
      <w:r>
        <w:rPr>
          <w:rFonts w:ascii="Times New Roman" w:cs="Times New Roman" w:eastAsia="Times New Roman" w:hAnsi="Times New Roman"/>
          <w:sz w:val="20"/>
          <w:szCs w:val="20"/>
        </w:rPr>
        <w:t xml:space="preserve">, because a real monitor cannot know in advance that the cause lies elsewhere.</w:t>
      </w:r>
    </w:p>
    <w:p>
      <w:pPr>
        <w:pStyle w:val="ListParagraph"/>
        <w:numPr>
          <w:ilvl w:val="0"/>
          <w:numId w:val="2"/>
        </w:numPr>
        <w:spacing w:after="80"/>
        <w:jc w:val="both"/>
      </w:pPr>
      <w:r>
        <w:rPr>
          <w:rFonts w:ascii="Times New Roman" w:cs="Times New Roman" w:eastAsia="Times New Roman" w:hAnsi="Times New Roman"/>
          <w:b/>
          <w:bCs/>
          <w:sz w:val="20"/>
          <w:szCs w:val="20"/>
        </w:rPr>
        <w:t xml:space="preserve">The fault-active phase averages are used</w:t>
      </w:r>
      <w:r>
        <w:rPr>
          <w:rFonts w:ascii="Times New Roman" w:cs="Times New Roman" w:eastAsia="Times New Roman" w:hAnsi="Times New Roman"/>
          <w:sz w:val="20"/>
          <w:szCs w:val="20"/>
        </w:rPr>
        <w:t xml:space="preserve">, unmodified.</w:t>
      </w:r>
    </w:p>
    <w:p>
      <w:pPr>
        <w:pStyle w:val="ListParagraph"/>
        <w:numPr>
          <w:ilvl w:val="0"/>
          <w:numId w:val="2"/>
        </w:numPr>
        <w:spacing w:after="80"/>
        <w:jc w:val="both"/>
      </w:pPr>
      <w:r>
        <w:rPr>
          <w:rFonts w:ascii="Times New Roman" w:cs="Times New Roman" w:eastAsia="Times New Roman" w:hAnsi="Times New Roman"/>
          <w:b/>
          <w:bCs/>
          <w:sz w:val="20"/>
          <w:szCs w:val="20"/>
        </w:rPr>
        <w:t xml:space="preserve">The self-reported fault flag is withheld.</w:t>
      </w:r>
      <w:r>
        <w:rPr>
          <w:rFonts w:ascii="Times New Roman" w:cs="Times New Roman" w:eastAsia="Times New Roman" w:hAnsi="Times New Roman"/>
          <w:sz w:val="20"/>
          <w:szCs w:val="20"/>
        </w:rPr>
        <w:t xml:space="preserve"> Each service exposes an endpoint stating whether its own fault injection is active, which for a same-service fault is effectively an answer key. A genuine unknown incident does not arrive with such a flag, so neither does a replayed one.</w:t>
      </w:r>
    </w:p>
    <w:p>
      <w:pPr>
        <w:spacing w:after="120" w:line="259"/>
        <w:jc w:val="both"/>
      </w:pPr>
      <w:r>
        <w:rPr>
          <w:rFonts w:ascii="Times New Roman" w:cs="Times New Roman" w:eastAsia="Times New Roman" w:hAnsi="Times New Roman"/>
          <w:sz w:val="20"/>
          <w:szCs w:val="20"/>
        </w:rPr>
        <w:t xml:space="preserve">The simulated operator approves everything reaching it, deliberately. Gating execution on ground truth would make recovery metrics measure how well remediation works </w:t>
      </w:r>
      <w:r>
        <w:rPr>
          <w:rFonts w:ascii="Times New Roman" w:cs="Times New Roman" w:eastAsia="Times New Roman" w:hAnsi="Times New Roman"/>
          <w:i/>
          <w:iCs/>
          <w:sz w:val="20"/>
          <w:szCs w:val="20"/>
        </w:rPr>
        <w:t xml:space="preserve">when the diagnosis is already known to be correct</w:t>
      </w:r>
      <w:r>
        <w:rPr>
          <w:rFonts w:ascii="Times New Roman" w:cs="Times New Roman" w:eastAsia="Times New Roman" w:hAnsi="Times New Roman"/>
          <w:sz w:val="20"/>
          <w:szCs w:val="20"/>
        </w:rPr>
        <w:t xml:space="preserve">.</w:t>
      </w:r>
    </w:p>
    <w:p>
      <w:pPr>
        <w:pStyle w:val="Heading2"/>
        <w:spacing w:after="120" w:before="240"/>
        <w:jc w:val="left"/>
      </w:pPr>
      <w:r>
        <w:rPr>
          <w:rFonts w:ascii="Times New Roman" w:cs="Times New Roman" w:eastAsia="Times New Roman" w:hAnsi="Times New Roman"/>
          <w:b w:val="false"/>
          <w:bCs w:val="false"/>
          <w:i/>
          <w:iCs/>
          <w:sz w:val="21"/>
          <w:szCs w:val="21"/>
        </w:rPr>
        <w:t xml:space="preserve">F. Metrics</w:t>
      </w:r>
    </w:p>
    <w:p>
      <w:pPr>
        <w:spacing w:after="120" w:line="259"/>
        <w:jc w:val="both"/>
      </w:pPr>
      <w:r>
        <w:rPr>
          <w:rFonts w:ascii="Times New Roman" w:cs="Times New Roman" w:eastAsia="Times New Roman" w:hAnsi="Times New Roman"/>
          <w:sz w:val="20"/>
          <w:szCs w:val="20"/>
        </w:rPr>
        <w:t xml:space="preserve">We report five categories. Performance covers accuracy over all incidents, accuracy when answered, abstention rate, macro precision, recall and F1, and cross- and same-service accuracy reported separately. System covers detection latency, time to first approval pause and anomaly detection rate. AI covers model calls, wall-clock time, reasoning availability and two hallucination measures. Human covers incidents reaching approval, decisions recorded, unsafe actions prevented and, as the safety invariant, executions without approval. Infrastructure metrics were not collected.</w:t>
      </w:r>
    </w:p>
    <w:p>
      <w:pPr>
        <w:spacing w:after="120" w:line="259"/>
        <w:jc w:val="both"/>
      </w:pPr>
      <w:r>
        <w:rPr>
          <w:rFonts w:ascii="Times New Roman" w:cs="Times New Roman" w:eastAsia="Times New Roman" w:hAnsi="Times New Roman"/>
          <w:sz w:val="20"/>
          <w:szCs w:val="20"/>
        </w:rPr>
        <w:t xml:space="preserve">Two conventions distinguish this protocol. An unmeasurable quantity is reported as unmeasurable with a stated reason, never as a number. And an abstention is scored separately from a wrong answer, because conflating them rewards a system that guesses.</w:t>
      </w:r>
    </w:p>
    <w:p>
      <w:pPr>
        <w:spacing w:after="120" w:line="259"/>
        <w:jc w:val="both"/>
      </w:pPr>
      <w:r>
        <w:rPr>
          <w:rFonts w:ascii="Times New Roman" w:cs="Times New Roman" w:eastAsia="Times New Roman" w:hAnsi="Times New Roman"/>
          <w:sz w:val="20"/>
          <w:szCs w:val="20"/>
        </w:rPr>
        <w:t xml:space="preserve">Our system emits a single root-cause service rather than a ranked list, so the Top-k and mean reciprocal rank metrics prevalent in graph-based localisation work [5], [7], [8] are not applicable; our accuracy figures correspond to Top-1.</w:t>
      </w:r>
    </w:p>
    <w:p>
      <w:pPr>
        <w:pStyle w:val="Heading2"/>
        <w:spacing w:after="120" w:before="240"/>
        <w:jc w:val="left"/>
      </w:pPr>
      <w:r>
        <w:rPr>
          <w:rFonts w:ascii="Times New Roman" w:cs="Times New Roman" w:eastAsia="Times New Roman" w:hAnsi="Times New Roman"/>
          <w:b w:val="false"/>
          <w:bCs w:val="false"/>
          <w:i/>
          <w:iCs/>
          <w:sz w:val="21"/>
          <w:szCs w:val="21"/>
        </w:rPr>
        <w:t xml:space="preserve">G. Verifying that the scored quantity is not a constant</w:t>
      </w:r>
    </w:p>
    <w:p>
      <w:pPr>
        <w:spacing w:after="120" w:line="259"/>
        <w:jc w:val="both"/>
      </w:pPr>
      <w:r>
        <w:rPr>
          <w:rFonts w:ascii="Times New Roman" w:cs="Times New Roman" w:eastAsia="Times New Roman" w:hAnsi="Times New Roman"/>
          <w:sz w:val="20"/>
          <w:szCs w:val="20"/>
        </w:rPr>
        <w:t xml:space="preserve">Following the obligation set out in Section II-F, we audit empirically whether the scored output varies with input. The root-cause analysis was given five telemetry inputs and its output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Input (service, distinguishing metric)</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Fault type</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Root cause</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Method</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 heap used 5.0e8</w:t>
            </w:r>
          </w:p>
        </w:tc>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memory-leak</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signature</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 server error count 25</w:t>
            </w:r>
          </w:p>
        </w:tc>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auth-key-error</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signature</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 client duration 5200 ms</w:t>
            </w:r>
          </w:p>
        </w:tc>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notification-latency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notification-service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signature</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ledger-service, HikariCP active 10</w:t>
            </w:r>
          </w:p>
        </w:tc>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db-lock</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ledger-service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signature</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 all metrics at baseline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none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payment-service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fallback</w:t>
            </w:r>
          </w:p>
        </w:tc>
      </w:tr>
    </w:tbl>
    <w:p>
      <w:pPr>
        <w:spacing w:after="160"/>
      </w:pPr>
    </w:p>
    <w:p>
      <w:pPr>
        <w:spacing w:after="120" w:line="259"/>
        <w:jc w:val="both"/>
      </w:pPr>
      <w:r>
        <w:rPr>
          <w:rFonts w:ascii="Times New Roman" w:cs="Times New Roman" w:eastAsia="Times New Roman" w:hAnsi="Times New Roman"/>
          <w:sz w:val="20"/>
          <w:szCs w:val="20"/>
        </w:rPr>
        <w:t xml:space="preserve">Rows one to three are all payment-service records and yield three different root-cause services, so the output is driven by metric values rather than by the identity of the reporting service. Row five shows abstention from naming a fault type rather than emission of a default. This audit is enforced by a permanent regression test.</w:t>
      </w:r>
    </w:p>
    <w:p>
      <w:pPr>
        <w:spacing w:after="120" w:line="259"/>
        <w:jc w:val="both"/>
      </w:pPr>
      <w:r>
        <w:rPr>
          <w:rFonts w:ascii="Times New Roman" w:cs="Times New Roman" w:eastAsia="Times New Roman" w:hAnsi="Times New Roman"/>
          <w:b/>
          <w:bCs/>
          <w:sz w:val="20"/>
          <w:szCs w:val="20"/>
        </w:rPr>
        <w:t xml:space="preserve">A second-order disclosure.</w:t>
      </w:r>
      <w:r>
        <w:rPr>
          <w:rFonts w:ascii="Times New Roman" w:cs="Times New Roman" w:eastAsia="Times New Roman" w:hAnsi="Times New Roman"/>
          <w:sz w:val="20"/>
          <w:szCs w:val="20"/>
        </w:rPr>
        <w:t xml:space="preserve"> Once a fault type is determined, the root-cause service follows from a fixed domain mapping that the ground-truth labels also use. Root-cause accuracy is therefore arithmetically equal to fault-type accuracy for this system, and is not an additional independent capability. The defensible claim is narrower than "the system identifies root causes" and should be read as: </w:t>
      </w:r>
      <w:r>
        <w:rPr>
          <w:rFonts w:ascii="Times New Roman" w:cs="Times New Roman" w:eastAsia="Times New Roman" w:hAnsi="Times New Roman"/>
          <w:i/>
          <w:iCs/>
          <w:sz w:val="20"/>
          <w:szCs w:val="20"/>
        </w:rPr>
        <w:t xml:space="preserve">the system identifies the fault type from symptom-service telemetry alone, and consequently does not attribute cross-service faults to the service reporting the symptom.</w:t>
      </w:r>
    </w:p>
    <w:p>
      <w:pPr>
        <w:pStyle w:val="Heading2"/>
        <w:spacing w:after="120" w:before="240"/>
        <w:jc w:val="left"/>
      </w:pPr>
      <w:r>
        <w:rPr>
          <w:rFonts w:ascii="Times New Roman" w:cs="Times New Roman" w:eastAsia="Times New Roman" w:hAnsi="Times New Roman"/>
          <w:b w:val="false"/>
          <w:bCs w:val="false"/>
          <w:i/>
          <w:iCs/>
          <w:sz w:val="21"/>
          <w:szCs w:val="21"/>
        </w:rPr>
        <w:t xml:space="preserve">H. Implementation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Component</w:t>
            </w:r>
          </w:p>
        </w:tc>
        <w:tc>
          <w:tcPr>
            <w:tcW w:type="dxa" w:w="468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Configuration</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Anomaly detection</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Isolation Forest, 100 estimators, contamination 0.1, seed 42</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Features</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Per-service curated schema (JVM memory, HikariCP, HTTP server/client, CPU)</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Training data</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Normal and recovery phases, Memory partition only</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Vector store</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ChromaDB, persistent, local</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Embedding</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ChromaDB bundled default model (local ONNX)</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Retrieval depth</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nearest incidents, cosine similarity</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Language model</w:t>
            </w:r>
          </w:p>
        </w:tc>
        <w:tc>
          <w:tcPr>
            <w:tcW w:type="dxa" w:w="4680"/>
            <w:tcMar>
              <w:top w:type="dxa" w:w="60"/>
              <w:left w:type="dxa" w:w="100"/>
              <w:bottom w:type="dxa" w:w="60"/>
              <w:right w:type="dxa" w:w="100"/>
            </w:tcMar>
          </w:tcPr>
          <w:p>
            <w:pPr>
              <w:spacing w:after="0"/>
            </w:pPr>
            <w:r>
              <w:rPr>
                <w:rFonts w:ascii="Consolas" w:cs="Consolas" w:eastAsia="Consolas" w:hAnsi="Consolas"/>
                <w:sz w:val="18"/>
                <w:szCs w:val="18"/>
              </w:rPr>
              <w:t xml:space="preserve">llama3.2:3b</w:t>
            </w:r>
            <w:r>
              <w:rPr>
                <w:rFonts w:ascii="Times New Roman" w:cs="Times New Roman" w:eastAsia="Times New Roman" w:hAnsi="Times New Roman"/>
                <w:sz w:val="20"/>
                <w:szCs w:val="20"/>
              </w:rPr>
              <w:t xml:space="preserve">, self-hosted via Ollama, 30 s timeout</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Orchestration</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LangGraph checkpointed state graph, 12 nodes</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Execution mode</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Dry run (replay)</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Feedback</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Disabled during measurement</w:t>
            </w:r>
          </w:p>
        </w:tc>
      </w:tr>
    </w:tbl>
    <w:p>
      <w:pPr>
        <w:spacing w:after="160"/>
      </w:pPr>
    </w:p>
    <w:p>
      <w:pPr>
        <w:pStyle w:val="Heading2"/>
        <w:spacing w:after="120" w:before="240"/>
        <w:jc w:val="left"/>
      </w:pPr>
      <w:r>
        <w:rPr>
          <w:rFonts w:ascii="Times New Roman" w:cs="Times New Roman" w:eastAsia="Times New Roman" w:hAnsi="Times New Roman"/>
          <w:b w:val="false"/>
          <w:bCs w:val="false"/>
          <w:i/>
          <w:iCs/>
          <w:sz w:val="21"/>
          <w:szCs w:val="21"/>
        </w:rPr>
        <w:t xml:space="preserve">I. Environment and reproducibility</w:t>
      </w:r>
    </w:p>
    <w:p>
      <w:pPr>
        <w:spacing w:after="120" w:line="259"/>
        <w:jc w:val="both"/>
      </w:pPr>
      <w:r>
        <w:rPr>
          <w:rFonts w:ascii="Times New Roman" w:cs="Times New Roman" w:eastAsia="Times New Roman" w:hAnsi="Times New Roman"/>
          <w:sz w:val="20"/>
          <w:szCs w:val="20"/>
        </w:rPr>
        <w:t xml:space="preserve">The reported run executed on Windows 11 with Python 3.12.2 in replay mode with execution in dry run and feedback disabled. Determinism is enforced by fixed seeds and by deriving all pseudo-random offsets from a specified stable checksum rather than from the interpreter's randomised string hash, a defect found and corrected during this work. A regression test executes the generator in a </w:t>
      </w:r>
      <w:r>
        <w:rPr>
          <w:rFonts w:ascii="Times New Roman" w:cs="Times New Roman" w:eastAsia="Times New Roman" w:hAnsi="Times New Roman"/>
          <w:i/>
          <w:iCs/>
          <w:sz w:val="20"/>
          <w:szCs w:val="20"/>
        </w:rPr>
        <w:t xml:space="preserve">separate process</w:t>
      </w:r>
      <w:r>
        <w:rPr>
          <w:rFonts w:ascii="Times New Roman" w:cs="Times New Roman" w:eastAsia="Times New Roman" w:hAnsi="Times New Roman"/>
          <w:sz w:val="20"/>
          <w:szCs w:val="20"/>
        </w:rPr>
        <w:t xml:space="preserve">, because a same-process test cannot detect per-process hash randomisation. The software carries 316 automated tests across three Python packages and 47 across four Java services, all passing.</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V. RESULTS</w:t>
      </w:r>
    </w:p>
    <w:p>
      <w:pPr>
        <w:pStyle w:val="Heading2"/>
        <w:spacing w:after="120" w:before="240"/>
        <w:jc w:val="left"/>
      </w:pPr>
      <w:r>
        <w:rPr>
          <w:rFonts w:ascii="Times New Roman" w:cs="Times New Roman" w:eastAsia="Times New Roman" w:hAnsi="Times New Roman"/>
          <w:b w:val="false"/>
          <w:bCs w:val="false"/>
          <w:i/>
          <w:iCs/>
          <w:sz w:val="21"/>
          <w:szCs w:val="21"/>
        </w:rPr>
        <w:t xml:space="preserve">A. Root cause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Multi-agent</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Single-agent baseline</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over all 48 incidents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20.8%</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12.5%</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when answered</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r>
              <w:rPr>
                <w:rFonts w:ascii="Times New Roman" w:cs="Times New Roman" w:eastAsia="Times New Roman" w:hAnsi="Times New Roman"/>
                <w:sz w:val="20"/>
                <w:szCs w:val="20"/>
              </w:rPr>
              <w:t xml:space="preserve"> (10/10)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60.0% (6/10)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Abstention rate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79.2%</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79.2%</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Precision / Recall / F1 (macro)</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 / 100% / 100%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37.5% / 50.0% / 41.7%</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Cross-service accuracy</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r>
              <w:rPr>
                <w:rFonts w:ascii="Times New Roman" w:cs="Times New Roman" w:eastAsia="Times New Roman" w:hAnsi="Times New Roman"/>
                <w:sz w:val="20"/>
                <w:szCs w:val="20"/>
              </w:rPr>
              <w:t xml:space="preserve"> (4/4)</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r>
              <w:rPr>
                <w:rFonts w:ascii="Times New Roman" w:cs="Times New Roman" w:eastAsia="Times New Roman" w:hAnsi="Times New Roman"/>
                <w:sz w:val="20"/>
                <w:szCs w:val="20"/>
              </w:rPr>
              <w:t xml:space="preserve"> (0/4)</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Same-service accuracy</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 (6/6)</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 (6/6)</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Blamed the symptom service on cross-service faults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4 of 4</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Errored incidents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5 - ACCURACY COMPARISON   [AUTHOR: docs/evaluation/fig_accuracy_comparison.png</w:t>
            </w:r>
          </w:p>
          <w:p>
            <w:pPr>
              <w:spacing w:after="60"/>
            </w:pPr>
            <w:r>
              <w:rPr>
                <w:rFonts w:ascii="Times New Roman" w:cs="Times New Roman" w:eastAsia="Times New Roman" w:hAnsi="Times New Roman"/>
                <w:i/>
                <w:iCs/>
                <w:color w:val="6B4E00"/>
                <w:sz w:val="18"/>
                <w:szCs w:val="18"/>
              </w:rPr>
              <w:t xml:space="preserve">already exists. Before using it, add 95% confidence intervals as error bars - the intervals</w:t>
            </w:r>
          </w:p>
          <w:p>
            <w:pPr>
              <w:spacing w:after="60"/>
            </w:pPr>
            <w:r>
              <w:rPr>
                <w:rFonts w:ascii="Times New Roman" w:cs="Times New Roman" w:eastAsia="Times New Roman" w:hAnsi="Times New Roman"/>
                <w:i/>
                <w:iCs/>
                <w:color w:val="6B4E00"/>
                <w:sz w:val="18"/>
                <w:szCs w:val="18"/>
              </w:rPr>
              <w:t xml:space="preserve">are wide and a bar chart without them overstates the result. Double column if it carries</w:t>
            </w:r>
          </w:p>
          <w:p>
            <w:pPr>
              <w:spacing w:after="0"/>
            </w:pPr>
            <w:r>
              <w:rPr>
                <w:rFonts w:ascii="Times New Roman" w:cs="Times New Roman" w:eastAsia="Times New Roman" w:hAnsi="Times New Roman"/>
                <w:i/>
                <w:iCs/>
                <w:color w:val="6B4E00"/>
                <w:sz w:val="18"/>
                <w:szCs w:val="18"/>
              </w:rPr>
              <w:t xml:space="preserve">the cross-service and same-service breakdowns alongside the aggregate.</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Root-cause accuracy by arm, with 95% Wilson intervals. The arms coincide on same-service faults and separate completely on cross-service faults. The intervals are wide because the answered subset is small, and are shown rather than omitted.</w:t>
      </w:r>
    </w:p>
    <w:p>
      <w:pPr>
        <w:spacing w:after="120" w:line="259"/>
        <w:jc w:val="both"/>
      </w:pPr>
      <w:r>
        <w:rPr>
          <w:rFonts w:ascii="Times New Roman" w:cs="Times New Roman" w:eastAsia="Times New Roman" w:hAnsi="Times New Roman"/>
          <w:sz w:val="20"/>
          <w:szCs w:val="20"/>
        </w:rPr>
        <w:t xml:space="preserve">With 95% Wilson intervals, multi-agent accuracy when answered is 1.000 [0.722, 1.000] and cross-service accuracy is 1.000 [0.510, 1.000]; the baseline's cross-service accuracy is 0.000 [0.000, 0.490]. The intervals are wide, and deliberately reported as such.</w:t>
      </w:r>
    </w:p>
    <w:p>
      <w:pPr>
        <w:spacing w:after="120" w:line="259"/>
        <w:jc w:val="both"/>
      </w:pPr>
      <w:r>
        <w:rPr>
          <w:rFonts w:ascii="Times New Roman" w:cs="Times New Roman" w:eastAsia="Times New Roman" w:hAnsi="Times New Roman"/>
          <w:sz w:val="20"/>
          <w:szCs w:val="20"/>
        </w:rPr>
        <w:t xml:space="preserve">Against a random-chance baseline computed as one of four services, the multi-agent arm's 10 of 10 is significant at p = 9.5 × 10⁻⁷; against joint identification of service and fault type, one of sixteen, at p = 9.1 × 10⁻¹³. The baseline is also above chance (p = 0.020 and p = 1.0 × 10⁻⁵ respectively), so the comparison between arms, not the comparison against chance, is the meaningful one.</w:t>
      </w:r>
    </w:p>
    <w:p>
      <w:pPr>
        <w:spacing w:after="120" w:line="259"/>
        <w:jc w:val="both"/>
      </w:pPr>
      <w:r>
        <w:rPr>
          <w:rFonts w:ascii="Times New Roman" w:cs="Times New Roman" w:eastAsia="Times New Roman" w:hAnsi="Times New Roman"/>
          <w:sz w:val="20"/>
          <w:szCs w:val="20"/>
        </w:rPr>
        <w:t xml:space="preserve">On the cross-service subset the difference between arms is significant by Fisher's exact test, two sided, p = 0.0286. Over all answered incidents it is not (p = 0.0867). Treating the design as paired — both arms saw the same ten incidents, with four discordant pairs, all favouring the multi-agent arm — an exact sign test gives p = 0.125. </w:t>
      </w:r>
      <w:r>
        <w:rPr>
          <w:rFonts w:ascii="Times New Roman" w:cs="Times New Roman" w:eastAsia="Times New Roman" w:hAnsi="Times New Roman"/>
          <w:b/>
          <w:bCs/>
          <w:sz w:val="20"/>
          <w:szCs w:val="20"/>
        </w:rPr>
        <w:t xml:space="preserve">We report the paired test as the conservative statistic and do not claim significance over all answered incidents.</w:t>
      </w:r>
      <w:r>
        <w:rPr>
          <w:rFonts w:ascii="Times New Roman" w:cs="Times New Roman" w:eastAsia="Times New Roman" w:hAnsi="Times New Roman"/>
          <w:sz w:val="20"/>
          <w:szCs w:val="20"/>
        </w:rPr>
        <w:t xml:space="preserve"> The defensible statistical claim is confined to the cross-service subset.</w:t>
      </w:r>
    </w:p>
    <w:p>
      <w:pPr>
        <w:spacing w:after="120" w:line="259"/>
        <w:jc w:val="both"/>
      </w:pPr>
      <w:r>
        <w:rPr>
          <w:rFonts w:ascii="Times New Roman" w:cs="Times New Roman" w:eastAsia="Times New Roman" w:hAnsi="Times New Roman"/>
          <w:sz w:val="20"/>
          <w:szCs w:val="20"/>
        </w:rPr>
        <w:t xml:space="preserve">Two features of the table matter more than the headline. The arms are identical on same-service faults and maximally separated on cross-service ones, so the entire difference is confined to incidents where the reporting service is not the faulty one. And the baseline's errors are not scattered: on every one of the four cross-service incidents it answered, it named payment-service, the symptom service.</w:t>
      </w:r>
    </w:p>
    <w:p>
      <w:pPr>
        <w:pStyle w:val="Heading2"/>
        <w:spacing w:after="120" w:before="240"/>
        <w:jc w:val="left"/>
      </w:pPr>
      <w:r>
        <w:rPr>
          <w:rFonts w:ascii="Times New Roman" w:cs="Times New Roman" w:eastAsia="Times New Roman" w:hAnsi="Times New Roman"/>
          <w:b w:val="false"/>
          <w:bCs w:val="false"/>
          <w:i/>
          <w:iCs/>
          <w:sz w:val="21"/>
          <w:szCs w:val="21"/>
        </w:rPr>
        <w:t xml:space="preserve">B. Mechanism</w:t>
      </w:r>
    </w:p>
    <w:p>
      <w:pPr>
        <w:spacing w:after="120" w:line="259"/>
        <w:jc w:val="both"/>
      </w:pPr>
      <w:r>
        <w:rPr>
          <w:rFonts w:ascii="Times New Roman" w:cs="Times New Roman" w:eastAsia="Times New Roman" w:hAnsi="Times New Roman"/>
          <w:sz w:val="20"/>
          <w:szCs w:val="20"/>
        </w:rPr>
        <w:t xml:space="preserve">Breaking the ten answered multi-agent incidents down by determination method gives a clean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Determination method</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Incidents</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Correct</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Class</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metric_signature+rag_agreement</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all same-service</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rag_only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same-service, no signature matched</w:t>
            </w:r>
          </w:p>
        </w:tc>
      </w:tr>
      <w:tr>
        <w:trPr>
          <w:tblHeader w:val="false"/>
        </w:trPr>
        <w:tc>
          <w:tcPr>
            <w:tcW w:type="dxa" w:w="2340"/>
            <w:tcMar>
              <w:top w:type="dxa" w:w="60"/>
              <w:left w:type="dxa" w:w="100"/>
              <w:bottom w:type="dxa" w:w="60"/>
              <w:right w:type="dxa" w:w="100"/>
            </w:tcMar>
          </w:tcPr>
          <w:p>
            <w:pPr>
              <w:spacing w:after="0"/>
            </w:pPr>
            <w:r>
              <w:rPr>
                <w:rFonts w:ascii="Consolas" w:cs="Consolas" w:eastAsia="Consolas" w:hAnsi="Consolas"/>
                <w:sz w:val="18"/>
                <w:szCs w:val="18"/>
              </w:rPr>
              <w:t xml:space="preserve">metric_signature+rag_disagreement</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all cross-service</w:t>
            </w:r>
          </w:p>
        </w:tc>
      </w:tr>
    </w:tbl>
    <w:p>
      <w:pPr>
        <w:spacing w:after="160"/>
      </w:pPr>
    </w:p>
    <w:p>
      <w:pPr>
        <w:spacing w:after="120" w:line="259"/>
        <w:jc w:val="both"/>
      </w:pPr>
      <w:r>
        <w:rPr>
          <w:rFonts w:ascii="Times New Roman" w:cs="Times New Roman" w:eastAsia="Times New Roman" w:hAnsi="Times New Roman"/>
          <w:sz w:val="20"/>
          <w:szCs w:val="20"/>
        </w:rPr>
        <w:t xml:space="preserve">On every cross-service incident, retrieval disagreed with the correct conclusion, returning memory-leak incidents rooted at payment-service that match on the surface features of payment-service telemetry. The baseline received the same retrieved incidents and followed them.</w:t>
      </w:r>
    </w:p>
    <w:p>
      <w:pPr>
        <w:spacing w:after="120" w:line="259"/>
        <w:jc w:val="both"/>
      </w:pPr>
      <w:r>
        <w:rPr>
          <w:rFonts w:ascii="Times New Roman" w:cs="Times New Roman" w:eastAsia="Times New Roman" w:hAnsi="Times New Roman"/>
          <w:sz w:val="20"/>
          <w:szCs w:val="20"/>
        </w:rPr>
        <w:t xml:space="preserve">This is not an inference from aggregates. On four of four cross-service failures the baseline's own reasoning cites the retrieved incidents as its justification, three of them naming the retrieved identifiers outright. That the same three Memory incidents are cited across </w:t>
      </w:r>
      <w:r>
        <w:rPr>
          <w:rFonts w:ascii="Times New Roman" w:cs="Times New Roman" w:eastAsia="Times New Roman" w:hAnsi="Times New Roman"/>
          <w:i/>
          <w:iCs/>
          <w:sz w:val="20"/>
          <w:szCs w:val="20"/>
        </w:rPr>
        <w:t xml:space="preserve">both</w:t>
      </w:r>
      <w:r>
        <w:rPr>
          <w:rFonts w:ascii="Times New Roman" w:cs="Times New Roman" w:eastAsia="Times New Roman" w:hAnsi="Times New Roman"/>
          <w:sz w:val="20"/>
          <w:szCs w:val="20"/>
        </w:rPr>
        <w:t xml:space="preserve"> cross-service fault types, whose telemetry signatures are entirely different, indicates the failure is driven by retrieved precedent rather than by anything in the incident itself.</w:t>
      </w:r>
    </w:p>
    <w:p>
      <w:pPr>
        <w:pStyle w:val="Heading2"/>
        <w:spacing w:after="120" w:before="240"/>
        <w:jc w:val="left"/>
      </w:pPr>
      <w:r>
        <w:rPr>
          <w:rFonts w:ascii="Times New Roman" w:cs="Times New Roman" w:eastAsia="Times New Roman" w:hAnsi="Times New Roman"/>
          <w:b w:val="false"/>
          <w:bCs w:val="false"/>
          <w:i/>
          <w:iCs/>
          <w:sz w:val="21"/>
          <w:szCs w:val="21"/>
        </w:rPr>
        <w:t xml:space="preserve">C. System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Multi-agent</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Single-agent</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Detection latency (detection path only), mean</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0.0061 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0.0061 s</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Detection latency, median</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0.0052 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0.0052 s</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Time to approval pause (incl. diagnosis), mean</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8.5 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2.12 s</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Anomaly detection rate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20.8%</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20.8%</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MTTR</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Recovery success rate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False recovery rate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measurable in replay</w:t>
            </w:r>
          </w:p>
        </w:tc>
      </w:tr>
    </w:tbl>
    <w:p>
      <w:pPr>
        <w:spacing w:after="160"/>
      </w:pPr>
    </w:p>
    <w:p>
      <w:pPr>
        <w:spacing w:after="120" w:line="259"/>
        <w:jc w:val="both"/>
      </w:pPr>
      <w:r>
        <w:rPr>
          <w:rFonts w:ascii="Times New Roman" w:cs="Times New Roman" w:eastAsia="Times New Roman" w:hAnsi="Times New Roman"/>
          <w:sz w:val="20"/>
          <w:szCs w:val="20"/>
        </w:rPr>
        <w:t xml:space="preserve">Detection is shared by construction and the two columns agree to six decimal places; divergence would have indicated a harness defect. Detection latency and time-to-approval-pause are reported separately and deliberately: an earlier harness conflated them by timing the first graph invocation, which runs to the approval pause and therefore includes retrieval, diagnosis and narration, overstating detection latency by roughly three orders of magnitude. The error was found by inspecting an anomalous mean against a near-zero median.</w:t>
      </w:r>
    </w:p>
    <w:p>
      <w:pPr>
        <w:spacing w:after="120" w:line="259"/>
        <w:jc w:val="both"/>
      </w:pPr>
      <w:r>
        <w:rPr>
          <w:rFonts w:ascii="Times New Roman" w:cs="Times New Roman" w:eastAsia="Times New Roman" w:hAnsi="Times New Roman"/>
          <w:sz w:val="20"/>
          <w:szCs w:val="20"/>
        </w:rPr>
        <w:t xml:space="preserve">Detection by fault type: memory-leak 4 of 12, auth-key-error 2 of 12, db-lock 2 of 12, notification-latency 2 of 12. The three unmeasured metrics require an active fault to remediate, and therefore a live cluster; they are reported as unmeasurable rather than as the 100% a dry run would trivially produce.</w:t>
      </w:r>
    </w:p>
    <w:p>
      <w:pPr>
        <w:pStyle w:val="Heading2"/>
        <w:spacing w:after="120" w:before="240"/>
        <w:jc w:val="left"/>
      </w:pPr>
      <w:r>
        <w:rPr>
          <w:rFonts w:ascii="Times New Roman" w:cs="Times New Roman" w:eastAsia="Times New Roman" w:hAnsi="Times New Roman"/>
          <w:b w:val="false"/>
          <w:bCs w:val="false"/>
          <w:i/>
          <w:iCs/>
          <w:sz w:val="21"/>
          <w:szCs w:val="21"/>
        </w:rPr>
        <w:t xml:space="preserve">D. Negative control on healthy telemetry</w:t>
      </w:r>
    </w:p>
    <w:p>
      <w:pPr>
        <w:spacing w:after="120" w:line="259"/>
        <w:jc w:val="both"/>
      </w:pPr>
      <w:r>
        <w:rPr>
          <w:rFonts w:ascii="Times New Roman" w:cs="Times New Roman" w:eastAsia="Times New Roman" w:hAnsi="Times New Roman"/>
          <w:sz w:val="20"/>
          <w:szCs w:val="20"/>
        </w:rPr>
        <w:t xml:space="preserve">Following the negative-control design of [10], we replayed healthy telemetry through the detection path and measured the false-positive rate. Every Evaluation incident contributes two healthy records: its normal-phase averages and its recovery-phase averages, for the same symptom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Condition</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False positives</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Rate</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95% Wilson CI</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Normal phase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 / 48</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4.17%</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[1.15%, 13.98%]</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Recovery phase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13 / 48</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27.08%</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[16.57%, 41.00%]</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Combined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 / 96</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15.62%</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[9.70%, 24.19%]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6 - NEGATIVE CONTROL   [AUTHOR: generate from</w:t>
            </w:r>
          </w:p>
          <w:p>
            <w:pPr>
              <w:spacing w:after="60"/>
            </w:pPr>
            <w:r>
              <w:rPr>
                <w:rFonts w:ascii="Times New Roman" w:cs="Times New Roman" w:eastAsia="Times New Roman" w:hAnsi="Times New Roman"/>
                <w:i/>
                <w:iCs/>
                <w:color w:val="6B4E00"/>
                <w:sz w:val="18"/>
                <w:szCs w:val="18"/>
              </w:rPr>
              <w:t xml:space="preserve">docs/evaluation/negative_control/negative_control.json. Two bars, normal versus recovery,</w:t>
            </w:r>
          </w:p>
          <w:p>
            <w:pPr>
              <w:spacing w:after="60"/>
            </w:pPr>
            <w:r>
              <w:rPr>
                <w:rFonts w:ascii="Times New Roman" w:cs="Times New Roman" w:eastAsia="Times New Roman" w:hAnsi="Times New Roman"/>
                <w:i/>
                <w:iCs/>
                <w:color w:val="6B4E00"/>
                <w:sz w:val="18"/>
                <w:szCs w:val="18"/>
              </w:rPr>
              <w:t xml:space="preserve">with 95% Wilson intervals as error bars. Single column. Keep the two phases as separate</w:t>
            </w:r>
          </w:p>
          <w:p>
            <w:pPr>
              <w:spacing w:after="0"/>
            </w:pPr>
            <w:r>
              <w:rPr>
                <w:rFonts w:ascii="Times New Roman" w:cs="Times New Roman" w:eastAsia="Times New Roman" w:hAnsi="Times New Roman"/>
                <w:i/>
                <w:iCs/>
                <w:color w:val="6B4E00"/>
                <w:sz w:val="18"/>
                <w:szCs w:val="18"/>
              </w:rPr>
              <w:t xml:space="preserve">bars - pooling them hides the entire finding.</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6.</w:t>
      </w:r>
      <w:r>
        <w:rPr>
          <w:rFonts w:ascii="Times New Roman" w:cs="Times New Roman" w:eastAsia="Times New Roman" w:hAnsi="Times New Roman"/>
          <w:sz w:val="20"/>
          <w:szCs w:val="20"/>
        </w:rPr>
        <w:t xml:space="preserve"> False-positive rate on telemetry from services that are not faulty, by phase, with 95% Wilson intervals. The post-recovery rate is more than six times the normal-phase rate.</w:t>
      </w:r>
    </w:p>
    <w:p>
      <w:pPr>
        <w:spacing w:after="120" w:line="259"/>
        <w:jc w:val="both"/>
      </w:pPr>
      <w:r>
        <w:rPr>
          <w:rFonts w:ascii="Times New Roman" w:cs="Times New Roman" w:eastAsia="Times New Roman" w:hAnsi="Times New Roman"/>
          <w:sz w:val="20"/>
          <w:szCs w:val="20"/>
        </w:rPr>
        <w:t xml:space="preserve">The normal-phase rate is acceptable. The recovery-phase rate is more than six times higher and is an operationally significant defect: after a fault has been cleared, metrics have not yet returned to baseline, and the system continues to raise anomalies on a service that has just been successfully repaired. In a closed loop with automated remediation, this is the precondition for a remediation storm, in which a successful fix is followed by repeated re-detection and further action.</w:t>
      </w:r>
    </w:p>
    <w:p>
      <w:pPr>
        <w:spacing w:after="120" w:line="259"/>
        <w:jc w:val="both"/>
      </w:pPr>
      <w:r>
        <w:rPr>
          <w:rFonts w:ascii="Times New Roman" w:cs="Times New Roman" w:eastAsia="Times New Roman" w:hAnsi="Times New Roman"/>
          <w:sz w:val="20"/>
          <w:szCs w:val="20"/>
        </w:rPr>
        <w:t xml:space="preserve">We report this as a limitation of the detector configuration rather than of the architecture, and note that it is invisible to any evaluation that replays only fault-window telemetry, which is what our own main experiment does.</w:t>
      </w:r>
    </w:p>
    <w:p>
      <w:pPr>
        <w:pStyle w:val="Heading2"/>
        <w:spacing w:after="120" w:before="240"/>
        <w:jc w:val="left"/>
      </w:pPr>
      <w:r>
        <w:rPr>
          <w:rFonts w:ascii="Times New Roman" w:cs="Times New Roman" w:eastAsia="Times New Roman" w:hAnsi="Times New Roman"/>
          <w:b w:val="false"/>
          <w:bCs w:val="false"/>
          <w:i/>
          <w:iCs/>
          <w:sz w:val="21"/>
          <w:szCs w:val="21"/>
        </w:rPr>
        <w:t xml:space="preserve">E. AI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Multi-agent</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Single-agent</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Model calls per incident (mean)</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0.4167</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0.2083</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Model calls, total</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Wall clock per incident (mean)</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8.5 s</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2.12 s</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Incidents producing reasoning text</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 of 10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of 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Hallucination: cited a metric absent from evidence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 </w:t>
            </w:r>
            <w:r>
              <w:rPr>
                <w:rFonts w:ascii="Times New Roman" w:cs="Times New Roman" w:eastAsia="Times New Roman" w:hAnsi="Times New Roman"/>
                <w:i/>
                <w:iCs/>
                <w:sz w:val="20"/>
                <w:szCs w:val="20"/>
              </w:rPr>
              <w:t xml:space="preserve">(1 sample)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 (over 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Hallucination: claimed a baseline-range value was elevated</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r>
              <w:rPr>
                <w:rFonts w:ascii="Times New Roman" w:cs="Times New Roman" w:eastAsia="Times New Roman" w:hAnsi="Times New Roman"/>
                <w:sz w:val="20"/>
                <w:szCs w:val="20"/>
              </w:rPr>
              <w:t xml:space="preserve"> (1 of 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Response parse-issue rate</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r>
    </w:tbl>
    <w:p>
      <w:pPr>
        <w:spacing w:after="160"/>
      </w:pPr>
    </w:p>
    <w:p>
      <w:pPr>
        <w:spacing w:after="120" w:line="259"/>
        <w:jc w:val="both"/>
      </w:pPr>
      <w:r>
        <w:rPr>
          <w:rFonts w:ascii="Times New Roman" w:cs="Times New Roman" w:eastAsia="Times New Roman" w:hAnsi="Times New Roman"/>
          <w:sz w:val="20"/>
          <w:szCs w:val="20"/>
        </w:rPr>
        <w:t xml:space="preserve">Token cost is replaced by inference time and call count, following the self-hosted-model substitution documented in Section IV-H.</w:t>
      </w:r>
    </w:p>
    <w:p>
      <w:pPr>
        <w:spacing w:after="120" w:line="259"/>
        <w:jc w:val="both"/>
      </w:pPr>
      <w:r>
        <w:rPr>
          <w:rFonts w:ascii="Times New Roman" w:cs="Times New Roman" w:eastAsia="Times New Roman" w:hAnsi="Times New Roman"/>
          <w:b/>
          <w:bCs/>
          <w:sz w:val="20"/>
          <w:szCs w:val="20"/>
        </w:rPr>
        <w:t xml:space="preserve">The multi-agent arm's narration failed on 9 of 10 incidents</w:t>
      </w:r>
      <w:r>
        <w:rPr>
          <w:rFonts w:ascii="Times New Roman" w:cs="Times New Roman" w:eastAsia="Times New Roman" w:hAnsi="Times New Roman"/>
          <w:sz w:val="20"/>
          <w:szCs w:val="20"/>
        </w:rPr>
        <w:t xml:space="preserve">, exceeding the 30-second timeout, and its diagnostic accuracy was 100% regardless.</w:t>
      </w:r>
    </w:p>
    <w:p>
      <w:pPr>
        <w:spacing w:after="120" w:line="259"/>
        <w:jc w:val="both"/>
      </w:pPr>
      <w:r>
        <w:rPr>
          <w:rFonts w:ascii="Times New Roman" w:cs="Times New Roman" w:eastAsia="Times New Roman" w:hAnsi="Times New Roman"/>
          <w:sz w:val="20"/>
          <w:szCs w:val="20"/>
        </w:rPr>
        <w:t xml:space="preserve">The two hallucination rows measure different things, and the difference is the finding. The conventional definition returns 0% for the baseline, and that 0% is a real measurement rather than a broken detector: eight genuine metric citations were detected across the ten reasoning texts, all present in the evidence. But on one incident the baseline justified "memory leak" by citing a committed-heap value of 86.4 MB as evidence of a heap increase, when that value lies inside the documented 70–90 MB range for the service. The metric was real; its stated significance was invented.</w:t>
      </w:r>
    </w:p>
    <w:p>
      <w:pPr>
        <w:spacing w:after="120" w:line="259"/>
        <w:jc w:val="both"/>
      </w:pPr>
      <w:r>
        <w:rPr>
          <w:rFonts w:ascii="Times New Roman" w:cs="Times New Roman" w:eastAsia="Times New Roman" w:hAnsi="Times New Roman"/>
          <w:sz w:val="20"/>
          <w:szCs w:val="20"/>
        </w:rPr>
        <w:t xml:space="preserve">Worth stating plainly, because it cuts against a convenient reading: </w:t>
      </w:r>
      <w:r>
        <w:rPr>
          <w:rFonts w:ascii="Times New Roman" w:cs="Times New Roman" w:eastAsia="Times New Roman" w:hAnsi="Times New Roman"/>
          <w:b/>
          <w:bCs/>
          <w:sz w:val="20"/>
          <w:szCs w:val="20"/>
        </w:rPr>
        <w:t xml:space="preserve">that diagnosis was correct.</w:t>
      </w:r>
      <w:r>
        <w:rPr>
          <w:rFonts w:ascii="Times New Roman" w:cs="Times New Roman" w:eastAsia="Times New Roman" w:hAnsi="Times New Roman"/>
          <w:sz w:val="20"/>
          <w:szCs w:val="20"/>
        </w:rPr>
        <w:t xml:space="preserve"> The incident genuinely was a payment-service memory leak. The unsupported claim was in the justification, not the conclusion. For an operator reviewing a recommendation this is the more troubling case, not the less, because a right answer supported by a reason that does not hold is indistinguishable at review time from a right answer that is grounded.</w:t>
      </w:r>
    </w:p>
    <w:p>
      <w:pPr>
        <w:spacing w:after="120" w:line="259"/>
        <w:jc w:val="both"/>
      </w:pPr>
      <w:r>
        <w:rPr>
          <w:rFonts w:ascii="Times New Roman" w:cs="Times New Roman" w:eastAsia="Times New Roman" w:hAnsi="Times New Roman"/>
          <w:b/>
          <w:bCs/>
          <w:sz w:val="20"/>
          <w:szCs w:val="20"/>
        </w:rPr>
        <w:t xml:space="preserve">Both measures are lower bounds, in a specific and demonstrable way.</w:t>
      </w:r>
      <w:r>
        <w:rPr>
          <w:rFonts w:ascii="Times New Roman" w:cs="Times New Roman" w:eastAsia="Times New Roman" w:hAnsi="Times New Roman"/>
          <w:sz w:val="20"/>
          <w:szCs w:val="20"/>
        </w:rPr>
        <w:t xml:space="preserve"> Three of the four cross-service failures also cite a heap figure inside the documented 30–45 MB range while describing it as elevated: 30.7 MB, 30.5 MB and 35.0 MB. Neither measure catches them. The metric-name proxy misses them because the metrics are real. The stronger measure misses them because it parses only values written adjacent to their metric name, and the model wrote these as bare parentheticals. So at least four unsupported significance claims exist in this run and one is counted.</w:t>
      </w:r>
    </w:p>
    <w:p>
      <w:pPr>
        <w:pStyle w:val="Heading2"/>
        <w:spacing w:after="120" w:before="240"/>
        <w:jc w:val="left"/>
      </w:pPr>
      <w:r>
        <w:rPr>
          <w:rFonts w:ascii="Times New Roman" w:cs="Times New Roman" w:eastAsia="Times New Roman" w:hAnsi="Times New Roman"/>
          <w:b w:val="false"/>
          <w:bCs w:val="false"/>
          <w:i/>
          <w:iCs/>
          <w:sz w:val="21"/>
          <w:szCs w:val="21"/>
        </w:rPr>
        <w:t xml:space="preserve">F. Run-to-run reproducibility</w:t>
      </w:r>
    </w:p>
    <w:p>
      <w:pPr>
        <w:spacing w:after="120" w:line="259"/>
        <w:jc w:val="both"/>
      </w:pPr>
      <w:r>
        <w:rPr>
          <w:rFonts w:ascii="Times New Roman" w:cs="Times New Roman" w:eastAsia="Times New Roman" w:hAnsi="Times New Roman"/>
          <w:sz w:val="20"/>
          <w:szCs w:val="20"/>
        </w:rPr>
        <w:t xml:space="preserve">The evaluation was executed twice independently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Arm</w:t>
            </w:r>
          </w:p>
        </w:tc>
        <w:tc>
          <w:tcPr>
            <w:tcW w:type="dxa" w:w="468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Identical root-cause predictions across runs</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Multi-agent</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48 / 48</w:t>
            </w:r>
          </w:p>
        </w:tc>
      </w:tr>
      <w:tr>
        <w:trPr>
          <w:tblHeader w:val="false"/>
        </w:trPr>
        <w:tc>
          <w:tcPr>
            <w:tcW w:type="dxa" w:w="468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Single-agent baseline</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48 / 48</w:t>
            </w:r>
          </w:p>
        </w:tc>
      </w:tr>
    </w:tbl>
    <w:p>
      <w:pPr>
        <w:spacing w:after="160"/>
      </w:pPr>
    </w:p>
    <w:p>
      <w:pPr>
        <w:spacing w:after="120" w:line="259"/>
        <w:jc w:val="both"/>
      </w:pPr>
      <w:r>
        <w:rPr>
          <w:rFonts w:ascii="Times New Roman" w:cs="Times New Roman" w:eastAsia="Times New Roman" w:hAnsi="Times New Roman"/>
          <w:sz w:val="20"/>
          <w:szCs w:val="20"/>
        </w:rPr>
        <w:t xml:space="preserve">The multi-agent result is reproducible by construction. That the single-agent result is equally reproducible was not guaranteed and is worth stating: a model-driven diagnosis produced the same 48 answers twice, including the same four wrong ones.</w:t>
      </w:r>
    </w:p>
    <w:p>
      <w:pPr>
        <w:spacing w:after="120" w:line="259"/>
        <w:jc w:val="both"/>
      </w:pPr>
      <w:r>
        <w:rPr>
          <w:rFonts w:ascii="Times New Roman" w:cs="Times New Roman" w:eastAsia="Times New Roman" w:hAnsi="Times New Roman"/>
          <w:sz w:val="20"/>
          <w:szCs w:val="20"/>
        </w:rPr>
        <w:t xml:space="preserve">What varied is the part that does not affect the conclusion, and it varied more than a count would show. Narration succeeded on exactly one incident in each run, but </w:t>
      </w:r>
      <w:r>
        <w:rPr>
          <w:rFonts w:ascii="Times New Roman" w:cs="Times New Roman" w:eastAsia="Times New Roman" w:hAnsi="Times New Roman"/>
          <w:b/>
          <w:bCs/>
          <w:sz w:val="20"/>
          <w:szCs w:val="20"/>
        </w:rPr>
        <w:t xml:space="preserve">not the same incident</w:t>
      </w:r>
      <w:r>
        <w:rPr>
          <w:rFonts w:ascii="Times New Roman" w:cs="Times New Roman" w:eastAsia="Times New Roman" w:hAnsi="Times New Roman"/>
          <w:sz w:val="20"/>
          <w:szCs w:val="20"/>
        </w:rPr>
        <w:t xml:space="preserve">. And on the baseline, </w:t>
      </w:r>
      <w:r>
        <w:rPr>
          <w:rFonts w:ascii="Times New Roman" w:cs="Times New Roman" w:eastAsia="Times New Roman" w:hAnsi="Times New Roman"/>
          <w:b/>
          <w:bCs/>
          <w:sz w:val="20"/>
          <w:szCs w:val="20"/>
        </w:rPr>
        <w:t xml:space="preserve">all ten reasoning texts differed textually between runs</w:t>
      </w:r>
      <w:r>
        <w:rPr>
          <w:rFonts w:ascii="Times New Roman" w:cs="Times New Roman" w:eastAsia="Times New Roman" w:hAnsi="Times New Roman"/>
          <w:sz w:val="20"/>
          <w:szCs w:val="20"/>
        </w:rPr>
        <w:t xml:space="preserve"> while all ten extracted conclusions were identical. The prose was different on every incident that produced any, in both arms, and not one of the 96 diagnoses moved. This is stronger evidence for the architectural claim than a stable count would have been.</w:t>
      </w:r>
    </w:p>
    <w:p>
      <w:pPr>
        <w:pStyle w:val="Heading2"/>
        <w:spacing w:after="120" w:before="240"/>
        <w:jc w:val="left"/>
      </w:pPr>
      <w:r>
        <w:rPr>
          <w:rFonts w:ascii="Times New Roman" w:cs="Times New Roman" w:eastAsia="Times New Roman" w:hAnsi="Times New Roman"/>
          <w:b w:val="false"/>
          <w:bCs w:val="false"/>
          <w:i/>
          <w:iCs/>
          <w:sz w:val="21"/>
          <w:szCs w:val="21"/>
        </w:rPr>
        <w:t xml:space="preserve">G. Human-in-the-loop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Multi-agent</w:t>
            </w:r>
          </w:p>
        </w:tc>
        <w:tc>
          <w:tcPr>
            <w:tcW w:type="dxa" w:w="312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Single-agent</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Incidents reaching human approval</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Approved / Rejected</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 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 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Unsafe actions prevented by safety validator</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r>
      <w:tr>
        <w:trPr>
          <w:tblHeader w:val="false"/>
        </w:trPr>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Executions without approval</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r>
    </w:tbl>
    <w:p>
      <w:pPr>
        <w:spacing w:after="160"/>
      </w:pPr>
    </w:p>
    <w:p>
      <w:pPr>
        <w:spacing w:after="120" w:line="259"/>
        <w:jc w:val="both"/>
      </w:pPr>
      <w:r>
        <w:rPr>
          <w:rFonts w:ascii="Times New Roman" w:cs="Times New Roman" w:eastAsia="Times New Roman" w:hAnsi="Times New Roman"/>
          <w:sz w:val="20"/>
          <w:szCs w:val="20"/>
        </w:rPr>
        <w:t xml:space="preserve">The last row is the safety invariant, reported as a measured quantity rather than asserted. Unsafe action prevention is zero because dry-run execution never failed, so no retry escalated to the high-risk action the ledger-service rule guards; that rule is evidenced instead by regression tests and by a live session, and is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claimed as a demonstrated result of this evaluation.</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VI. ABLATION STUDIES</w:t>
      </w:r>
    </w:p>
    <w:p>
      <w:pPr>
        <w:pStyle w:val="Heading2"/>
        <w:spacing w:after="120" w:before="240"/>
        <w:jc w:val="left"/>
      </w:pPr>
      <w:r>
        <w:rPr>
          <w:rFonts w:ascii="Times New Roman" w:cs="Times New Roman" w:eastAsia="Times New Roman" w:hAnsi="Times New Roman"/>
          <w:b w:val="false"/>
          <w:bCs w:val="false"/>
          <w:i/>
          <w:iCs/>
          <w:sz w:val="21"/>
          <w:szCs w:val="21"/>
        </w:rPr>
        <w:t xml:space="preserve">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7 - ABLATION SUMMARY   [AUTHOR: generate from the two ablation metrics.json files.</w:t>
            </w:r>
          </w:p>
          <w:p>
            <w:pPr>
              <w:spacing w:after="60"/>
            </w:pPr>
            <w:r>
              <w:rPr>
                <w:rFonts w:ascii="Times New Roman" w:cs="Times New Roman" w:eastAsia="Times New Roman" w:hAnsi="Times New Roman"/>
                <w:i/>
                <w:iCs/>
                <w:color w:val="6B4E00"/>
                <w:sz w:val="18"/>
                <w:szCs w:val="18"/>
              </w:rPr>
              <w:t xml:space="preserve">Grouped bars: shipped / no-retrieval / override, for both arms, on cross-service accuracy.</w:t>
            </w:r>
          </w:p>
          <w:p>
            <w:pPr>
              <w:spacing w:after="60"/>
            </w:pPr>
            <w:r>
              <w:rPr>
                <w:rFonts w:ascii="Times New Roman" w:cs="Times New Roman" w:eastAsia="Times New Roman" w:hAnsi="Times New Roman"/>
                <w:i/>
                <w:iCs/>
                <w:color w:val="6B4E00"/>
                <w:sz w:val="18"/>
                <w:szCs w:val="18"/>
              </w:rPr>
              <w:t xml:space="preserve">Double column. This is the paper's strongest figure - the override bars should visibly</w:t>
            </w:r>
          </w:p>
          <w:p>
            <w:pPr>
              <w:spacing w:after="0"/>
            </w:pPr>
            <w:r>
              <w:rPr>
                <w:rFonts w:ascii="Times New Roman" w:cs="Times New Roman" w:eastAsia="Times New Roman" w:hAnsi="Times New Roman"/>
                <w:i/>
                <w:iCs/>
                <w:color w:val="6B4E00"/>
                <w:sz w:val="18"/>
                <w:szCs w:val="18"/>
              </w:rPr>
              <w:t xml:space="preserve">coincide with the baseline bars, since that coincidence IS Finding B1.</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7.</w:t>
      </w:r>
      <w:r>
        <w:rPr>
          <w:rFonts w:ascii="Times New Roman" w:cs="Times New Roman" w:eastAsia="Times New Roman" w:hAnsi="Times New Roman"/>
          <w:sz w:val="20"/>
          <w:szCs w:val="20"/>
        </w:rPr>
        <w:t xml:space="preserve"> Cross-service accuracy under both ablations. Removing retrieval leaves the multi-agent arm unchanged and reorganises the baseline. Permitting retrieval to override the deterministic conclusion drops the multi-agent arm onto the baseline exactly.</w:t>
      </w:r>
    </w:p>
    <w:p>
      <w:pPr>
        <w:spacing w:after="120" w:line="259"/>
        <w:jc w:val="both"/>
      </w:pPr>
      <w:r>
        <w:rPr>
          <w:rFonts w:ascii="Times New Roman" w:cs="Times New Roman" w:eastAsia="Times New Roman" w:hAnsi="Times New Roman"/>
          <w:sz w:val="20"/>
          <w:szCs w:val="20"/>
        </w:rPr>
        <w:t xml:space="preserve">Two ablations, both disabled by default in the shipped configuration, both recorded in every run's environment block, and both covered by tests asserting they are off by default.</w:t>
      </w:r>
    </w:p>
    <w:p>
      <w:pPr>
        <w:pStyle w:val="ListParagraph"/>
        <w:numPr>
          <w:ilvl w:val="0"/>
          <w:numId w:val="1"/>
        </w:numPr>
        <w:spacing w:after="80"/>
        <w:jc w:val="both"/>
      </w:pPr>
      <w:r>
        <w:rPr>
          <w:rFonts w:ascii="Times New Roman" w:cs="Times New Roman" w:eastAsia="Times New Roman" w:hAnsi="Times New Roman"/>
          <w:b/>
          <w:bCs/>
          <w:sz w:val="20"/>
          <w:szCs w:val="20"/>
        </w:rPr>
        <w:t xml:space="preserve">Ablation A</w:t>
      </w:r>
      <w:r>
        <w:rPr>
          <w:rFonts w:ascii="Times New Roman" w:cs="Times New Roman" w:eastAsia="Times New Roman" w:hAnsi="Times New Roman"/>
          <w:sz w:val="20"/>
          <w:szCs w:val="20"/>
        </w:rPr>
        <w:t xml:space="preserve"> removes retrieval entirely. </w:t>
      </w:r>
      <w:r>
        <w:rPr>
          <w:rFonts w:ascii="Times New Roman" w:cs="Times New Roman" w:eastAsia="Times New Roman" w:hAnsi="Times New Roman"/>
          <w:i/>
          <w:iCs/>
          <w:sz w:val="20"/>
          <w:szCs w:val="20"/>
        </w:rPr>
        <w:t xml:space="preserve">Does retrieval contribute anything?</w:t>
      </w:r>
    </w:p>
    <w:p>
      <w:pPr>
        <w:pStyle w:val="ListParagraph"/>
        <w:numPr>
          <w:ilvl w:val="0"/>
          <w:numId w:val="1"/>
        </w:numPr>
        <w:spacing w:after="80"/>
        <w:jc w:val="both"/>
      </w:pPr>
      <w:r>
        <w:rPr>
          <w:rFonts w:ascii="Times New Roman" w:cs="Times New Roman" w:eastAsia="Times New Roman" w:hAnsi="Times New Roman"/>
          <w:b/>
          <w:bCs/>
          <w:sz w:val="20"/>
          <w:szCs w:val="20"/>
        </w:rPr>
        <w:t xml:space="preserve">Ablation B</w:t>
      </w:r>
      <w:r>
        <w:rPr>
          <w:rFonts w:ascii="Times New Roman" w:cs="Times New Roman" w:eastAsia="Times New Roman" w:hAnsi="Times New Roman"/>
          <w:sz w:val="20"/>
          <w:szCs w:val="20"/>
        </w:rPr>
        <w:t xml:space="preserve"> permits retrieved incidents to override a deterministic signature match. </w:t>
      </w:r>
      <w:r>
        <w:rPr>
          <w:rFonts w:ascii="Times New Roman" w:cs="Times New Roman" w:eastAsia="Times New Roman" w:hAnsi="Times New Roman"/>
          <w:i/>
          <w:iCs/>
          <w:sz w:val="20"/>
          <w:szCs w:val="20"/>
        </w:rPr>
        <w:t xml:space="preserve">What would this system score if built the conventional way?</w:t>
      </w:r>
    </w:p>
    <w:p>
      <w:pPr>
        <w:pStyle w:val="Heading2"/>
        <w:spacing w:after="120" w:before="240"/>
        <w:jc w:val="left"/>
      </w:pPr>
      <w:r>
        <w:rPr>
          <w:rFonts w:ascii="Times New Roman" w:cs="Times New Roman" w:eastAsia="Times New Roman" w:hAnsi="Times New Roman"/>
          <w:b w:val="false"/>
          <w:bCs w:val="false"/>
          <w:i/>
          <w:iCs/>
          <w:sz w:val="21"/>
          <w:szCs w:val="21"/>
        </w:rPr>
        <w:t xml:space="preserve">B. Ablation A — removing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1872"/>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 (shipped)</w:t>
            </w:r>
          </w:p>
        </w:tc>
        <w:tc>
          <w:tcPr>
            <w:tcW w:type="dxa" w:w="1872"/>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 </w:t>
            </w:r>
            <w:r>
              <w:rPr>
                <w:rFonts w:ascii="Times New Roman" w:cs="Times New Roman" w:eastAsia="Times New Roman" w:hAnsi="Times New Roman"/>
                <w:b/>
                <w:bCs/>
                <w:sz w:val="20"/>
                <w:szCs w:val="20"/>
              </w:rPr>
              <w:t xml:space="preserve">no retrieval</w:t>
            </w:r>
          </w:p>
        </w:tc>
        <w:tc>
          <w:tcPr>
            <w:tcW w:type="dxa" w:w="1872"/>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Baseline (shipped)</w:t>
            </w:r>
          </w:p>
        </w:tc>
        <w:tc>
          <w:tcPr>
            <w:tcW w:type="dxa" w:w="1872"/>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Baseline </w:t>
            </w:r>
            <w:r>
              <w:rPr>
                <w:rFonts w:ascii="Times New Roman" w:cs="Times New Roman" w:eastAsia="Times New Roman" w:hAnsi="Times New Roman"/>
                <w:b/>
                <w:bCs/>
                <w:sz w:val="20"/>
                <w:szCs w:val="20"/>
              </w:rPr>
              <w:t xml:space="preserve">no retrieval</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(all incidents)</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20.8%</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20.8%</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12.5%</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6.3%</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(when answered)</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30.0%</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Cross-service accuracy</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50.0%</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Same-service accuracy</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16.7%</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Blamed the symptom service</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F1 (macro)</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1.00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0.42</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0.18</w:t>
            </w:r>
          </w:p>
        </w:tc>
      </w:tr>
      <w:tr>
        <w:trPr>
          <w:tblHeader w:val="false"/>
        </w:trPr>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Incidents answered</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872"/>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r>
    </w:tbl>
    <w:p>
      <w:pPr>
        <w:spacing w:after="160"/>
      </w:pPr>
    </w:p>
    <w:p>
      <w:pPr>
        <w:spacing w:after="120" w:line="259"/>
        <w:jc w:val="both"/>
      </w:pPr>
      <w:r>
        <w:rPr>
          <w:rFonts w:ascii="Times New Roman" w:cs="Times New Roman" w:eastAsia="Times New Roman" w:hAnsi="Times New Roman"/>
          <w:b/>
          <w:bCs/>
          <w:sz w:val="20"/>
          <w:szCs w:val="20"/>
        </w:rPr>
        <w:t xml:space="preserve">Finding A1: retrieval is diagnostically inert for the multi-agent pipeline.</w:t>
      </w:r>
      <w:r>
        <w:rPr>
          <w:rFonts w:ascii="Times New Roman" w:cs="Times New Roman" w:eastAsia="Times New Roman" w:hAnsi="Times New Roman"/>
          <w:sz w:val="20"/>
          <w:szCs w:val="20"/>
        </w:rPr>
        <w:t xml:space="preserve"> Every performance metric is identical with and without retrieval, to four decimal places. Retrieval changes only the recorded confidence label and the determination method. It does not change a single diagnosis across 48 incidents.</w:t>
      </w:r>
    </w:p>
    <w:p>
      <w:pPr>
        <w:spacing w:after="120" w:line="259"/>
        <w:jc w:val="both"/>
      </w:pPr>
      <w:r>
        <w:rPr>
          <w:rFonts w:ascii="Times New Roman" w:cs="Times New Roman" w:eastAsia="Times New Roman" w:hAnsi="Times New Roman"/>
          <w:sz w:val="20"/>
          <w:szCs w:val="20"/>
        </w:rPr>
        <w:t xml:space="preserve">This is unflattering to the architecture as advertised, and we state it plainly: the retrieval-augmented component contributes nothing to diagnostic accuracy here. The honest characterisation of its role is corroboration and provenance, not diagnosis. A caveat in the other direction: retrieval cannot help a signature matcher already at 100%, and on a live corpus where signature matching is imperfect it has room to contribute that it does not have here.</w:t>
      </w:r>
    </w:p>
    <w:p>
      <w:pPr>
        <w:spacing w:after="120" w:line="259"/>
        <w:jc w:val="both"/>
      </w:pP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Finding A2: for the single-agent baseline, retrieval is load-bearing </w:t>
      </w:r>
      <w:r>
        <w:rPr>
          <w:rFonts w:ascii="Times New Roman" w:cs="Times New Roman" w:eastAsia="Times New Roman" w:hAnsi="Times New Roman"/>
          <w:sz w:val="20"/>
          <w:szCs w:val="20"/>
        </w:rPr>
        <w:t xml:space="preserve">and</w:t>
      </w:r>
      <w:r>
        <w:rPr>
          <w:rFonts w:ascii="Times New Roman" w:cs="Times New Roman" w:eastAsia="Times New Roman" w:hAnsi="Times New Roman"/>
          <w:i/>
          <w:iCs/>
          <w:sz w:val="20"/>
          <w:szCs w:val="20"/>
        </w:rPr>
        <w:t xml:space="preserve"> harmful.</w:t>
      </w:r>
      <w:r>
        <w:rPr>
          <w:rFonts w:ascii="Times New Roman" w:cs="Times New Roman" w:eastAsia="Times New Roman" w:hAnsi="Times New Roman"/>
          <w:i/>
          <w:iCs/>
          <w:sz w:val="20"/>
          <w:szCs w:val="20"/>
        </w:rPr>
        <w:t xml:space="preserve"> Same-service accuracy collapses from 100% to 16.7%; cross-service accuracy </w:t>
      </w:r>
      <w:r>
        <w:rPr>
          <w:rFonts w:ascii="Times New Roman" w:cs="Times New Roman" w:eastAsia="Times New Roman" w:hAnsi="Times New Roman"/>
          <w:sz w:val="20"/>
          <w:szCs w:val="20"/>
        </w:rPr>
        <w:t xml:space="preserve">improves* from 0% to 50.0%; symptom-service blaming falls from 4 of 4 to 0 of 4. The coherent reading is that retrieval was substituting for reasoning. With precedent available the model pattern-matches to it, which is exactly right on same-service faults and exactly wrong on cross-service ones. Remove the precedent and it loses the easy cases but stops being systematically dragged toward the symptom service.</w:t>
      </w:r>
    </w:p>
    <w:p>
      <w:pPr>
        <w:spacing w:after="120" w:line="259"/>
        <w:jc w:val="both"/>
      </w:pPr>
      <w:r>
        <w:rPr>
          <w:rFonts w:ascii="Times New Roman" w:cs="Times New Roman" w:eastAsia="Times New Roman" w:hAnsi="Times New Roman"/>
          <w:b/>
          <w:bCs/>
          <w:sz w:val="20"/>
          <w:szCs w:val="20"/>
        </w:rPr>
        <w:t xml:space="preserve">Finding A3: the same intervention leaves one arm unchanged and reorganises the other.</w:t>
      </w:r>
      <w:r>
        <w:rPr>
          <w:rFonts w:ascii="Times New Roman" w:cs="Times New Roman" w:eastAsia="Times New Roman" w:hAnsi="Times New Roman"/>
          <w:sz w:val="20"/>
          <w:szCs w:val="20"/>
        </w:rPr>
        <w:t xml:space="preserve"> That asymmetry is itself evidence for the architectural claim: in the multi-agent pipeline retrieval is advisory by construction, so removing it changes confidence labels; in the baseline it is causal, so removing it changes answers.</w:t>
      </w:r>
    </w:p>
    <w:p>
      <w:pPr>
        <w:spacing w:after="120" w:line="259"/>
        <w:jc w:val="both"/>
      </w:pPr>
      <w:r>
        <w:rPr>
          <w:rFonts w:ascii="Times New Roman" w:cs="Times New Roman" w:eastAsia="Times New Roman" w:hAnsi="Times New Roman"/>
          <w:b/>
          <w:bCs/>
          <w:sz w:val="20"/>
          <w:szCs w:val="20"/>
        </w:rPr>
        <w:t xml:space="preserve">Finding A0, reported first among the caveats.</w:t>
      </w:r>
      <w:r>
        <w:rPr>
          <w:rFonts w:ascii="Times New Roman" w:cs="Times New Roman" w:eastAsia="Times New Roman" w:hAnsi="Times New Roman"/>
          <w:sz w:val="20"/>
          <w:szCs w:val="20"/>
        </w:rPr>
        <w:t xml:space="preserve"> All 48 predictions are identical with and without retrieval, but the </w:t>
      </w:r>
      <w:r>
        <w:rPr>
          <w:rFonts w:ascii="Times New Roman" w:cs="Times New Roman" w:eastAsia="Times New Roman" w:hAnsi="Times New Roman"/>
          <w:i/>
          <w:iCs/>
          <w:sz w:val="20"/>
          <w:szCs w:val="20"/>
        </w:rPr>
        <w:t xml:space="preserve">paths</w:t>
      </w:r>
      <w:r>
        <w:rPr>
          <w:rFonts w:ascii="Times New Roman" w:cs="Times New Roman" w:eastAsia="Times New Roman" w:hAnsi="Times New Roman"/>
          <w:sz w:val="20"/>
          <w:szCs w:val="20"/>
        </w:rPr>
        <w:t xml:space="preserve"> differ on ten of them, and one is not a coincidence-free match. On one incident no signature matched, so with retrieval the answer came from the nearest retrieved incident and without it the pipeline fell back to naming the symptom service. Both produced the right answer, but only because that is a same-service fault where the fallback's default happens to be correct. A1 is a claim about scores, not about reasoning being unchanged.</w:t>
      </w:r>
    </w:p>
    <w:p>
      <w:pPr>
        <w:pStyle w:val="Heading2"/>
        <w:spacing w:after="120" w:before="240"/>
        <w:jc w:val="left"/>
      </w:pPr>
      <w:r>
        <w:rPr>
          <w:rFonts w:ascii="Times New Roman" w:cs="Times New Roman" w:eastAsia="Times New Roman" w:hAnsi="Times New Roman"/>
          <w:b w:val="false"/>
          <w:bCs w:val="false"/>
          <w:i/>
          <w:iCs/>
          <w:sz w:val="21"/>
          <w:szCs w:val="21"/>
        </w:rPr>
        <w:t xml:space="preserve">C. Ablation B — letting retrieval override</w:t>
      </w:r>
    </w:p>
    <w:p>
      <w:pPr>
        <w:spacing w:after="120" w:line="259"/>
        <w:jc w:val="both"/>
      </w:pPr>
      <w:r>
        <w:rPr>
          <w:rFonts w:ascii="Times New Roman" w:cs="Times New Roman" w:eastAsia="Times New Roman" w:hAnsi="Times New Roman"/>
          <w:sz w:val="20"/>
          <w:szCs w:val="20"/>
        </w:rPr>
        <w:t xml:space="preserve">The prediction registered before this run: because retrieval disagreed with the correct answer on all four cross-service incidents and proposed payment-service each time, allowing it to win those disagreements should collapse cross-service accuracy toward 0% while leaving the six same-service incidents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 (shipped)</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Multi </w:t>
            </w:r>
            <w:r>
              <w:rPr>
                <w:rFonts w:ascii="Times New Roman" w:cs="Times New Roman" w:eastAsia="Times New Roman" w:hAnsi="Times New Roman"/>
                <w:b/>
                <w:bCs/>
                <w:sz w:val="20"/>
                <w:szCs w:val="20"/>
              </w:rPr>
              <w:t xml:space="preserve">+ override</w:t>
            </w:r>
          </w:p>
        </w:tc>
        <w:tc>
          <w:tcPr>
            <w:tcW w:type="dxa" w:w="2340"/>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Single-agent baseline</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(all incidents)</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20.8%</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12.5%</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12.5%</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 (when answered)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60.0%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60.0%</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Cross-service accuracy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Same-service accuracy</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Blamed the symptom service</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4</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4</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F1 (macro)</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0.4167</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0.4167</w:t>
            </w:r>
          </w:p>
        </w:tc>
      </w:tr>
      <w:tr>
        <w:trPr>
          <w:tblHeader w:val="false"/>
        </w:trPr>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Incidents answered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r>
    </w:tbl>
    <w:p>
      <w:pPr>
        <w:spacing w:after="160"/>
      </w:pPr>
    </w:p>
    <w:p>
      <w:pPr>
        <w:spacing w:after="120" w:line="259"/>
        <w:jc w:val="both"/>
      </w:pPr>
      <w:r>
        <w:rPr>
          <w:rFonts w:ascii="Times New Roman" w:cs="Times New Roman" w:eastAsia="Times New Roman" w:hAnsi="Times New Roman"/>
          <w:b/>
          <w:bCs/>
          <w:sz w:val="20"/>
          <w:szCs w:val="20"/>
        </w:rPr>
        <w:t xml:space="preserve">Finding B1: removing the constraint reproduces the baseline exactly.</w:t>
      </w:r>
      <w:r>
        <w:rPr>
          <w:rFonts w:ascii="Times New Roman" w:cs="Times New Roman" w:eastAsia="Times New Roman" w:hAnsi="Times New Roman"/>
          <w:sz w:val="20"/>
          <w:szCs w:val="20"/>
        </w:rPr>
        <w:t xml:space="preserve"> Not approximately. Every metric in the override column equals the baseline's value to four decimal places, including the macro F1 and the count of symptom-service attributions. The determination-method breakdown shows why: five agreements unchanged, one retrieval-only, and </w:t>
      </w:r>
      <w:r>
        <w:rPr>
          <w:rFonts w:ascii="Times New Roman" w:cs="Times New Roman" w:eastAsia="Times New Roman" w:hAnsi="Times New Roman"/>
          <w:b/>
          <w:bCs/>
          <w:sz w:val="20"/>
          <w:szCs w:val="20"/>
        </w:rPr>
        <w:t xml:space="preserve">four overrides</w:t>
      </w:r>
      <w:r>
        <w:rPr>
          <w:rFonts w:ascii="Times New Roman" w:cs="Times New Roman" w:eastAsia="Times New Roman" w:hAnsi="Times New Roman"/>
          <w:sz w:val="20"/>
          <w:szCs w:val="20"/>
        </w:rPr>
        <w:t xml:space="preserve"> — precisely the four cross-service incidents, each flipped to retrieval's answer.</w:t>
      </w:r>
    </w:p>
    <w:p>
      <w:pPr>
        <w:spacing w:after="120" w:line="259"/>
        <w:jc w:val="both"/>
      </w:pPr>
      <w:r>
        <w:rPr>
          <w:rFonts w:ascii="Times New Roman" w:cs="Times New Roman" w:eastAsia="Times New Roman" w:hAnsi="Times New Roman"/>
          <w:sz w:val="20"/>
          <w:szCs w:val="20"/>
        </w:rPr>
        <w:t xml:space="preserve">Under this ablation the pipeline retains everything else that distinguishes it: per-service detectors, signature matching, a deterministic proposer, safety validation and staged approval. All of that apparatus is worth exactly zero once retrieval is allowed to override the conclusion. The system collapses to its own baseline.</w:t>
      </w:r>
    </w:p>
    <w:p>
      <w:pPr>
        <w:spacing w:after="120" w:line="259"/>
        <w:jc w:val="both"/>
      </w:pPr>
      <w:r>
        <w:rPr>
          <w:rFonts w:ascii="Times New Roman" w:cs="Times New Roman" w:eastAsia="Times New Roman" w:hAnsi="Times New Roman"/>
          <w:b/>
          <w:bCs/>
          <w:sz w:val="20"/>
          <w:szCs w:val="20"/>
        </w:rPr>
        <w:t xml:space="preserve">Finding B2.</w:t>
      </w:r>
      <w:r>
        <w:rPr>
          <w:rFonts w:ascii="Times New Roman" w:cs="Times New Roman" w:eastAsia="Times New Roman" w:hAnsi="Times New Roman"/>
          <w:sz w:val="20"/>
          <w:szCs w:val="20"/>
        </w:rPr>
        <w:t xml:space="preserve"> This converts the Section V-B attribution from an interpretation into a controlled result. The claim "the advantage comes from refusing to defer to retrieval" is no longer an explanation of a correlation; it is the measured consequence of toggling exactly that constraint with everything else held fixed.</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VII. DISCUSSION</w:t>
      </w:r>
    </w:p>
    <w:p>
      <w:pPr>
        <w:pStyle w:val="Heading2"/>
        <w:spacing w:after="120" w:before="240"/>
        <w:jc w:val="left"/>
      </w:pPr>
      <w:r>
        <w:rPr>
          <w:rFonts w:ascii="Times New Roman" w:cs="Times New Roman" w:eastAsia="Times New Roman" w:hAnsi="Times New Roman"/>
          <w:b w:val="false"/>
          <w:bCs w:val="false"/>
          <w:i/>
          <w:iCs/>
          <w:sz w:val="21"/>
          <w:szCs w:val="21"/>
        </w:rPr>
        <w:t xml:space="preserve">A. Detection, not diagnosis, is the binding constraint</w:t>
      </w:r>
    </w:p>
    <w:p>
      <w:pPr>
        <w:spacing w:after="120" w:line="259"/>
        <w:jc w:val="both"/>
      </w:pPr>
      <w:r>
        <w:rPr>
          <w:rFonts w:ascii="Times New Roman" w:cs="Times New Roman" w:eastAsia="Times New Roman" w:hAnsi="Times New Roman"/>
          <w:sz w:val="20"/>
          <w:szCs w:val="20"/>
        </w:rPr>
        <w:t xml:space="preserve">The diagnostic layer was correct on every incident it answered, and the system's accuracy over all incidents was 20.8%, because the shared detector surfaced only 10 of 48. This is the system's real operating characteristic, and it is a detection problem.</w:t>
      </w:r>
    </w:p>
    <w:p>
      <w:pPr>
        <w:spacing w:after="120" w:line="259"/>
        <w:jc w:val="both"/>
      </w:pPr>
      <w:r>
        <w:rPr>
          <w:rFonts w:ascii="Times New Roman" w:cs="Times New Roman" w:eastAsia="Times New Roman" w:hAnsi="Times New Roman"/>
          <w:sz w:val="20"/>
          <w:szCs w:val="20"/>
        </w:rPr>
        <w:t xml:space="preserve">The mechanism is specific. Isolation Forest </w:t>
      </w:r>
      <w:r>
        <w:rPr>
          <w:rFonts w:ascii="Times New Roman" w:cs="Times New Roman" w:eastAsia="Times New Roman" w:hAnsi="Times New Roman"/>
          <w:b/>
          <w:bCs/>
          <w:sz w:val="20"/>
          <w:szCs w:val="20"/>
        </w:rPr>
        <w:t xml:space="preserve">saturates</w:t>
      </w:r>
      <w:r>
        <w:rPr>
          <w:rFonts w:ascii="Times New Roman" w:cs="Times New Roman" w:eastAsia="Times New Roman" w:hAnsi="Times New Roman"/>
          <w:sz w:val="20"/>
          <w:szCs w:val="20"/>
        </w:rPr>
        <w:t xml:space="preserve"> outside its training range: every learned split threshold for a feature lies inside the observed range, so any value beyond it takes the same branch at every node. A swept measurement confirmed a 2 GB heap scoring identically to a 50 MB one. Extreme deviations are therefore as invisible as moderate ones, for the same reason. We characterise this rather than tune it away.</w:t>
      </w:r>
    </w:p>
    <w:p>
      <w:pPr>
        <w:spacing w:after="120" w:line="259"/>
        <w:jc w:val="both"/>
      </w:pPr>
      <w:r>
        <w:rPr>
          <w:rFonts w:ascii="Times New Roman" w:cs="Times New Roman" w:eastAsia="Times New Roman" w:hAnsi="Times New Roman"/>
          <w:sz w:val="20"/>
          <w:szCs w:val="20"/>
        </w:rPr>
        <w:t xml:space="preserve">BARO [2] makes the general form of this argument and addresses it with change-point detection that does not presuppose accurate anomaly flags. That is the most promising direction for this system's principal weakness.</w:t>
      </w:r>
    </w:p>
    <w:p>
      <w:pPr>
        <w:spacing w:after="120" w:line="259"/>
        <w:jc w:val="both"/>
      </w:pPr>
      <w:r>
        <w:rPr>
          <w:rFonts w:ascii="Times New Roman" w:cs="Times New Roman" w:eastAsia="Times New Roman" w:hAnsi="Times New Roman"/>
          <w:sz w:val="20"/>
          <w:szCs w:val="20"/>
        </w:rPr>
        <w:t xml:space="preserve">An important mitigation is already present: the deterministic signature matcher does not share this weakness, so the </w:t>
      </w:r>
      <w:r>
        <w:rPr>
          <w:rFonts w:ascii="Times New Roman" w:cs="Times New Roman" w:eastAsia="Times New Roman" w:hAnsi="Times New Roman"/>
          <w:i/>
          <w:iCs/>
          <w:sz w:val="20"/>
          <w:szCs w:val="20"/>
        </w:rPr>
        <w:t xml:space="preserve">diagnosis</w:t>
      </w:r>
      <w:r>
        <w:rPr>
          <w:rFonts w:ascii="Times New Roman" w:cs="Times New Roman" w:eastAsia="Times New Roman" w:hAnsi="Times New Roman"/>
          <w:sz w:val="20"/>
          <w:szCs w:val="20"/>
        </w:rPr>
        <w:t xml:space="preserve"> stays correct wherever detection fires. The deterministic layer compensating for the machine-learned layer's blind spot is itself a result in favour of the decomposed design.</w:t>
      </w:r>
    </w:p>
    <w:p>
      <w:pPr>
        <w:pStyle w:val="Heading2"/>
        <w:spacing w:after="120" w:before="240"/>
        <w:jc w:val="left"/>
      </w:pPr>
      <w:r>
        <w:rPr>
          <w:rFonts w:ascii="Times New Roman" w:cs="Times New Roman" w:eastAsia="Times New Roman" w:hAnsi="Times New Roman"/>
          <w:b w:val="false"/>
          <w:bCs w:val="false"/>
          <w:i/>
          <w:iCs/>
          <w:sz w:val="21"/>
          <w:szCs w:val="21"/>
        </w:rPr>
        <w:t xml:space="preserve">B. The architecture absorbed a failing model</w:t>
      </w:r>
    </w:p>
    <w:p>
      <w:pPr>
        <w:spacing w:after="120" w:line="259"/>
        <w:jc w:val="both"/>
      </w:pPr>
      <w:r>
        <w:rPr>
          <w:rFonts w:ascii="Times New Roman" w:cs="Times New Roman" w:eastAsia="Times New Roman" w:hAnsi="Times New Roman"/>
          <w:sz w:val="20"/>
          <w:szCs w:val="20"/>
        </w:rPr>
        <w:t xml:space="preserve">The narration layer was unavailable for 90% of the incidents the multi-agent arm answered, and not one conclusion changed. A system that had delegated diagnosis to that model would have produced nothing for those incidents. This is the "deterministic conclusion, model narration" split working exactly as designed, demonstrated by accident rather than by construction.</w:t>
      </w:r>
    </w:p>
    <w:p>
      <w:pPr>
        <w:spacing w:after="120" w:line="259"/>
        <w:jc w:val="both"/>
      </w:pPr>
      <w:r>
        <w:rPr>
          <w:rFonts w:ascii="Times New Roman" w:cs="Times New Roman" w:eastAsia="Times New Roman" w:hAnsi="Times New Roman"/>
          <w:sz w:val="20"/>
          <w:szCs w:val="20"/>
        </w:rPr>
        <w:t xml:space="preserve">The reproducibility comparison sharpens it: across two runs the prose differed on every incident that produced any, in both arms, while all 96 diagnoses were identical. The component that behaves inconsistently is precisely the component that changes nothing.</w:t>
      </w:r>
    </w:p>
    <w:p>
      <w:pPr>
        <w:spacing w:after="120" w:line="259"/>
        <w:jc w:val="both"/>
      </w:pPr>
      <w:r>
        <w:rPr>
          <w:rFonts w:ascii="Times New Roman" w:cs="Times New Roman" w:eastAsia="Times New Roman" w:hAnsi="Times New Roman"/>
          <w:sz w:val="20"/>
          <w:szCs w:val="20"/>
        </w:rPr>
        <w:t xml:space="preserve">This has a direct engineering implication. Where a diagnosis must be auditable, the model should narrate a conclusion it cannot alter. Where the model determines the conclusion, as in the baseline, its non-determinism becomes the system's non-determinism.</w:t>
      </w:r>
    </w:p>
    <w:p>
      <w:pPr>
        <w:pStyle w:val="Heading2"/>
        <w:spacing w:after="120" w:before="240"/>
        <w:jc w:val="left"/>
      </w:pPr>
      <w:r>
        <w:rPr>
          <w:rFonts w:ascii="Times New Roman" w:cs="Times New Roman" w:eastAsia="Times New Roman" w:hAnsi="Times New Roman"/>
          <w:b w:val="false"/>
          <w:bCs w:val="false"/>
          <w:i/>
          <w:iCs/>
          <w:sz w:val="21"/>
          <w:szCs w:val="21"/>
        </w:rPr>
        <w:t xml:space="preserve">C. Rethinking hallucination measurement</w:t>
      </w:r>
    </w:p>
    <w:p>
      <w:pPr>
        <w:spacing w:after="120" w:line="259"/>
        <w:jc w:val="both"/>
      </w:pPr>
      <w:r>
        <w:rPr>
          <w:rFonts w:ascii="Times New Roman" w:cs="Times New Roman" w:eastAsia="Times New Roman" w:hAnsi="Times New Roman"/>
          <w:sz w:val="20"/>
          <w:szCs w:val="20"/>
        </w:rPr>
        <w:t xml:space="preserve">The conventional operational definition of hallucination — citing a metric absent from the evidence — returns near-zero for a model whose actual failure is misrepresenting the significance of metrics that are present. Our data shows this concretely: 0% under the conventional measure, 10.0% under a measure comparing each cited value against its documented baseline range, and at least four such claims present in a run where one is counted.</w:t>
      </w:r>
    </w:p>
    <w:p>
      <w:pPr>
        <w:spacing w:after="120" w:line="259"/>
        <w:jc w:val="both"/>
      </w:pPr>
      <w:r>
        <w:rPr>
          <w:rFonts w:ascii="Times New Roman" w:cs="Times New Roman" w:eastAsia="Times New Roman" w:hAnsi="Times New Roman"/>
          <w:sz w:val="20"/>
          <w:szCs w:val="20"/>
        </w:rPr>
        <w:t xml:space="preserve">The lesson generalises beyond this system. A hallucination metric defined as reference to a non-existent entity will read as near-zero for any model whose failure mode is misdescribing real entities. In operational settings, where every quantity the model cites is drawn from real telemetry, that is the failure mode that actually occurs.</w:t>
      </w:r>
    </w:p>
    <w:p>
      <w:pPr>
        <w:spacing w:after="120" w:line="259"/>
        <w:jc w:val="both"/>
      </w:pPr>
      <w:r>
        <w:rPr>
          <w:rFonts w:ascii="Times New Roman" w:cs="Times New Roman" w:eastAsia="Times New Roman" w:hAnsi="Times New Roman"/>
          <w:sz w:val="20"/>
          <w:szCs w:val="20"/>
        </w:rPr>
        <w:t xml:space="preserve">We also note what our stronger measure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do: it scores the justification, not the answer. A flagged incident may still be diagnosed correctly, and in this run it was.</w:t>
      </w:r>
    </w:p>
    <w:p>
      <w:pPr>
        <w:pStyle w:val="Heading2"/>
        <w:spacing w:after="120" w:before="240"/>
        <w:jc w:val="left"/>
      </w:pPr>
      <w:r>
        <w:rPr>
          <w:rFonts w:ascii="Times New Roman" w:cs="Times New Roman" w:eastAsia="Times New Roman" w:hAnsi="Times New Roman"/>
          <w:b w:val="false"/>
          <w:bCs w:val="false"/>
          <w:i/>
          <w:iCs/>
          <w:sz w:val="21"/>
          <w:szCs w:val="21"/>
        </w:rPr>
        <w:t xml:space="preserve">D. Cost of the decomposed design</w:t>
      </w:r>
    </w:p>
    <w:p>
      <w:pPr>
        <w:spacing w:after="120" w:line="259"/>
        <w:jc w:val="both"/>
      </w:pPr>
      <w:r>
        <w:rPr>
          <w:rFonts w:ascii="Times New Roman" w:cs="Times New Roman" w:eastAsia="Times New Roman" w:hAnsi="Times New Roman"/>
          <w:sz w:val="20"/>
          <w:szCs w:val="20"/>
        </w:rPr>
        <w:t xml:space="preserve">The multi-agent arm used twice the model calls and 4.017 times the wall clock of the baseline. The benefit is confined entirely to cross-service diagnosis; on same-service faults the two are indistinguishable and the decomposition is pure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Times New Roman" w:cs="Times New Roman" w:eastAsia="Times New Roman" w:hAnsi="Times New Roman"/>
                <w:i/>
                <w:iCs/>
                <w:color w:val="6B4E00"/>
                <w:sz w:val="18"/>
                <w:szCs w:val="18"/>
              </w:rPr>
              <w:t xml:space="preserve">FIGURE 8 - COST PER INCIDENT   [AUTHOR: docs/evaluation/fig_cost_per_incident.png exists.</w:t>
            </w:r>
          </w:p>
          <w:p>
            <w:pPr>
              <w:spacing w:after="60"/>
            </w:pPr>
            <w:r>
              <w:rPr>
                <w:rFonts w:ascii="Times New Roman" w:cs="Times New Roman" w:eastAsia="Times New Roman" w:hAnsi="Times New Roman"/>
                <w:i/>
                <w:iCs/>
                <w:color w:val="6B4E00"/>
                <w:sz w:val="18"/>
                <w:szCs w:val="18"/>
              </w:rPr>
              <w:t xml:space="preserve">Single column. Consider following OperAID [4] and plotting accuracy against cost as a</w:t>
            </w:r>
          </w:p>
          <w:p>
            <w:pPr>
              <w:spacing w:after="0"/>
            </w:pPr>
            <w:r>
              <w:rPr>
                <w:rFonts w:ascii="Times New Roman" w:cs="Times New Roman" w:eastAsia="Times New Roman" w:hAnsi="Times New Roman"/>
                <w:i/>
                <w:iCs/>
                <w:color w:val="6B4E00"/>
                <w:sz w:val="18"/>
                <w:szCs w:val="18"/>
              </w:rPr>
              <w:t xml:space="preserve">frontier rather than as two separate bars - it makes the trade-off legible in one glance.</w:t>
            </w:r>
          </w:p>
        </w:tc>
      </w:tr>
    </w:tbl>
    <w:p>
      <w:pPr>
        <w:spacing w:after="120"/>
      </w:pPr>
    </w:p>
    <w:p>
      <w:pPr>
        <w:spacing w:after="240" w:line="259"/>
        <w:ind w:left="180"/>
        <w:jc w:val="left"/>
      </w:pPr>
      <w:r>
        <w:rPr>
          <w:rFonts w:ascii="Times New Roman" w:cs="Times New Roman" w:eastAsia="Times New Roman" w:hAnsi="Times New Roman"/>
          <w:b/>
          <w:bCs/>
          <w:sz w:val="20"/>
          <w:szCs w:val="20"/>
        </w:rPr>
        <w:t xml:space="preserve">Fig. 8.</w:t>
      </w:r>
      <w:r>
        <w:rPr>
          <w:rFonts w:ascii="Times New Roman" w:cs="Times New Roman" w:eastAsia="Times New Roman" w:hAnsi="Times New Roman"/>
          <w:sz w:val="20"/>
          <w:szCs w:val="20"/>
        </w:rPr>
        <w:t xml:space="preserve"> Model calls and wall-clock time per incident, by arm. The decomposed design costs twice the model calls and 4.017 times the wall clock, and buys accuracy only on cross-service faults.</w:t>
      </w:r>
    </w:p>
    <w:p>
      <w:pPr>
        <w:spacing w:after="120" w:line="259"/>
        <w:jc w:val="both"/>
      </w:pPr>
      <w:r>
        <w:rPr>
          <w:rFonts w:ascii="Times New Roman" w:cs="Times New Roman" w:eastAsia="Times New Roman" w:hAnsi="Times New Roman"/>
          <w:sz w:val="20"/>
          <w:szCs w:val="20"/>
        </w:rPr>
        <w:t xml:space="preserve">This mirrors a trade-off reported elsewhere in the literature. LATS-RCA [3] reports roughly 75 API calls and 13 minutes per incident; OperAID [4] finds a 2.9-fold cost increase buying a 5.5 point accuracy gain. Our overhead is small in absolute terms because most stages are deterministic Python and the sole model call is optional narration.</w:t>
      </w:r>
    </w:p>
    <w:p>
      <w:pPr>
        <w:pStyle w:val="Heading2"/>
        <w:spacing w:after="120" w:before="240"/>
        <w:jc w:val="left"/>
      </w:pPr>
      <w:r>
        <w:rPr>
          <w:rFonts w:ascii="Times New Roman" w:cs="Times New Roman" w:eastAsia="Times New Roman" w:hAnsi="Times New Roman"/>
          <w:b w:val="false"/>
          <w:bCs w:val="false"/>
          <w:i/>
          <w:iCs/>
          <w:sz w:val="21"/>
          <w:szCs w:val="21"/>
        </w:rPr>
        <w:t xml:space="preserve">E. Where the design does not win, and what it concedes</w:t>
      </w:r>
    </w:p>
    <w:p>
      <w:pPr>
        <w:spacing w:after="120" w:line="259"/>
        <w:jc w:val="both"/>
      </w:pPr>
      <w:r>
        <w:rPr>
          <w:rFonts w:ascii="Times New Roman" w:cs="Times New Roman" w:eastAsia="Times New Roman" w:hAnsi="Times New Roman"/>
          <w:sz w:val="20"/>
          <w:szCs w:val="20"/>
        </w:rPr>
        <w:t xml:space="preserve">Three concessions.</w:t>
      </w:r>
    </w:p>
    <w:p>
      <w:pPr>
        <w:spacing w:after="120" w:line="259"/>
        <w:jc w:val="both"/>
      </w:pPr>
      <w:r>
        <w:rPr>
          <w:rFonts w:ascii="Times New Roman" w:cs="Times New Roman" w:eastAsia="Times New Roman" w:hAnsi="Times New Roman"/>
          <w:sz w:val="20"/>
          <w:szCs w:val="20"/>
        </w:rPr>
        <w:t xml:space="preserve">The two arms are </w:t>
      </w:r>
      <w:r>
        <w:rPr>
          <w:rFonts w:ascii="Times New Roman" w:cs="Times New Roman" w:eastAsia="Times New Roman" w:hAnsi="Times New Roman"/>
          <w:i/>
          <w:iCs/>
          <w:sz w:val="20"/>
          <w:szCs w:val="20"/>
        </w:rPr>
        <w:t xml:space="preserve">identical</w:t>
      </w:r>
      <w:r>
        <w:rPr>
          <w:rFonts w:ascii="Times New Roman" w:cs="Times New Roman" w:eastAsia="Times New Roman" w:hAnsi="Times New Roman"/>
          <w:sz w:val="20"/>
          <w:szCs w:val="20"/>
        </w:rPr>
        <w:t xml:space="preserve"> on same-service faults. The contribution is narrow and should be stated narrowly.</w:t>
      </w:r>
    </w:p>
    <w:p>
      <w:pPr>
        <w:spacing w:after="120" w:line="259"/>
        <w:jc w:val="both"/>
      </w:pPr>
      <w:r>
        <w:rPr>
          <w:rFonts w:ascii="Times New Roman" w:cs="Times New Roman" w:eastAsia="Times New Roman" w:hAnsi="Times New Roman"/>
          <w:sz w:val="20"/>
          <w:szCs w:val="20"/>
        </w:rPr>
        <w:t xml:space="preserve">The symptom-to-cause relation is supplied by a documented domain mapping. Graph-based approaches [5], [6], [7], [8] </w:t>
      </w:r>
      <w:r>
        <w:rPr>
          <w:rFonts w:ascii="Times New Roman" w:cs="Times New Roman" w:eastAsia="Times New Roman" w:hAnsi="Times New Roman"/>
          <w:i/>
          <w:iCs/>
          <w:sz w:val="20"/>
          <w:szCs w:val="20"/>
        </w:rPr>
        <w:t xml:space="preserve">derive</w:t>
      </w:r>
      <w:r>
        <w:rPr>
          <w:rFonts w:ascii="Times New Roman" w:cs="Times New Roman" w:eastAsia="Times New Roman" w:hAnsi="Times New Roman"/>
          <w:sz w:val="20"/>
          <w:szCs w:val="20"/>
        </w:rPr>
        <w:t xml:space="preserve"> this relation from observed dependencies, which generalises to systems whose topology is not known in advance. Ours does not. On a four-service system with a known synchronous call chain the mapping is defensible; on a system of a hundred services it is not, and a learned or traced dependency graph would be required.</w:t>
      </w:r>
    </w:p>
    <w:p>
      <w:pPr>
        <w:spacing w:after="120" w:line="259"/>
        <w:jc w:val="both"/>
      </w:pPr>
      <w:r>
        <w:rPr>
          <w:rFonts w:ascii="Times New Roman" w:cs="Times New Roman" w:eastAsia="Times New Roman" w:hAnsi="Times New Roman"/>
          <w:sz w:val="20"/>
          <w:szCs w:val="20"/>
        </w:rPr>
        <w:t xml:space="preserve">Unsafe-action prevention is zero, and we do not claim it.</w:t>
      </w:r>
    </w:p>
    <w:p>
      <w:pPr>
        <w:pStyle w:val="Heading2"/>
        <w:spacing w:after="120" w:before="240"/>
        <w:jc w:val="left"/>
      </w:pPr>
      <w:r>
        <w:rPr>
          <w:rFonts w:ascii="Times New Roman" w:cs="Times New Roman" w:eastAsia="Times New Roman" w:hAnsi="Times New Roman"/>
          <w:b w:val="false"/>
          <w:bCs w:val="false"/>
          <w:i/>
          <w:iCs/>
          <w:sz w:val="21"/>
          <w:szCs w:val="21"/>
        </w:rPr>
        <w:t xml:space="preserve">F. Deployment and regulatory implications</w:t>
      </w:r>
    </w:p>
    <w:p>
      <w:pPr>
        <w:spacing w:after="120" w:line="259"/>
        <w:jc w:val="both"/>
      </w:pPr>
      <w:r>
        <w:rPr>
          <w:rFonts w:ascii="Times New Roman" w:cs="Times New Roman" w:eastAsia="Times New Roman" w:hAnsi="Times New Roman"/>
          <w:sz w:val="20"/>
          <w:szCs w:val="20"/>
        </w:rPr>
        <w:t xml:space="preserve">Three properties matter for a regulated financial deployment. Every executed action is preceded by a recorded human decision with a free-text reason, giving a complete audit trail. Every retry requires its own approval, so an operator cannot be deemed to have consented to an action they never saw. And the safety rule protecting the transactional service is evaluated deterministically and before human consultation, so an operator cannot approve past it.</w:t>
      </w:r>
    </w:p>
    <w:p>
      <w:pPr>
        <w:spacing w:after="120" w:line="259"/>
        <w:jc w:val="both"/>
      </w:pPr>
      <w:r>
        <w:rPr>
          <w:rFonts w:ascii="Times New Roman" w:cs="Times New Roman" w:eastAsia="Times New Roman" w:hAnsi="Times New Roman"/>
          <w:sz w:val="20"/>
          <w:szCs w:val="20"/>
        </w:rPr>
        <w:t xml:space="preserve">The negative-control finding in Section V-D is the counterweight and should be addressed before any closed-loop deployment: a 27% false-positive rate on post-recovery telemetry, combined with automated remediation, is a remediation-storm risk.</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VIII. THREATS TO VALIDITY</w:t>
      </w:r>
    </w:p>
    <w:p>
      <w:pPr>
        <w:spacing w:after="120" w:line="259"/>
        <w:jc w:val="both"/>
      </w:pPr>
      <w:r>
        <w:rPr>
          <w:rFonts w:ascii="Times New Roman" w:cs="Times New Roman" w:eastAsia="Times New Roman" w:hAnsi="Times New Roman"/>
          <w:b/>
          <w:bCs/>
          <w:sz w:val="20"/>
          <w:szCs w:val="20"/>
        </w:rPr>
        <w:t xml:space="preserve">Internal validity.</w:t>
      </w:r>
      <w:r>
        <w:rPr>
          <w:rFonts w:ascii="Times New Roman" w:cs="Times New Roman" w:eastAsia="Times New Roman" w:hAnsi="Times New Roman"/>
          <w:sz w:val="20"/>
          <w:szCs w:val="20"/>
        </w:rPr>
        <w:t xml:space="preserve"> The two arms share every non-diagnostic node by importing identical objects, and a test asserts node identity, so drift between arms is excluded by construction. Both receive byte-identical replayed records. The simulated operator approves uniformly, which removes operator judgement as a confound but also means approval accuracy is definitionally equal to diagnostic accuracy and is not an independent measurement. The self-reported fault flag is withheld to prevent an answer-key leak on same-service faults.</w:t>
      </w:r>
    </w:p>
    <w:p>
      <w:pPr>
        <w:spacing w:after="120" w:line="259"/>
        <w:jc w:val="both"/>
      </w:pPr>
      <w:r>
        <w:rPr>
          <w:rFonts w:ascii="Times New Roman" w:cs="Times New Roman" w:eastAsia="Times New Roman" w:hAnsi="Times New Roman"/>
          <w:b/>
          <w:bCs/>
          <w:sz w:val="20"/>
          <w:szCs w:val="20"/>
        </w:rPr>
        <w:t xml:space="preserve">External validity.</w:t>
      </w:r>
      <w:r>
        <w:rPr>
          <w:rFonts w:ascii="Times New Roman" w:cs="Times New Roman" w:eastAsia="Times New Roman" w:hAnsi="Times New Roman"/>
          <w:sz w:val="20"/>
          <w:szCs w:val="20"/>
        </w:rPr>
        <w:t xml:space="preserve"> The corpus is synthetic and the testbed has four services and four fault types. Real incidents exhibit multi-factor causes, incomplete observability and cascading failures that this corpus does not contain. LATS-RCA [3] reports 91.3% on a benchmark and 65.1% on production incidents; we expect a comparable degradation and have not measured it. Results are from one application, one model and one machine.</w:t>
      </w:r>
    </w:p>
    <w:p>
      <w:pPr>
        <w:spacing w:after="120" w:line="259"/>
        <w:jc w:val="both"/>
      </w:pPr>
      <w:r>
        <w:rPr>
          <w:rFonts w:ascii="Times New Roman" w:cs="Times New Roman" w:eastAsia="Times New Roman" w:hAnsi="Times New Roman"/>
          <w:b/>
          <w:bCs/>
          <w:sz w:val="20"/>
          <w:szCs w:val="20"/>
        </w:rPr>
        <w:t xml:space="preserve">Construct validity.</w:t>
      </w:r>
      <w:r>
        <w:rPr>
          <w:rFonts w:ascii="Times New Roman" w:cs="Times New Roman" w:eastAsia="Times New Roman" w:hAnsi="Times New Roman"/>
          <w:sz w:val="20"/>
          <w:szCs w:val="20"/>
        </w:rPr>
        <w:t xml:space="preserve"> The most serious threat is a circularity: the synthetic generator's fault formulas and the diagnostic signature thresholds derive from the same documented baseline constants, so a threshold matcher was evaluated on data generated to exceed those thresholds. The comparison between arms is unaffected, since both received identical inputs and the baseline's failure is not an artefact of this, but the absolute accuracy is not a capability claim. Separately, root-cause accuracy equals fault-type accuracy by construction (Section IV-G), so the two are one capability reported twice. Our hallucination measures are lower bounds by acknowledged parsing limits.</w:t>
      </w:r>
    </w:p>
    <w:p>
      <w:pPr>
        <w:spacing w:after="120" w:line="259"/>
        <w:jc w:val="both"/>
      </w:pPr>
      <w:r>
        <w:rPr>
          <w:rFonts w:ascii="Times New Roman" w:cs="Times New Roman" w:eastAsia="Times New Roman" w:hAnsi="Times New Roman"/>
          <w:b/>
          <w:bCs/>
          <w:sz w:val="20"/>
          <w:szCs w:val="20"/>
        </w:rPr>
        <w:t xml:space="preserve">Statistical validity.</w:t>
      </w:r>
      <w:r>
        <w:rPr>
          <w:rFonts w:ascii="Times New Roman" w:cs="Times New Roman" w:eastAsia="Times New Roman" w:hAnsi="Times New Roman"/>
          <w:sz w:val="20"/>
          <w:szCs w:val="20"/>
        </w:rPr>
        <w:t xml:space="preserve"> The answered subset is 10 incidents and the cross-service subset is 4. Confidence intervals are correspondingly wide and are reported. The cross-service difference is significant by Fisher's exact test (p = 0.0286) but the conservative paired sign test over four discordant pairs is not (p = 0.125), and we do not claim significance over all answered incidents (p = 0.0867). Two runs cannot characterise a distribution; they establish stability, not its parameters.</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IX. CONCLUSION AND FUTURE WORK</w:t>
      </w:r>
    </w:p>
    <w:p>
      <w:pPr>
        <w:pStyle w:val="Heading2"/>
        <w:spacing w:after="120" w:before="240"/>
        <w:jc w:val="left"/>
      </w:pPr>
      <w:r>
        <w:rPr>
          <w:rFonts w:ascii="Times New Roman" w:cs="Times New Roman" w:eastAsia="Times New Roman" w:hAnsi="Times New Roman"/>
          <w:b w:val="false"/>
          <w:bCs w:val="false"/>
          <w:i/>
          <w:iCs/>
          <w:sz w:val="21"/>
          <w:szCs w:val="21"/>
        </w:rPr>
        <w:t xml:space="preserve">A. Conclusion</w:t>
      </w:r>
    </w:p>
    <w:p>
      <w:pPr>
        <w:spacing w:after="120" w:line="259"/>
        <w:jc w:val="both"/>
      </w:pPr>
      <w:r>
        <w:rPr>
          <w:rFonts w:ascii="Times New Roman" w:cs="Times New Roman" w:eastAsia="Times New Roman" w:hAnsi="Times New Roman"/>
          <w:sz w:val="20"/>
          <w:szCs w:val="20"/>
        </w:rPr>
        <w:t xml:space="preserve">We presented a deterministic-first multi-agent framework for root cause analysis and human-governed remediation in financial microservices, organised around the constraint that retrieved incidents are evidence rather than commands.</w:t>
      </w:r>
    </w:p>
    <w:p>
      <w:pPr>
        <w:spacing w:after="120" w:line="259"/>
        <w:jc w:val="both"/>
      </w:pPr>
      <w:r>
        <w:rPr>
          <w:rFonts w:ascii="Times New Roman" w:cs="Times New Roman" w:eastAsia="Times New Roman" w:hAnsi="Times New Roman"/>
          <w:sz w:val="20"/>
          <w:szCs w:val="20"/>
        </w:rPr>
        <w:t xml:space="preserve">On 48 held-out incidents the framework was correct on 4 of 4 cross-service faults where a single-agent model given byte-identical evidence was correct on 0 of 4, naming the symptom service every time (p = 0.0286). The arms were indistinguishable on same-service faults, so the contribution is confined to, and defined by, cross-service attribution.</w:t>
      </w:r>
    </w:p>
    <w:p>
      <w:pPr>
        <w:spacing w:after="120" w:line="259"/>
        <w:jc w:val="both"/>
      </w:pPr>
      <w:r>
        <w:rPr>
          <w:rFonts w:ascii="Times New Roman" w:cs="Times New Roman" w:eastAsia="Times New Roman" w:hAnsi="Times New Roman"/>
          <w:sz w:val="20"/>
          <w:szCs w:val="20"/>
        </w:rPr>
        <w:t xml:space="preserve">Two ablations establish the mechanism. Retrieval contributes zero diagnostic accuracy to the pipeline, and permitting it to override the deterministic conclusion reproduces the baseline exactly. The advantage is therefore attributable to the architectural constraint, not to the retrieval component, and this is a controlled result rather than an interpretation.</w:t>
      </w:r>
    </w:p>
    <w:p>
      <w:pPr>
        <w:spacing w:after="120" w:line="259"/>
        <w:jc w:val="both"/>
      </w:pPr>
      <w:r>
        <w:rPr>
          <w:rFonts w:ascii="Times New Roman" w:cs="Times New Roman" w:eastAsia="Times New Roman" w:hAnsi="Times New Roman"/>
          <w:sz w:val="20"/>
          <w:szCs w:val="20"/>
        </w:rPr>
        <w:t xml:space="preserve">We further report that detection, not diagnosis, bounded the system at 20.8% coverage; that a negative control reveals a 27% false-positive rate on post-recovery telemetry; and that the conventional hallucination metric measures the wrong thing in operational settings.</w:t>
      </w:r>
    </w:p>
    <w:p>
      <w:pPr>
        <w:pStyle w:val="Heading2"/>
        <w:spacing w:after="120" w:before="240"/>
        <w:jc w:val="left"/>
      </w:pPr>
      <w:r>
        <w:rPr>
          <w:rFonts w:ascii="Times New Roman" w:cs="Times New Roman" w:eastAsia="Times New Roman" w:hAnsi="Times New Roman"/>
          <w:b w:val="false"/>
          <w:bCs w:val="false"/>
          <w:i/>
          <w:iCs/>
          <w:sz w:val="21"/>
          <w:szCs w:val="21"/>
        </w:rPr>
        <w:t xml:space="preserve">B. Future work</w:t>
      </w:r>
    </w:p>
    <w:p>
      <w:pPr>
        <w:pStyle w:val="ListParagraph"/>
        <w:numPr>
          <w:ilvl w:val="0"/>
          <w:numId w:val="2"/>
        </w:numPr>
        <w:spacing w:after="80"/>
        <w:jc w:val="both"/>
      </w:pPr>
      <w:r>
        <w:rPr>
          <w:rFonts w:ascii="Times New Roman" w:cs="Times New Roman" w:eastAsia="Times New Roman" w:hAnsi="Times New Roman"/>
          <w:b/>
          <w:bCs/>
          <w:sz w:val="20"/>
          <w:szCs w:val="20"/>
        </w:rPr>
        <w:t xml:space="preserve">Replace the detector.</w:t>
      </w:r>
      <w:r>
        <w:rPr>
          <w:rFonts w:ascii="Times New Roman" w:cs="Times New Roman" w:eastAsia="Times New Roman" w:hAnsi="Times New Roman"/>
          <w:sz w:val="20"/>
          <w:szCs w:val="20"/>
        </w:rPr>
        <w:t xml:space="preserve"> Change-point detection in the manner of BARO [2] directly targets the binding constraint and the saturation behaviour documented in Section VII-A.</w:t>
      </w:r>
    </w:p>
    <w:p>
      <w:pPr>
        <w:pStyle w:val="ListParagraph"/>
        <w:numPr>
          <w:ilvl w:val="0"/>
          <w:numId w:val="2"/>
        </w:numPr>
        <w:spacing w:after="80"/>
        <w:jc w:val="both"/>
      </w:pPr>
      <w:r>
        <w:rPr>
          <w:rFonts w:ascii="Times New Roman" w:cs="Times New Roman" w:eastAsia="Times New Roman" w:hAnsi="Times New Roman"/>
          <w:b/>
          <w:bCs/>
          <w:sz w:val="20"/>
          <w:szCs w:val="20"/>
        </w:rPr>
        <w:t xml:space="preserve">Fix the post-recovery false-alarm rate</w:t>
      </w:r>
      <w:r>
        <w:rPr>
          <w:rFonts w:ascii="Times New Roman" w:cs="Times New Roman" w:eastAsia="Times New Roman" w:hAnsi="Times New Roman"/>
          <w:sz w:val="20"/>
          <w:szCs w:val="20"/>
        </w:rPr>
        <w:t xml:space="preserve">, through a stabilisation window after a verified recovery or a detector trained explicitly on recovery-phase telemetry.</w:t>
      </w:r>
    </w:p>
    <w:p>
      <w:pPr>
        <w:pStyle w:val="ListParagraph"/>
        <w:numPr>
          <w:ilvl w:val="0"/>
          <w:numId w:val="2"/>
        </w:numPr>
        <w:spacing w:after="80"/>
        <w:jc w:val="both"/>
      </w:pPr>
      <w:r>
        <w:rPr>
          <w:rFonts w:ascii="Times New Roman" w:cs="Times New Roman" w:eastAsia="Times New Roman" w:hAnsi="Times New Roman"/>
          <w:b/>
          <w:bCs/>
          <w:sz w:val="20"/>
          <w:szCs w:val="20"/>
        </w:rPr>
        <w:t xml:space="preserve">Derive the dependency relation rather than declare it</w:t>
      </w:r>
      <w:r>
        <w:rPr>
          <w:rFonts w:ascii="Times New Roman" w:cs="Times New Roman" w:eastAsia="Times New Roman" w:hAnsi="Times New Roman"/>
          <w:sz w:val="20"/>
          <w:szCs w:val="20"/>
        </w:rPr>
        <w:t xml:space="preserve">, using distributed tracing, removing the concession in Section VII-E and generalising beyond four services.</w:t>
      </w:r>
    </w:p>
    <w:p>
      <w:pPr>
        <w:pStyle w:val="ListParagraph"/>
        <w:numPr>
          <w:ilvl w:val="0"/>
          <w:numId w:val="2"/>
        </w:numPr>
        <w:spacing w:after="80"/>
        <w:jc w:val="both"/>
      </w:pPr>
      <w:r>
        <w:rPr>
          <w:rFonts w:ascii="Times New Roman" w:cs="Times New Roman" w:eastAsia="Times New Roman" w:hAnsi="Times New Roman"/>
          <w:b/>
          <w:bCs/>
          <w:sz w:val="20"/>
          <w:szCs w:val="20"/>
        </w:rPr>
        <w:t xml:space="preserve">Run the live evaluation.</w:t>
      </w:r>
      <w:r>
        <w:rPr>
          <w:rFonts w:ascii="Times New Roman" w:cs="Times New Roman" w:eastAsia="Times New Roman" w:hAnsi="Times New Roman"/>
          <w:sz w:val="20"/>
          <w:szCs w:val="20"/>
        </w:rPr>
        <w:t xml:space="preserve"> Recovery success rate, false recovery rate and MTTR require an active fault, and become measurable with no code change under a live-mode run on a cluster.</w:t>
      </w:r>
    </w:p>
    <w:p>
      <w:pPr>
        <w:pStyle w:val="ListParagraph"/>
        <w:numPr>
          <w:ilvl w:val="0"/>
          <w:numId w:val="2"/>
        </w:numPr>
        <w:spacing w:after="80"/>
        <w:jc w:val="both"/>
      </w:pPr>
      <w:r>
        <w:rPr>
          <w:rFonts w:ascii="Times New Roman" w:cs="Times New Roman" w:eastAsia="Times New Roman" w:hAnsi="Times New Roman"/>
          <w:b/>
          <w:bCs/>
          <w:sz w:val="20"/>
          <w:szCs w:val="20"/>
        </w:rPr>
        <w:t xml:space="preserve">Validate on real incidents</w:t>
      </w:r>
      <w:r>
        <w:rPr>
          <w:rFonts w:ascii="Times New Roman" w:cs="Times New Roman" w:eastAsia="Times New Roman" w:hAnsi="Times New Roman"/>
          <w:sz w:val="20"/>
          <w:szCs w:val="20"/>
        </w:rPr>
        <w:t xml:space="preserve">, to quantify the benchmark-to-production gap [3] for this design.</w:t>
      </w:r>
    </w:p>
    <w:p>
      <w:pPr>
        <w:pStyle w:val="ListParagraph"/>
        <w:numPr>
          <w:ilvl w:val="0"/>
          <w:numId w:val="2"/>
        </w:numPr>
        <w:spacing w:after="80"/>
        <w:jc w:val="both"/>
      </w:pPr>
      <w:r>
        <w:rPr>
          <w:rFonts w:ascii="Times New Roman" w:cs="Times New Roman" w:eastAsia="Times New Roman" w:hAnsi="Times New Roman"/>
          <w:b/>
          <w:bCs/>
          <w:sz w:val="20"/>
          <w:szCs w:val="20"/>
        </w:rPr>
        <w:t xml:space="preserve">Study operator behaviour at the approval gate</w:t>
      </w:r>
      <w:r>
        <w:rPr>
          <w:rFonts w:ascii="Times New Roman" w:cs="Times New Roman" w:eastAsia="Times New Roman" w:hAnsi="Times New Roman"/>
          <w:sz w:val="20"/>
          <w:szCs w:val="20"/>
        </w:rPr>
        <w:t xml:space="preserve">, including whether approval fatigue erodes the governance property this architecture provides.</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DATA AND CODE AVAILABILITY</w:t>
      </w:r>
    </w:p>
    <w:p>
      <w:pPr>
        <w:spacing w:after="120" w:line="259"/>
        <w:jc w:val="both"/>
      </w:pPr>
      <w:r>
        <w:rPr>
          <w:rFonts w:ascii="Times New Roman" w:cs="Times New Roman" w:eastAsia="Times New Roman" w:hAnsi="Times New Roman"/>
          <w:b/>
          <w:bCs/>
          <w:sz w:val="20"/>
          <w:szCs w:val="20"/>
        </w:rPr>
        <w:t xml:space="preserve">[AUTHOR: insert the repository URL and, if the venue permits, an archived DOI.]</w:t>
      </w:r>
      <w:r>
        <w:rPr>
          <w:rFonts w:ascii="Times New Roman" w:cs="Times New Roman" w:eastAsia="Times New Roman" w:hAnsi="Times New Roman"/>
          <w:sz w:val="20"/>
          <w:szCs w:val="20"/>
        </w:rPr>
        <w:t xml:space="preserve"> The implementation, the incident corpus with its Memory and Evaluation partitions, the evaluation harness, both ablation configurations, per-incident results, computed metrics, the raw run records of both independent runs, and the figures reproduced here are available in the project repository. The full evaluation is reproduced with a single command, and metrics may be recomputed from a saved run without re-executing the pipeline.</w:t>
      </w:r>
    </w:p>
    <w:p>
      <w:pPr>
        <w:pBdr>
          <w:bottom w:val="single" w:color="AAAAAA" w:sz="6" w:space="1"/>
        </w:pBdr>
        <w:spacing w:after="120" w:before="120"/>
      </w:pPr>
    </w:p>
    <w:p>
      <w:pPr>
        <w:pStyle w:val="Heading1"/>
        <w:spacing w:after="120" w:before="240"/>
        <w:jc w:val="center"/>
      </w:pPr>
      <w:r>
        <w:rPr>
          <w:rFonts w:ascii="Times New Roman" w:cs="Times New Roman" w:eastAsia="Times New Roman" w:hAnsi="Times New Roman"/>
          <w:b/>
          <w:bCs/>
          <w:i w:val="false"/>
          <w:iCs w:val="false"/>
          <w:sz w:val="22"/>
          <w:szCs w:val="22"/>
        </w:rPr>
        <w:t xml:space="preserve">REFERENCES</w:t>
      </w:r>
    </w:p>
    <w:p>
      <w:pPr>
        <w:spacing w:after="120" w:line="259"/>
        <w:jc w:val="both"/>
      </w:pPr>
      <w:r>
        <w:rPr>
          <w:rFonts w:ascii="Times New Roman" w:cs="Times New Roman" w:eastAsia="Times New Roman" w:hAnsi="Times New Roman"/>
          <w:sz w:val="20"/>
          <w:szCs w:val="20"/>
        </w:rPr>
        <w:t xml:space="preserve">[1] J. Soldani and A. Brogi, "Anomaly detection and failure root cause analysis in (micro) service-based cloud applications: A survey," </w:t>
      </w:r>
      <w:r>
        <w:rPr>
          <w:rFonts w:ascii="Times New Roman" w:cs="Times New Roman" w:eastAsia="Times New Roman" w:hAnsi="Times New Roman"/>
          <w:i/>
          <w:iCs/>
          <w:sz w:val="20"/>
          <w:szCs w:val="20"/>
        </w:rPr>
        <w:t xml:space="preserve">ACM Computing Surveys</w:t>
      </w:r>
      <w:r>
        <w:rPr>
          <w:rFonts w:ascii="Times New Roman" w:cs="Times New Roman" w:eastAsia="Times New Roman" w:hAnsi="Times New Roman"/>
          <w:sz w:val="20"/>
          <w:szCs w:val="20"/>
        </w:rPr>
        <w:t xml:space="preserve">, vol. 55, no. 3, art. 59, 2022.</w:t>
      </w:r>
    </w:p>
    <w:p>
      <w:pPr>
        <w:spacing w:after="120" w:line="259"/>
        <w:jc w:val="both"/>
      </w:pPr>
      <w:r>
        <w:rPr>
          <w:rFonts w:ascii="Times New Roman" w:cs="Times New Roman" w:eastAsia="Times New Roman" w:hAnsi="Times New Roman"/>
          <w:sz w:val="20"/>
          <w:szCs w:val="20"/>
        </w:rPr>
        <w:t xml:space="preserve">[2] L. Pham, H. Ha, and H. Zhang, "BARO: Robust root cause analysis for microservices via multivariate Bayesian online change point detection," 2024, doi: 10.1145/3660805.</w:t>
      </w:r>
    </w:p>
    <w:p>
      <w:pPr>
        <w:spacing w:after="120" w:line="259"/>
        <w:jc w:val="both"/>
      </w:pPr>
      <w:r>
        <w:rPr>
          <w:rFonts w:ascii="Times New Roman" w:cs="Times New Roman" w:eastAsia="Times New Roman" w:hAnsi="Times New Roman"/>
          <w:sz w:val="20"/>
          <w:szCs w:val="20"/>
        </w:rPr>
        <w:t xml:space="preserve">[3] A. Naakka, Y. Wang, and M. V. Mäntylä, "LATS-RCA: Language agent tree search for root cause analysis in microservices," arXiv:2605.03505, 2026.</w:t>
      </w:r>
    </w:p>
    <w:p>
      <w:pPr>
        <w:spacing w:after="120" w:line="259"/>
        <w:jc w:val="both"/>
      </w:pPr>
      <w:r>
        <w:rPr>
          <w:rFonts w:ascii="Times New Roman" w:cs="Times New Roman" w:eastAsia="Times New Roman" w:hAnsi="Times New Roman"/>
          <w:sz w:val="20"/>
          <w:szCs w:val="20"/>
        </w:rPr>
        <w:t xml:space="preserve">[4] A. Góes de Castro, K. Vandikas, S. Ferlin, M. Chiesa, and C. Esteve Rothenberg, "OperAID: Benchmarking LLM agents for autonomous Kubernetes fault remediation," in </w:t>
      </w:r>
      <w:r>
        <w:rPr>
          <w:rFonts w:ascii="Times New Roman" w:cs="Times New Roman" w:eastAsia="Times New Roman" w:hAnsi="Times New Roman"/>
          <w:i/>
          <w:iCs/>
          <w:sz w:val="20"/>
          <w:szCs w:val="20"/>
        </w:rPr>
        <w:t xml:space="preserve">Proc. IEEE NetSoft</w:t>
      </w:r>
      <w:r>
        <w:rPr>
          <w:rFonts w:ascii="Times New Roman" w:cs="Times New Roman" w:eastAsia="Times New Roman" w:hAnsi="Times New Roman"/>
          <w:sz w:val="20"/>
          <w:szCs w:val="20"/>
        </w:rPr>
        <w:t xml:space="preserve">, 2026, doi: 10.1109/NETSOFT70012.2026.11603505.</w:t>
      </w:r>
    </w:p>
    <w:p>
      <w:pPr>
        <w:spacing w:after="120" w:line="259"/>
        <w:jc w:val="both"/>
      </w:pPr>
      <w:r>
        <w:rPr>
          <w:rFonts w:ascii="Times New Roman" w:cs="Times New Roman" w:eastAsia="Times New Roman" w:hAnsi="Times New Roman"/>
          <w:sz w:val="20"/>
          <w:szCs w:val="20"/>
        </w:rPr>
        <w:t xml:space="preserve">[5] J. Kou, Z. Qing, R. Wei, F. Xue, W. Huang, and H. Zhuang, "CausalRCA: Causal graph-augmented retrieval for root cause analysis in microservice systems," in </w:t>
      </w:r>
      <w:r>
        <w:rPr>
          <w:rFonts w:ascii="Times New Roman" w:cs="Times New Roman" w:eastAsia="Times New Roman" w:hAnsi="Times New Roman"/>
          <w:i/>
          <w:iCs/>
          <w:sz w:val="20"/>
          <w:szCs w:val="20"/>
        </w:rPr>
        <w:t xml:space="preserve">Proc. IEEE EIBDCT</w:t>
      </w:r>
      <w:r>
        <w:rPr>
          <w:rFonts w:ascii="Times New Roman" w:cs="Times New Roman" w:eastAsia="Times New Roman" w:hAnsi="Times New Roman"/>
          <w:sz w:val="20"/>
          <w:szCs w:val="20"/>
        </w:rPr>
        <w:t xml:space="preserve">, 2026, doi: 10.1109/EIBDCT69742.2026.11566729.</w:t>
      </w:r>
    </w:p>
    <w:p>
      <w:pPr>
        <w:spacing w:after="120" w:line="259"/>
        <w:jc w:val="both"/>
      </w:pPr>
      <w:r>
        <w:rPr>
          <w:rFonts w:ascii="Times New Roman" w:cs="Times New Roman" w:eastAsia="Times New Roman" w:hAnsi="Times New Roman"/>
          <w:sz w:val="20"/>
          <w:szCs w:val="20"/>
        </w:rPr>
        <w:t xml:space="preserve">[6] C. Qiu, "Hierarchical expert multi-agent framework for causal root cause localization in cloud-native microservices," in </w:t>
      </w:r>
      <w:r>
        <w:rPr>
          <w:rFonts w:ascii="Times New Roman" w:cs="Times New Roman" w:eastAsia="Times New Roman" w:hAnsi="Times New Roman"/>
          <w:i/>
          <w:iCs/>
          <w:sz w:val="20"/>
          <w:szCs w:val="20"/>
        </w:rPr>
        <w:t xml:space="preserve">Proc. IEEE EIECT</w:t>
      </w:r>
      <w:r>
        <w:rPr>
          <w:rFonts w:ascii="Times New Roman" w:cs="Times New Roman" w:eastAsia="Times New Roman" w:hAnsi="Times New Roman"/>
          <w:sz w:val="20"/>
          <w:szCs w:val="20"/>
        </w:rPr>
        <w:t xml:space="preserve">, 2025, doi: 10.1109/EIECT68017.2025.11331781.</w:t>
      </w:r>
    </w:p>
    <w:p>
      <w:pPr>
        <w:spacing w:after="120" w:line="259"/>
        <w:jc w:val="both"/>
      </w:pPr>
      <w:r>
        <w:rPr>
          <w:rFonts w:ascii="Times New Roman" w:cs="Times New Roman" w:eastAsia="Times New Roman" w:hAnsi="Times New Roman"/>
          <w:sz w:val="20"/>
          <w:szCs w:val="20"/>
        </w:rPr>
        <w:t xml:space="preserve">[7] W. Zhang, Z. Yang, F. Peng, L. Zhang, Y. Chen, and R. Chen, "GALR: Graph-based root cause localization and LLM-assisted recovery for microservice systems," </w:t>
      </w:r>
      <w:r>
        <w:rPr>
          <w:rFonts w:ascii="Times New Roman" w:cs="Times New Roman" w:eastAsia="Times New Roman" w:hAnsi="Times New Roman"/>
          <w:i/>
          <w:iCs/>
          <w:sz w:val="20"/>
          <w:szCs w:val="20"/>
        </w:rPr>
        <w:t xml:space="preserve">Electronics</w:t>
      </w:r>
      <w:r>
        <w:rPr>
          <w:rFonts w:ascii="Times New Roman" w:cs="Times New Roman" w:eastAsia="Times New Roman" w:hAnsi="Times New Roman"/>
          <w:sz w:val="20"/>
          <w:szCs w:val="20"/>
        </w:rPr>
        <w:t xml:space="preserve">, vol. 15, no. 243, 2026.</w:t>
      </w:r>
    </w:p>
    <w:p>
      <w:pPr>
        <w:spacing w:after="120" w:line="259"/>
        <w:jc w:val="both"/>
      </w:pPr>
      <w:r>
        <w:rPr>
          <w:rFonts w:ascii="Times New Roman" w:cs="Times New Roman" w:eastAsia="Times New Roman" w:hAnsi="Times New Roman"/>
          <w:sz w:val="20"/>
          <w:szCs w:val="20"/>
        </w:rPr>
        <w:t xml:space="preserve">[8] Á. Kiss and K. Nehéz, "A graph transformer-based framework for multi-modal failure diagnosis in microservice systems," </w:t>
      </w:r>
      <w:r>
        <w:rPr>
          <w:rFonts w:ascii="Times New Roman" w:cs="Times New Roman" w:eastAsia="Times New Roman" w:hAnsi="Times New Roman"/>
          <w:i/>
          <w:iCs/>
          <w:sz w:val="20"/>
          <w:szCs w:val="20"/>
        </w:rPr>
        <w:t xml:space="preserve">Int. J. Cloud Applications and Computing</w:t>
      </w:r>
      <w:r>
        <w:rPr>
          <w:rFonts w:ascii="Times New Roman" w:cs="Times New Roman" w:eastAsia="Times New Roman" w:hAnsi="Times New Roman"/>
          <w:sz w:val="20"/>
          <w:szCs w:val="20"/>
        </w:rPr>
        <w:t xml:space="preserve">, vol. 16, no. 1, 2026.</w:t>
      </w:r>
    </w:p>
    <w:p>
      <w:pPr>
        <w:spacing w:after="120" w:line="259"/>
        <w:jc w:val="both"/>
      </w:pPr>
      <w:r>
        <w:rPr>
          <w:rFonts w:ascii="Times New Roman" w:cs="Times New Roman" w:eastAsia="Times New Roman" w:hAnsi="Times New Roman"/>
          <w:sz w:val="20"/>
          <w:szCs w:val="20"/>
        </w:rPr>
        <w:t xml:space="preserve">[9] Z. G. Wang, "AgentTrace: Causal graph tracing for root cause analysis in deployed multi-agent systems," in </w:t>
      </w:r>
      <w:r>
        <w:rPr>
          <w:rFonts w:ascii="Times New Roman" w:cs="Times New Roman" w:eastAsia="Times New Roman" w:hAnsi="Times New Roman"/>
          <w:i/>
          <w:iCs/>
          <w:sz w:val="20"/>
          <w:szCs w:val="20"/>
        </w:rPr>
        <w:t xml:space="preserve">ICLR Workshop on Agents in the Wild</w:t>
      </w:r>
      <w:r>
        <w:rPr>
          <w:rFonts w:ascii="Times New Roman" w:cs="Times New Roman" w:eastAsia="Times New Roman" w:hAnsi="Times New Roman"/>
          <w:sz w:val="20"/>
          <w:szCs w:val="20"/>
        </w:rPr>
        <w:t xml:space="preserve">, 2026.</w:t>
      </w:r>
    </w:p>
    <w:p>
      <w:pPr>
        <w:spacing w:after="120" w:line="259"/>
        <w:jc w:val="both"/>
      </w:pPr>
      <w:r>
        <w:rPr>
          <w:rFonts w:ascii="Times New Roman" w:cs="Times New Roman" w:eastAsia="Times New Roman" w:hAnsi="Times New Roman"/>
          <w:sz w:val="20"/>
          <w:szCs w:val="20"/>
        </w:rPr>
        <w:t xml:space="preserve">[10] R. G. dos Santos Souza and M. Colaço Júnior, "Cloud microservices: An empirical study of MCP-orchestrated LLM agents for incident triage," in </w:t>
      </w:r>
      <w:r>
        <w:rPr>
          <w:rFonts w:ascii="Times New Roman" w:cs="Times New Roman" w:eastAsia="Times New Roman" w:hAnsi="Times New Roman"/>
          <w:i/>
          <w:iCs/>
          <w:sz w:val="20"/>
          <w:szCs w:val="20"/>
        </w:rPr>
        <w:t xml:space="preserve">Proc. CSBC/SEMISH</w:t>
      </w:r>
      <w:r>
        <w:rPr>
          <w:rFonts w:ascii="Times New Roman" w:cs="Times New Roman" w:eastAsia="Times New Roman" w:hAnsi="Times New Roman"/>
          <w:sz w:val="20"/>
          <w:szCs w:val="20"/>
        </w:rPr>
        <w:t xml:space="preserve">, 2026.</w:t>
      </w:r>
    </w:p>
    <w:p>
      <w:pPr>
        <w:spacing w:after="120" w:line="259"/>
        <w:jc w:val="both"/>
      </w:pPr>
      <w:r>
        <w:rPr>
          <w:rFonts w:ascii="Times New Roman" w:cs="Times New Roman" w:eastAsia="Times New Roman" w:hAnsi="Times New Roman"/>
          <w:sz w:val="20"/>
          <w:szCs w:val="20"/>
        </w:rPr>
        <w:t xml:space="preserve">[11] S. G. Aribe Jr. and R. J. G. Oracion, "When web apps heal themselves: A MAPE-K based approach to fault tolerance and adaptive recovery," </w:t>
      </w:r>
      <w:r>
        <w:rPr>
          <w:rFonts w:ascii="Times New Roman" w:cs="Times New Roman" w:eastAsia="Times New Roman" w:hAnsi="Times New Roman"/>
          <w:i/>
          <w:iCs/>
          <w:sz w:val="20"/>
          <w:szCs w:val="20"/>
        </w:rPr>
        <w:t xml:space="preserve">Int. J. Informatics and Communication Technology</w:t>
      </w:r>
      <w:r>
        <w:rPr>
          <w:rFonts w:ascii="Times New Roman" w:cs="Times New Roman" w:eastAsia="Times New Roman" w:hAnsi="Times New Roman"/>
          <w:sz w:val="20"/>
          <w:szCs w:val="20"/>
        </w:rPr>
        <w:t xml:space="preserve">, vol. 15, no. 2, pp. 729–740, 2026, doi: 10.11591/ijict.v15i2.pp729-740.</w:t>
      </w:r>
    </w:p>
    <w:p>
      <w:pPr>
        <w:spacing w:after="120" w:line="259"/>
        <w:jc w:val="both"/>
      </w:pPr>
      <w:r>
        <w:rPr>
          <w:rFonts w:ascii="Times New Roman" w:cs="Times New Roman" w:eastAsia="Times New Roman" w:hAnsi="Times New Roman"/>
          <w:sz w:val="20"/>
          <w:szCs w:val="20"/>
        </w:rPr>
        <w:t xml:space="preserve">[12] Z. Yazdanparast, "A survey on self-healing software system," arXiv:2403.00455, 2024.</w:t>
      </w:r>
    </w:p>
    <w:p>
      <w:pPr>
        <w:spacing w:after="120" w:line="259"/>
        <w:jc w:val="both"/>
      </w:pPr>
      <w:r>
        <w:rPr>
          <w:rFonts w:ascii="Times New Roman" w:cs="Times New Roman" w:eastAsia="Times New Roman" w:hAnsi="Times New Roman"/>
          <w:sz w:val="20"/>
          <w:szCs w:val="20"/>
        </w:rPr>
        <w:t xml:space="preserve">[13] P. Singh, "Self-healing architecture: Using ML to enhance system resilience in FinTech platforms," </w:t>
      </w:r>
      <w:r>
        <w:rPr>
          <w:rFonts w:ascii="Times New Roman" w:cs="Times New Roman" w:eastAsia="Times New Roman" w:hAnsi="Times New Roman"/>
          <w:i/>
          <w:iCs/>
          <w:sz w:val="20"/>
          <w:szCs w:val="20"/>
        </w:rPr>
        <w:t xml:space="preserve">J. Artificial Intelligence, Machine Learning and Data Science</w:t>
      </w:r>
      <w:r>
        <w:rPr>
          <w:rFonts w:ascii="Times New Roman" w:cs="Times New Roman" w:eastAsia="Times New Roman" w:hAnsi="Times New Roman"/>
          <w:sz w:val="20"/>
          <w:szCs w:val="20"/>
        </w:rPr>
        <w:t xml:space="preserve">, vol. 2, no. 1, 2024, doi: 10.51219/JAIMLD/Prashant-singh/573.</w:t>
      </w:r>
    </w:p>
    <w:p>
      <w:pPr>
        <w:spacing w:after="120" w:line="259"/>
        <w:jc w:val="both"/>
      </w:pPr>
      <w:r>
        <w:rPr>
          <w:rFonts w:ascii="Times New Roman" w:cs="Times New Roman" w:eastAsia="Times New Roman" w:hAnsi="Times New Roman"/>
          <w:sz w:val="20"/>
          <w:szCs w:val="20"/>
        </w:rPr>
        <w:t xml:space="preserve">[14] K. R. Gaddam, "Towards autonomous financial platforms: Leveraging AI agents and microservices for self-healing infrastructure," </w:t>
      </w:r>
      <w:r>
        <w:rPr>
          <w:rFonts w:ascii="Times New Roman" w:cs="Times New Roman" w:eastAsia="Times New Roman" w:hAnsi="Times New Roman"/>
          <w:i/>
          <w:iCs/>
          <w:sz w:val="20"/>
          <w:szCs w:val="20"/>
        </w:rPr>
        <w:t xml:space="preserve">World J. Advanced Research and Reviews</w:t>
      </w:r>
      <w:r>
        <w:rPr>
          <w:rFonts w:ascii="Times New Roman" w:cs="Times New Roman" w:eastAsia="Times New Roman" w:hAnsi="Times New Roman"/>
          <w:sz w:val="20"/>
          <w:szCs w:val="20"/>
        </w:rPr>
        <w:t xml:space="preserve">, vol. 26, no. 2, 2025, doi: 10.30574/wjarr.2025.26.2.1912.</w:t>
      </w:r>
    </w:p>
    <w:p>
      <w:pPr>
        <w:spacing w:after="120" w:line="259"/>
        <w:jc w:val="both"/>
      </w:pPr>
      <w:r>
        <w:rPr>
          <w:rFonts w:ascii="Times New Roman" w:cs="Times New Roman" w:eastAsia="Times New Roman" w:hAnsi="Times New Roman"/>
          <w:sz w:val="20"/>
          <w:szCs w:val="20"/>
        </w:rPr>
        <w:t xml:space="preserve">[15] T. Singh, "Self-healing infrastructure: Predictive automation for high-availability banking systems," </w:t>
      </w:r>
      <w:r>
        <w:rPr>
          <w:rFonts w:ascii="Times New Roman" w:cs="Times New Roman" w:eastAsia="Times New Roman" w:hAnsi="Times New Roman"/>
          <w:i/>
          <w:iCs/>
          <w:sz w:val="20"/>
          <w:szCs w:val="20"/>
        </w:rPr>
        <w:t xml:space="preserve">Int. J. AI, Big Data, Computational and Management Studies</w:t>
      </w:r>
      <w:r>
        <w:rPr>
          <w:rFonts w:ascii="Times New Roman" w:cs="Times New Roman" w:eastAsia="Times New Roman" w:hAnsi="Times New Roman"/>
          <w:sz w:val="20"/>
          <w:szCs w:val="20"/>
        </w:rPr>
        <w:t xml:space="preserve">, vol. 7, no. 1, 2026, doi: 10.63282/3050-9416.ijaibdcms-v7i1p120.</w:t>
      </w:r>
    </w:p>
    <w:p>
      <w:pPr>
        <w:spacing w:after="120" w:line="259"/>
        <w:jc w:val="both"/>
      </w:pPr>
      <w:r>
        <w:rPr>
          <w:rFonts w:ascii="Times New Roman" w:cs="Times New Roman" w:eastAsia="Times New Roman" w:hAnsi="Times New Roman"/>
          <w:sz w:val="20"/>
          <w:szCs w:val="20"/>
        </w:rPr>
        <w:t xml:space="preserve">[16] M. Nagaraja, D. R. Palavali, A. Jain, and R. Y. Hosamani, "Self-healing security orchestration for financial fraud systems: Autonomous incident response and infrastructure stabilization," in </w:t>
      </w:r>
      <w:r>
        <w:rPr>
          <w:rFonts w:ascii="Times New Roman" w:cs="Times New Roman" w:eastAsia="Times New Roman" w:hAnsi="Times New Roman"/>
          <w:i/>
          <w:iCs/>
          <w:sz w:val="20"/>
          <w:szCs w:val="20"/>
        </w:rPr>
        <w:t xml:space="preserve">Proc. IEEE SoutheastCon</w:t>
      </w:r>
      <w:r>
        <w:rPr>
          <w:rFonts w:ascii="Times New Roman" w:cs="Times New Roman" w:eastAsia="Times New Roman" w:hAnsi="Times New Roman"/>
          <w:sz w:val="20"/>
          <w:szCs w:val="20"/>
        </w:rPr>
        <w:t xml:space="preserve">, 2026, doi: 10.1109/SoutheastCon63549.2026.11476294.</w:t>
      </w:r>
    </w:p>
    <w:p>
      <w:pPr>
        <w:spacing w:after="120" w:line="259"/>
        <w:jc w:val="both"/>
      </w:pPr>
      <w:r>
        <w:rPr>
          <w:rFonts w:ascii="Times New Roman" w:cs="Times New Roman" w:eastAsia="Times New Roman" w:hAnsi="Times New Roman"/>
          <w:sz w:val="20"/>
          <w:szCs w:val="20"/>
        </w:rPr>
        <w:t xml:space="preserve">[17] F. Fahmi, P.-S. Huang, and F.-J. Wang, "Detecting artifact anomalies in microservice-based financial applications," in </w:t>
      </w:r>
      <w:r>
        <w:rPr>
          <w:rFonts w:ascii="Times New Roman" w:cs="Times New Roman" w:eastAsia="Times New Roman" w:hAnsi="Times New Roman"/>
          <w:i/>
          <w:iCs/>
          <w:sz w:val="20"/>
          <w:szCs w:val="20"/>
        </w:rPr>
        <w:t xml:space="preserve">Proc. IEEE Int. Conf. Services Computing</w:t>
      </w:r>
      <w:r>
        <w:rPr>
          <w:rFonts w:ascii="Times New Roman" w:cs="Times New Roman" w:eastAsia="Times New Roman" w:hAnsi="Times New Roman"/>
          <w:sz w:val="20"/>
          <w:szCs w:val="20"/>
        </w:rPr>
        <w:t xml:space="preserve">, 2020, doi: 10.1109/SCC49832.2020.00061.</w:t>
      </w:r>
    </w:p>
    <w:p>
      <w:pPr>
        <w:spacing w:after="120" w:line="259"/>
        <w:jc w:val="both"/>
      </w:pPr>
      <w:r>
        <w:rPr>
          <w:rFonts w:ascii="Times New Roman" w:cs="Times New Roman" w:eastAsia="Times New Roman" w:hAnsi="Times New Roman"/>
          <w:sz w:val="20"/>
          <w:szCs w:val="20"/>
        </w:rPr>
        <w:t xml:space="preserve">[18] R. A. Deshpande, "Application of Spring Boot microservice architecture for scaling banking applications," </w:t>
      </w:r>
      <w:r>
        <w:rPr>
          <w:rFonts w:ascii="Times New Roman" w:cs="Times New Roman" w:eastAsia="Times New Roman" w:hAnsi="Times New Roman"/>
          <w:i/>
          <w:iCs/>
          <w:sz w:val="20"/>
          <w:szCs w:val="20"/>
        </w:rPr>
        <w:t xml:space="preserve">The American J. Engineering and Technology</w:t>
      </w:r>
      <w:r>
        <w:rPr>
          <w:rFonts w:ascii="Times New Roman" w:cs="Times New Roman" w:eastAsia="Times New Roman" w:hAnsi="Times New Roman"/>
          <w:sz w:val="20"/>
          <w:szCs w:val="20"/>
        </w:rPr>
        <w:t xml:space="preserve">, vol. 7, no. 9, 2025, doi: 10.37547/tajet/volume07issue09-09.</w:t>
      </w:r>
    </w:p>
    <w:p>
      <w:pPr>
        <w:spacing w:after="120" w:line="259"/>
        <w:jc w:val="both"/>
      </w:pPr>
      <w:r>
        <w:rPr>
          <w:rFonts w:ascii="Times New Roman" w:cs="Times New Roman" w:eastAsia="Times New Roman" w:hAnsi="Times New Roman"/>
          <w:sz w:val="20"/>
          <w:szCs w:val="20"/>
        </w:rPr>
        <w:t xml:space="preserve">[19] R. Konda, "Machine learning-based self-healing systems: Automated failure detection and recovery in microservices," </w:t>
      </w:r>
      <w:r>
        <w:rPr>
          <w:rFonts w:ascii="Times New Roman" w:cs="Times New Roman" w:eastAsia="Times New Roman" w:hAnsi="Times New Roman"/>
          <w:i/>
          <w:iCs/>
          <w:sz w:val="20"/>
          <w:szCs w:val="20"/>
        </w:rPr>
        <w:t xml:space="preserve">Int. J. for Multidisciplinary Research</w:t>
      </w:r>
      <w:r>
        <w:rPr>
          <w:rFonts w:ascii="Times New Roman" w:cs="Times New Roman" w:eastAsia="Times New Roman" w:hAnsi="Times New Roman"/>
          <w:sz w:val="20"/>
          <w:szCs w:val="20"/>
        </w:rPr>
        <w:t xml:space="preserve">, vol. 3, no. 5, 2021, doi: 10.36948/ijfmr.2021.v03i05.43946.</w:t>
      </w:r>
    </w:p>
    <w:p>
      <w:pPr>
        <w:spacing w:after="120" w:line="259"/>
        <w:jc w:val="both"/>
      </w:pPr>
      <w:r>
        <w:rPr>
          <w:rFonts w:ascii="Times New Roman" w:cs="Times New Roman" w:eastAsia="Times New Roman" w:hAnsi="Times New Roman"/>
          <w:sz w:val="20"/>
          <w:szCs w:val="20"/>
        </w:rPr>
        <w:t xml:space="preserve">[20] O. Meyer, E. Johnson, and J. Brown, "A unified framework for anomaly detection and root cause analysis in microservice systems," </w:t>
      </w:r>
      <w:r>
        <w:rPr>
          <w:rFonts w:ascii="Times New Roman" w:cs="Times New Roman" w:eastAsia="Times New Roman" w:hAnsi="Times New Roman"/>
          <w:i/>
          <w:iCs/>
          <w:sz w:val="20"/>
          <w:szCs w:val="20"/>
        </w:rPr>
        <w:t xml:space="preserve">Computer Life</w:t>
      </w:r>
      <w:r>
        <w:rPr>
          <w:rFonts w:ascii="Times New Roman" w:cs="Times New Roman" w:eastAsia="Times New Roman" w:hAnsi="Times New Roman"/>
          <w:sz w:val="20"/>
          <w:szCs w:val="20"/>
        </w:rPr>
        <w:t xml:space="preserve">, vol. 13, no. 2, 2025, doi: 10.54097/1gw77589.</w:t>
      </w:r>
    </w:p>
    <w:p>
      <w:pPr>
        <w:spacing w:after="120" w:line="259"/>
        <w:jc w:val="both"/>
      </w:pPr>
      <w:r>
        <w:rPr>
          <w:rFonts w:ascii="Times New Roman" w:cs="Times New Roman" w:eastAsia="Times New Roman" w:hAnsi="Times New Roman"/>
          <w:sz w:val="20"/>
          <w:szCs w:val="20"/>
        </w:rPr>
        <w:t xml:space="preserve">[21] M. Anderson, J. Thompson, R. Williams, E. Carter, D. Martinez, and C. Srinivas, "Resilient architecture design for financial microservices using fault tolerance patterns," </w:t>
      </w:r>
      <w:r>
        <w:rPr>
          <w:rFonts w:ascii="Times New Roman" w:cs="Times New Roman" w:eastAsia="Times New Roman" w:hAnsi="Times New Roman"/>
          <w:i/>
          <w:iCs/>
          <w:sz w:val="20"/>
          <w:szCs w:val="20"/>
        </w:rPr>
        <w:t xml:space="preserve">Int. J. Scientific Research in Science, Engineering and Technology</w:t>
      </w:r>
      <w:r>
        <w:rPr>
          <w:rFonts w:ascii="Times New Roman" w:cs="Times New Roman" w:eastAsia="Times New Roman" w:hAnsi="Times New Roman"/>
          <w:sz w:val="20"/>
          <w:szCs w:val="20"/>
        </w:rPr>
        <w:t xml:space="preserve">, 2020, doi: 10.32628/ijsrset2072905.</w:t>
      </w:r>
    </w:p>
    <w:p>
      <w:pPr>
        <w:spacing w:after="120" w:line="259"/>
        <w:jc w:val="both"/>
      </w:pPr>
      <w:r>
        <w:rPr>
          <w:rFonts w:ascii="Times New Roman" w:cs="Times New Roman" w:eastAsia="Times New Roman" w:hAnsi="Times New Roman"/>
          <w:sz w:val="20"/>
          <w:szCs w:val="20"/>
        </w:rPr>
        <w:t xml:space="preserve">[22] S. Mali, S. Gavale, D. Ganage, S. Bhalekar, and S. Jadhav, "Self-healing microservices and AI-based anomaly detection system," </w:t>
      </w:r>
      <w:r>
        <w:rPr>
          <w:rFonts w:ascii="Times New Roman" w:cs="Times New Roman" w:eastAsia="Times New Roman" w:hAnsi="Times New Roman"/>
          <w:i/>
          <w:iCs/>
          <w:sz w:val="20"/>
          <w:szCs w:val="20"/>
        </w:rPr>
        <w:t xml:space="preserve">Int. Research J. Modernization in Engineering Technology and Science</w:t>
      </w:r>
      <w:r>
        <w:rPr>
          <w:rFonts w:ascii="Times New Roman" w:cs="Times New Roman" w:eastAsia="Times New Roman" w:hAnsi="Times New Roman"/>
          <w:sz w:val="20"/>
          <w:szCs w:val="20"/>
        </w:rPr>
        <w:t xml:space="preserve">, vol. 7, no. 11, 2025.</w:t>
      </w:r>
    </w:p>
    <w:p>
      <w:pPr>
        <w:spacing w:after="120" w:line="259"/>
        <w:jc w:val="both"/>
      </w:pPr>
      <w:r>
        <w:rPr>
          <w:rFonts w:ascii="Times New Roman" w:cs="Times New Roman" w:eastAsia="Times New Roman" w:hAnsi="Times New Roman"/>
          <w:sz w:val="20"/>
          <w:szCs w:val="20"/>
        </w:rPr>
        <w:t xml:space="preserve">[23] F. T. Liu, K. M. Ting, and Z.-H. Zhou, "Isolation forest," in </w:t>
      </w:r>
      <w:r>
        <w:rPr>
          <w:rFonts w:ascii="Times New Roman" w:cs="Times New Roman" w:eastAsia="Times New Roman" w:hAnsi="Times New Roman"/>
          <w:i/>
          <w:iCs/>
          <w:sz w:val="20"/>
          <w:szCs w:val="20"/>
        </w:rPr>
        <w:t xml:space="preserve">Proc. IEEE Int. Conf. Data Mining</w:t>
      </w:r>
      <w:r>
        <w:rPr>
          <w:rFonts w:ascii="Times New Roman" w:cs="Times New Roman" w:eastAsia="Times New Roman" w:hAnsi="Times New Roman"/>
          <w:sz w:val="20"/>
          <w:szCs w:val="20"/>
        </w:rPr>
        <w:t xml:space="preserve">, 2008, pp. 413–422.</w:t>
      </w:r>
    </w:p>
    <w:p>
      <w:pPr>
        <w:spacing w:after="120" w:line="259"/>
        <w:jc w:val="both"/>
      </w:pPr>
      <w:r>
        <w:rPr>
          <w:rFonts w:ascii="Times New Roman" w:cs="Times New Roman" w:eastAsia="Times New Roman" w:hAnsi="Times New Roman"/>
          <w:sz w:val="20"/>
          <w:szCs w:val="20"/>
        </w:rPr>
        <w:t xml:space="preserve">[24] S. Yao, J. Zhao, D. Yu, N. Du, I. Shafran, K. Narasimhan, and Y. Cao, "ReAct: Synergizing reasoning and acting in language models," in </w:t>
      </w:r>
      <w:r>
        <w:rPr>
          <w:rFonts w:ascii="Times New Roman" w:cs="Times New Roman" w:eastAsia="Times New Roman" w:hAnsi="Times New Roman"/>
          <w:i/>
          <w:iCs/>
          <w:sz w:val="20"/>
          <w:szCs w:val="20"/>
        </w:rPr>
        <w:t xml:space="preserve">Proc. ICLR</w:t>
      </w:r>
      <w:r>
        <w:rPr>
          <w:rFonts w:ascii="Times New Roman" w:cs="Times New Roman" w:eastAsia="Times New Roman" w:hAnsi="Times New Roman"/>
          <w:sz w:val="20"/>
          <w:szCs w:val="20"/>
        </w:rPr>
        <w:t xml:space="preserve">, 2023.</w:t>
      </w:r>
    </w:p>
    <w:p>
      <w:pPr>
        <w:spacing w:after="120" w:line="259"/>
        <w:jc w:val="both"/>
      </w:pPr>
      <w:r>
        <w:rPr>
          <w:rFonts w:ascii="Times New Roman" w:cs="Times New Roman" w:eastAsia="Times New Roman" w:hAnsi="Times New Roman"/>
          <w:sz w:val="20"/>
          <w:szCs w:val="20"/>
        </w:rPr>
        <w:t xml:space="preserve">[25] P. Lewis et al., "Retrieval-augmented generation for knowledge-intensive NLP tasks," in </w:t>
      </w:r>
      <w:r>
        <w:rPr>
          <w:rFonts w:ascii="Times New Roman" w:cs="Times New Roman" w:eastAsia="Times New Roman" w:hAnsi="Times New Roman"/>
          <w:i/>
          <w:iCs/>
          <w:sz w:val="20"/>
          <w:szCs w:val="20"/>
        </w:rPr>
        <w:t xml:space="preserve">Proc. NeurIPS</w:t>
      </w:r>
      <w:r>
        <w:rPr>
          <w:rFonts w:ascii="Times New Roman" w:cs="Times New Roman" w:eastAsia="Times New Roman" w:hAnsi="Times New Roman"/>
          <w:sz w:val="20"/>
          <w:szCs w:val="20"/>
        </w:rPr>
        <w:t xml:space="preserve">, 2020.</w:t>
      </w:r>
    </w:p>
    <w:p>
      <w:pPr>
        <w:spacing w:after="120" w:line="259"/>
        <w:jc w:val="both"/>
      </w:pPr>
      <w:r>
        <w:rPr>
          <w:rFonts w:ascii="Times New Roman" w:cs="Times New Roman" w:eastAsia="Times New Roman" w:hAnsi="Times New Roman"/>
          <w:sz w:val="20"/>
          <w:szCs w:val="20"/>
        </w:rPr>
        <w:t xml:space="preserve">[26] </w:t>
      </w:r>
      <w:r>
        <w:rPr>
          <w:rFonts w:ascii="Times New Roman" w:cs="Times New Roman" w:eastAsia="Times New Roman" w:hAnsi="Times New Roman"/>
          <w:b/>
          <w:bCs/>
          <w:sz w:val="20"/>
          <w:szCs w:val="20"/>
        </w:rPr>
        <w:t xml:space="preserve">[AUTHOR]</w:t>
      </w:r>
      <w:r>
        <w:rPr>
          <w:rFonts w:ascii="Times New Roman" w:cs="Times New Roman" w:eastAsia="Times New Roman" w:hAnsi="Times New Roman"/>
          <w:sz w:val="20"/>
          <w:szCs w:val="20"/>
        </w:rPr>
        <w:t xml:space="preserve"> Withdrawn preprint, arXiv:2511.15755 — cite as it stands at submission time; see Section II-F.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Not Commands</dc:title>
  <dc:creator>Anushk Agrawal, Bhoomi Airen, Abhijay Krishnan</dc:creator>
  <dc:description>Deterministic-first multi-agent RCA and human-governed remediation</dc:description>
  <cp:lastModifiedBy>Un-named</cp:lastModifiedBy>
  <cp:revision>1</cp:revision>
  <dcterms:created xsi:type="dcterms:W3CDTF">2026-09-09T08:42:45.593Z</dcterms:created>
  <dcterms:modified xsi:type="dcterms:W3CDTF">2026-09-09T08:42:45.601Z</dcterms:modified>
</cp:coreProperties>
</file>

<file path=docProps/custom.xml><?xml version="1.0" encoding="utf-8"?>
<Properties xmlns="http://schemas.openxmlformats.org/officeDocument/2006/custom-properties" xmlns:vt="http://schemas.openxmlformats.org/officeDocument/2006/docPropsVTypes"/>
</file>