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Corp Benefits Policy</w:t>
      </w:r>
    </w:p>
    <w:p>
      <w:r>
        <w:t>This policy applies to all full-time employees of Acme Corp.</w:t>
      </w:r>
    </w:p>
    <w:p>
      <w:pPr>
        <w:pStyle w:val="Heading2"/>
      </w:pPr>
      <w:r>
        <w:t>Time off</w:t>
      </w:r>
    </w:p>
    <w:p>
      <w:r>
        <w:t>Employees receive 20 vacation days per year.</w:t>
      </w:r>
    </w:p>
    <w:p>
      <w:pPr>
        <w:pStyle w:val="ListBullet"/>
      </w:pPr>
      <w:r>
        <w:t>Sick leave is paid for up to 10 days.</w:t>
      </w:r>
    </w:p>
    <w:p>
      <w:pPr>
        <w:pStyle w:val="ListBullet"/>
      </w:pPr>
      <w:r>
        <w:t>A doctor's note is needed after 3 days.</w:t>
      </w:r>
    </w:p>
    <w:p>
      <w:pPr>
        <w:pStyle w:val="Heading3"/>
      </w:pPr>
      <w:r>
        <w:t>Parental leave</w:t>
      </w:r>
    </w:p>
    <w:p>
      <w:r>
        <w:t>Primary caregivers receive 16 weeks of paid leave.</w:t>
      </w:r>
    </w:p>
    <w:p>
      <w:pPr>
        <w:pStyle w:val="Heading2"/>
      </w:pPr>
      <w:r>
        <w:t>Expense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US</w:t>
            </w:r>
          </w:p>
        </w:tc>
        <w:tc>
          <w:tcPr>
            <w:tcW w:type="dxa" w:w="2880"/>
          </w:tcPr>
          <w:p>
            <w:r>
              <w:t>UK</w:t>
            </w:r>
          </w:p>
        </w:tc>
      </w:tr>
      <w:tr>
        <w:tc>
          <w:tcPr>
            <w:tcW w:type="dxa" w:w="2880"/>
          </w:tcPr>
          <w:p>
            <w:r>
              <w:t>Meal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Hotel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</w:tbl>
    <w:p>
      <w:r>
        <w:t>Receipts are required for all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Corp Benefits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