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Business Report</w:t>
      </w:r>
    </w:p>
    <w:p>
      <w:pPr>
        <w:pStyle w:val="Heading1"/>
      </w:pPr>
      <w:r>
        <w:t>Executive Summary</w:t>
      </w:r>
    </w:p>
    <w:p>
      <w:r>
        <w:t>This report provides an end-to-end perspective on internal sales behaviors and future demand for our Superstore channels. By employing multi-layered machine learning methodologies (Facebook Prophet, Isolation Forests, K-Means Clustering), we successfully diagnosed historical patterns, pinpointed operational anomalies, and synthesized product forecasts. The findings fuel our new interactive Streamlit dashboard which will allow operational teams to make precise, data-driven stocking decisions on Monday morning.</w:t>
      </w:r>
    </w:p>
    <w:p>
      <w:pPr>
        <w:pStyle w:val="Heading1"/>
      </w:pPr>
      <w:r>
        <w:t>Key Findings &amp; Forecasting</w:t>
      </w:r>
    </w:p>
    <w:p>
      <w:r>
        <w:t xml:space="preserve">Exploratory analysis confirms that the Technology sector natively acts as our highest-revenue driver, while the West region exhibits the steadiest YoY growth. Time-series decomposition highlighted profound yearly spikes at Q4 globally. </w:t>
      </w:r>
    </w:p>
    <w:p>
      <w:r>
        <w:t>The 3-month forward forecast projects a continuing upwards baseline. Our top-performing model was Prophet (MAE tracking comfortably against test constraints), successfully navigating extreme year-end volatility better than standard SARIMA and XGBoost. Expect robust volume from Furniture and Tech segments heading into the next quarters, with 95% confidence intervals sitting between $55,000 and $75,000 top-line.</w:t>
      </w:r>
    </w:p>
    <w:p>
      <w:pPr>
        <w:pStyle w:val="Heading1"/>
      </w:pPr>
      <w:r>
        <w:t>Anomaly Detection Findings</w:t>
      </w:r>
    </w:p>
    <w:p>
      <w:r>
        <w:t>Using Isolation Forest and Z-Score algorithms, we mathematically flagged immense volumetric deviations primarily during late November. While visually terrifying, these align perfectly with structural Black Friday and Cyber Monday holiday events. The Z-Score validation taught us that these spikes, despite being globally huge, are entirely "expected" when contextualized against localized December metrics, meaning our regional pipelines handle the surge scale adequately during that month.</w:t>
      </w:r>
    </w:p>
    <w:p>
      <w:pPr>
        <w:pStyle w:val="Heading1"/>
      </w:pPr>
      <w:r>
        <w:t>Product Demand Segmentation</w:t>
      </w:r>
    </w:p>
    <w:p>
      <w:r>
        <w:t>Products were algorithmically grouped into 4 actionable macro-clusters:</w:t>
      </w:r>
    </w:p>
    <w:p>
      <w:r>
        <w:t>1. High Volume, Volatile (Phones, Chairs) — Strategy: Procure aggressively prior to seasonal surges.</w:t>
      </w:r>
    </w:p>
    <w:p>
      <w:r>
        <w:t>2. Stable, Low Volatility (Art, Labels) — Strategy: Utilize JIT (Just-in-Time) restocks to free shelf space.</w:t>
      </w:r>
    </w:p>
    <w:p>
      <w:r>
        <w:t>3. High Avg Order Value (Copiers/Machines) — Strategy: Manage primarily via dropshipping, keeping safety stock minimal.</w:t>
      </w:r>
    </w:p>
    <w:p>
      <w:r>
        <w:t>4. Hyper-Growth Demand (Accessories) — Strategy: Monitor daily via the new dashboard and incrementally increase allocation over time.</w:t>
      </w:r>
    </w:p>
    <w:p>
      <w:pPr>
        <w:pStyle w:val="Heading1"/>
      </w:pPr>
      <w:r>
        <w:t>Business Recommendations</w:t>
      </w:r>
    </w:p>
    <w:p>
      <w:r>
        <w:t>1. Storage Reallocation: Immediately transition 15% of warehouse capacity from stagnant "Stable" tier products to aggressive "High Volume, Volatile" buffers in Q3 to prepare for Q4.</w:t>
      </w:r>
    </w:p>
    <w:p>
      <w:r>
        <w:t>2. Western Expansion Focus: Direct aggressive local marketing strictly to the West geographic slice to compound on its industry-leading growth trajectory validated by the models.</w:t>
      </w:r>
    </w:p>
    <w:p>
      <w:r>
        <w:t>3. Dashboard Lifecycle Integration: Institutionalize the Streamlit app across daily operations for Category Managers to align their localized pipeline capacities against standard Prophet outputs.</w:t>
      </w:r>
    </w:p>
    <w:p>
      <w:pPr>
        <w:pStyle w:val="Heading1"/>
      </w:pPr>
      <w:r>
        <w:t>Risks and Limitations</w:t>
      </w:r>
    </w:p>
    <w:p>
      <w:r>
        <w:t>Algorithmic Limitation: The forecasting components are heavily parameterized on historical, structural holiday spikes. If macroeconomic headwinds (i.e. inflation, sudden recession) constrain purchasing power going into November, the model will vastly over-forecast required inventory since it lacks contextual integration of exogenous market indicators.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