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left"/>
      </w:pPr>
      <w:r>
        <w:rPr>
          <w:rFonts w:ascii="Calibri" w:hAnsi="Calibri"/>
          <w:b/>
          <w:color w:val="1C2A3A"/>
          <w:sz w:val="52"/>
        </w:rPr>
        <w:t>Automated Verification Workflow</w:t>
      </w:r>
    </w:p>
    <w:p>
      <w:pPr>
        <w:spacing w:after="400"/>
      </w:pPr>
      <w:r>
        <w:rPr>
          <w:i/>
          <w:color w:val="55606A"/>
          <w:sz w:val="26"/>
        </w:rPr>
        <w:t>How UAT Sign-off (CP38) and CAB Approval (CP10) are verified automatically, using Jira and email as evidence</w:t>
      </w:r>
    </w:p>
    <w:p>
      <w:pPr>
        <w:spacing w:after="160"/>
      </w:pPr>
      <w:r>
        <w:rPr>
          <w:b w:val="0"/>
          <w:i w:val="0"/>
          <w:sz w:val="22"/>
        </w:rPr>
        <w:t>This document explains, in plain terms, how two compliance checkpoints — UAT Sign-off and CAB (Change Advisory Board) Approval — are verified automatically instead of relying on someone manually chasing emails and tickets. Both checkpoints follow the same underlying approach: check the facts that can be checked with certainty first, and only use AI for the one thing that genuinely requires reading and understanding language.</w:t>
      </w:r>
    </w:p>
    <w:p>
      <w:pPr>
        <w:spacing w:before="440" w:after="160"/>
        <w:pBdr>
          <w:bottom w:val="single" w:sz="6" w:space="4" w:color="1E5F74"/>
        </w:pBdr>
      </w:pPr>
      <w:r>
        <w:rPr>
          <w:b/>
          <w:color w:val="1C2A3A"/>
          <w:sz w:val="34"/>
        </w:rPr>
        <w:t>The Core Principle: Facts First, AI Second</w:t>
      </w:r>
    </w:p>
    <w:p>
      <w:pPr>
        <w:spacing w:after="160"/>
      </w:pPr>
      <w:r>
        <w:rPr>
          <w:b w:val="0"/>
          <w:i w:val="0"/>
          <w:sz w:val="22"/>
        </w:rPr>
        <w:t>Every check in this workflow follows the same order of operations, and it never changes:</w:t>
      </w:r>
    </w:p>
    <w:p>
      <w:pPr>
        <w:pStyle w:val="ListNumber"/>
        <w:spacing w:after="80"/>
      </w:pPr>
      <w:r>
        <w:rPr>
          <w:sz w:val="22"/>
        </w:rPr>
        <w:t>Confirm the evidence exists (an email was received, a ticket has reached the right stage).</w:t>
      </w:r>
    </w:p>
    <w:p>
      <w:pPr>
        <w:pStyle w:val="ListNumber"/>
        <w:spacing w:after="80"/>
      </w:pPr>
      <w:r>
        <w:rPr>
          <w:sz w:val="22"/>
        </w:rPr>
        <w:t>Confirm it came from the right person — a plain, exact match against a known record (a business owner's email address, or the name already listed as the approver on the ticket). This is never guessed, and it is never decided by AI.</w:t>
      </w:r>
    </w:p>
    <w:p>
      <w:pPr>
        <w:pStyle w:val="ListNumber"/>
        <w:spacing w:after="80"/>
      </w:pPr>
      <w:r>
        <w:rPr>
          <w:sz w:val="22"/>
        </w:rPr>
        <w:t>Only if that identity check passes does the system ask AI to read the message and judge one narrow question: does this clearly say ‘approved’, or not?</w:t>
      </w:r>
    </w:p>
    <w:p>
      <w:pPr>
        <w:spacing w:after="160"/>
      </w:pPr>
      <w:r>
        <w:rPr>
          <w:b w:val="0"/>
          <w:i w:val="0"/>
          <w:sz w:val="22"/>
        </w:rPr>
        <w:t>If the wrong person responds, the AI step is skipped entirely — the content of that email is never even evaluated, because identity already failed. This means no one can talk their way into an approval by writing convincing text from the wrong account, and the AI is never put in a position to decide who is allowed to approve something.</w:t>
      </w:r>
    </w:p>
    <w:p>
      <w:pPr>
        <w:spacing w:after="160"/>
      </w:pPr>
      <w:r>
        <w:rPr>
          <w:b w:val="0"/>
          <w:i/>
          <w:sz w:val="22"/>
        </w:rPr>
        <w:t>There are only ever two outcomes for either checkpoint: Compliant, or Pending. There is no ‘failed’ or ‘rejected’ state. If evidence is missing, unclear, or from the wrong person, that is treated as ‘not yet confirmed’ rather than a hard failure — because a missing or mismatched email doesn't prove something went wrong, only that proof hasn't arrived yet. Every Pending result comes with a specific, human-readable reason, never a vague status.</w:t>
      </w:r>
    </w:p>
    <w:p>
      <w:pPr>
        <w:spacing w:before="440" w:after="160"/>
        <w:pBdr>
          <w:bottom w:val="single" w:sz="6" w:space="4" w:color="1E5F74"/>
        </w:pBdr>
      </w:pPr>
      <w:r>
        <w:rPr>
          <w:b/>
          <w:color w:val="1C2A3A"/>
          <w:sz w:val="34"/>
        </w:rPr>
        <w:t>Process 1 — UAT Sign-off Verification  (Checkpoint CP38)</w:t>
      </w:r>
    </w:p>
    <w:p>
      <w:pPr>
        <w:spacing w:before="280" w:after="120"/>
      </w:pPr>
      <w:r>
        <w:rPr>
          <w:b/>
          <w:color w:val="1E5F74"/>
          <w:sz w:val="26"/>
        </w:rPr>
        <w:t>Purpose</w:t>
      </w:r>
    </w:p>
    <w:p>
      <w:pPr>
        <w:spacing w:after="160"/>
      </w:pPr>
      <w:r>
        <w:rPr>
          <w:b w:val="0"/>
          <w:i w:val="0"/>
          <w:sz w:val="22"/>
        </w:rPr>
        <w:t>Confirms that a project's User Acceptance Testing has been formally signed off by the correct business owner before the testing checkpoint is marked complete.</w:t>
      </w:r>
    </w:p>
    <w:p>
      <w:pPr>
        <w:spacing w:before="280" w:after="120"/>
      </w:pPr>
      <w:r>
        <w:rPr>
          <w:b/>
          <w:color w:val="1E5F74"/>
          <w:sz w:val="26"/>
        </w:rPr>
        <w:t>How it works</w:t>
      </w:r>
    </w:p>
    <w:p>
      <w:pPr>
        <w:pStyle w:val="ListNumber"/>
        <w:spacing w:after="80"/>
      </w:pPr>
      <w:r>
        <w:rPr>
          <w:sz w:val="22"/>
        </w:rPr>
        <w:t>Someone asks — at any time — “What's the status of [Project]'s UAT sign-off?”</w:t>
      </w:r>
    </w:p>
    <w:p>
      <w:pPr>
        <w:pStyle w:val="ListNumber"/>
        <w:spacing w:after="80"/>
      </w:pPr>
      <w:r>
        <w:rPr>
          <w:sz w:val="22"/>
        </w:rPr>
        <w:t>The system searches the shared mailbox for an email whose subject line matches the project's sign-off convention.</w:t>
      </w:r>
    </w:p>
    <w:p>
      <w:pPr>
        <w:pStyle w:val="ListNumber"/>
        <w:spacing w:after="80"/>
      </w:pPr>
      <w:r>
        <w:rPr>
          <w:sz w:val="22"/>
        </w:rPr>
        <w:t>If no matching email exists yet: result is Pending — “no sign-off email received yet.”</w:t>
      </w:r>
    </w:p>
    <w:p>
      <w:pPr>
        <w:pStyle w:val="ListNumber"/>
        <w:spacing w:after="80"/>
      </w:pPr>
      <w:r>
        <w:rPr>
          <w:sz w:val="22"/>
        </w:rPr>
        <w:t>If an email is found, the system checks whether it came from the pre-approved business owner's exact email address.</w:t>
      </w:r>
    </w:p>
    <w:p>
      <w:pPr>
        <w:pStyle w:val="ListNumber"/>
        <w:spacing w:after="80"/>
      </w:pPr>
      <w:r>
        <w:rPr>
          <w:sz w:val="22"/>
        </w:rPr>
        <w:t>If it came from someone else: result is Pending — “wrong sender,” and the mismatched address is shown. The email's content is not read.</w:t>
      </w:r>
    </w:p>
    <w:p>
      <w:pPr>
        <w:pStyle w:val="ListNumber"/>
        <w:spacing w:after="80"/>
      </w:pPr>
      <w:r>
        <w:rPr>
          <w:sz w:val="22"/>
        </w:rPr>
        <w:t>If the sender is correct, AI reads the email body to judge whether it clearly states approval (e.g. “UAT passed, approved for go-live”) versus something vague or conditional.</w:t>
      </w:r>
    </w:p>
    <w:p>
      <w:pPr>
        <w:pStyle w:val="ListNumber"/>
        <w:spacing w:after="80"/>
      </w:pPr>
      <w:r>
        <w:rPr>
          <w:sz w:val="22"/>
        </w:rPr>
        <w:t>Clear approval → Compliant. Vague or conditional language → Pending — “authorized sender, language unclear.”</w:t>
      </w:r>
    </w:p>
    <w:p>
      <w:pPr>
        <w:spacing w:before="280" w:after="120"/>
      </w:pPr>
      <w:r>
        <w:rPr>
          <w:b/>
          <w:color w:val="1E5F74"/>
          <w:sz w:val="26"/>
        </w:rPr>
        <w:t>Possible outcomes</w:t>
      </w:r>
    </w:p>
    <w:tbl>
      <w:tblPr>
        <w:tblStyle w:val="TableGrid"/>
        <w:tblW w:type="auto" w:w="0"/>
        <w:jc w:val="center"/>
        <w:tblLook w:firstColumn="1" w:firstRow="1" w:lastColumn="0" w:lastRow="0" w:noHBand="0" w:noVBand="1" w:val="04A0"/>
      </w:tblPr>
      <w:tblGrid>
        <w:gridCol w:w="2880"/>
        <w:gridCol w:w="2880"/>
        <w:gridCol w:w="2880"/>
      </w:tblGrid>
      <w:tr>
        <w:tc>
          <w:tcPr>
            <w:tcW w:type="dxa" w:w="3744"/>
            <w:shd w:val="clear" w:color="auto" w:fill="1E5F74"/>
          </w:tcPr>
          <w:p>
            <w:r/>
            <w:r>
              <w:rPr>
                <w:b/>
                <w:color w:val="FFFFFF"/>
                <w:sz w:val="21"/>
              </w:rPr>
              <w:t>Situation</w:t>
            </w:r>
          </w:p>
        </w:tc>
        <w:tc>
          <w:tcPr>
            <w:tcW w:type="dxa" w:w="1584"/>
            <w:shd w:val="clear" w:color="auto" w:fill="1E5F74"/>
          </w:tcPr>
          <w:p>
            <w:r/>
            <w:r>
              <w:rPr>
                <w:b/>
                <w:color w:val="FFFFFF"/>
                <w:sz w:val="21"/>
              </w:rPr>
              <w:t>Result</w:t>
            </w:r>
          </w:p>
        </w:tc>
        <w:tc>
          <w:tcPr>
            <w:tcW w:type="dxa" w:w="4032"/>
            <w:shd w:val="clear" w:color="auto" w:fill="1E5F74"/>
          </w:tcPr>
          <w:p>
            <w:r/>
            <w:r>
              <w:rPr>
                <w:b/>
                <w:color w:val="FFFFFF"/>
                <w:sz w:val="21"/>
              </w:rPr>
              <w:t>Reason shown</w:t>
            </w:r>
          </w:p>
        </w:tc>
      </w:tr>
      <w:tr>
        <w:tc>
          <w:tcPr>
            <w:tcW w:type="dxa" w:w="3744"/>
          </w:tcPr>
          <w:p>
            <w:r/>
            <w:r>
              <w:rPr>
                <w:sz w:val="21"/>
              </w:rPr>
              <w:t>Correct sign-off email received from the right owner</w:t>
            </w:r>
          </w:p>
        </w:tc>
        <w:tc>
          <w:tcPr>
            <w:tcW w:type="dxa" w:w="1584"/>
          </w:tcPr>
          <w:p>
            <w:r/>
            <w:r>
              <w:rPr>
                <w:sz w:val="21"/>
              </w:rPr>
              <w:t>Compliant</w:t>
            </w:r>
          </w:p>
        </w:tc>
        <w:tc>
          <w:tcPr>
            <w:tcW w:type="dxa" w:w="4032"/>
          </w:tcPr>
          <w:p>
            <w:r/>
            <w:r>
              <w:rPr>
                <w:sz w:val="21"/>
              </w:rPr>
              <w:t>Signed off by [name] ([email])</w:t>
            </w:r>
          </w:p>
        </w:tc>
      </w:tr>
      <w:tr>
        <w:tc>
          <w:tcPr>
            <w:tcW w:type="dxa" w:w="3744"/>
          </w:tcPr>
          <w:p>
            <w:r/>
            <w:r>
              <w:rPr>
                <w:sz w:val="21"/>
              </w:rPr>
              <w:t>No sign-off email received yet</w:t>
            </w:r>
          </w:p>
        </w:tc>
        <w:tc>
          <w:tcPr>
            <w:tcW w:type="dxa" w:w="1584"/>
          </w:tcPr>
          <w:p>
            <w:r/>
            <w:r>
              <w:rPr>
                <w:sz w:val="21"/>
              </w:rPr>
              <w:t>Pending</w:t>
            </w:r>
          </w:p>
        </w:tc>
        <w:tc>
          <w:tcPr>
            <w:tcW w:type="dxa" w:w="4032"/>
          </w:tcPr>
          <w:p>
            <w:r/>
            <w:r>
              <w:rPr>
                <w:sz w:val="21"/>
              </w:rPr>
              <w:t>No sign-off email received yet</w:t>
            </w:r>
          </w:p>
        </w:tc>
      </w:tr>
      <w:tr>
        <w:tc>
          <w:tcPr>
            <w:tcW w:type="dxa" w:w="3744"/>
          </w:tcPr>
          <w:p>
            <w:r/>
            <w:r>
              <w:rPr>
                <w:sz w:val="21"/>
              </w:rPr>
              <w:t>Email received, but from the wrong person</w:t>
            </w:r>
          </w:p>
        </w:tc>
        <w:tc>
          <w:tcPr>
            <w:tcW w:type="dxa" w:w="1584"/>
          </w:tcPr>
          <w:p>
            <w:r/>
            <w:r>
              <w:rPr>
                <w:sz w:val="21"/>
              </w:rPr>
              <w:t>Pending</w:t>
            </w:r>
          </w:p>
        </w:tc>
        <w:tc>
          <w:tcPr>
            <w:tcW w:type="dxa" w:w="4032"/>
          </w:tcPr>
          <w:p>
            <w:r/>
            <w:r>
              <w:rPr>
                <w:sz w:val="21"/>
              </w:rPr>
              <w:t>Received from [wrong email] — not the authorized signer</w:t>
            </w:r>
          </w:p>
        </w:tc>
      </w:tr>
      <w:tr>
        <w:tc>
          <w:tcPr>
            <w:tcW w:type="dxa" w:w="3744"/>
          </w:tcPr>
          <w:p>
            <w:r/>
            <w:r>
              <w:rPr>
                <w:sz w:val="21"/>
              </w:rPr>
              <w:t>Right person responded, but wording was unclear</w:t>
            </w:r>
          </w:p>
        </w:tc>
        <w:tc>
          <w:tcPr>
            <w:tcW w:type="dxa" w:w="1584"/>
          </w:tcPr>
          <w:p>
            <w:r/>
            <w:r>
              <w:rPr>
                <w:sz w:val="21"/>
              </w:rPr>
              <w:t>Pending</w:t>
            </w:r>
          </w:p>
        </w:tc>
        <w:tc>
          <w:tcPr>
            <w:tcW w:type="dxa" w:w="4032"/>
          </w:tcPr>
          <w:p>
            <w:r/>
            <w:r>
              <w:rPr>
                <w:sz w:val="21"/>
              </w:rPr>
              <w:t>Authorized sender, language unclear</w:t>
            </w:r>
          </w:p>
        </w:tc>
      </w:tr>
    </w:tbl>
    <w:p>
      <w:pPr>
        <w:spacing w:after="120"/>
      </w:pPr>
    </w:p>
    <w:p>
      <w:pPr>
        <w:spacing w:before="440" w:after="160"/>
        <w:pBdr>
          <w:bottom w:val="single" w:sz="6" w:space="4" w:color="1E5F74"/>
        </w:pBdr>
      </w:pPr>
      <w:r>
        <w:rPr>
          <w:b/>
          <w:color w:val="1C2A3A"/>
          <w:sz w:val="34"/>
        </w:rPr>
        <w:t>Process 2 — CAB Approval Verification  (Checkpoint CP10)</w:t>
      </w:r>
    </w:p>
    <w:p>
      <w:pPr>
        <w:spacing w:before="280" w:after="120"/>
      </w:pPr>
      <w:r>
        <w:rPr>
          <w:b/>
          <w:color w:val="1E5F74"/>
          <w:sz w:val="26"/>
        </w:rPr>
        <w:t>Purpose</w:t>
      </w:r>
    </w:p>
    <w:p>
      <w:pPr>
        <w:spacing w:after="160"/>
      </w:pPr>
      <w:r>
        <w:rPr>
          <w:b w:val="0"/>
          <w:i w:val="0"/>
          <w:sz w:val="22"/>
        </w:rPr>
        <w:t>Confirms that a production change request has both (a) formally reached the change-approval stage in Jira, and (b) received explicit email approval from that ticket's own designated approver — before the change is allowed to proceed.</w:t>
      </w:r>
    </w:p>
    <w:p>
      <w:pPr>
        <w:spacing w:after="160"/>
      </w:pPr>
      <w:r>
        <w:rPr>
          <w:b w:val="0"/>
          <w:i/>
          <w:sz w:val="22"/>
        </w:rPr>
        <w:t>This process checks two independent systems, because a change request should never be treated as approved based on only one source. The Jira ticket confirms the request is genuinely at the approval stage; the email is the actual proof that a named person approved it.</w:t>
      </w:r>
    </w:p>
    <w:p>
      <w:pPr>
        <w:spacing w:before="280" w:after="120"/>
      </w:pPr>
      <w:r>
        <w:rPr>
          <w:b/>
          <w:color w:val="1E5F74"/>
          <w:sz w:val="26"/>
        </w:rPr>
        <w:t>How it works</w:t>
      </w:r>
    </w:p>
    <w:p>
      <w:pPr>
        <w:pStyle w:val="ListNumber"/>
        <w:spacing w:after="80"/>
      </w:pPr>
      <w:r>
        <w:rPr>
          <w:sz w:val="22"/>
        </w:rPr>
        <w:t>Someone asks — at any time — “What's the CAB approval status for [ticket]?”</w:t>
      </w:r>
    </w:p>
    <w:p>
      <w:pPr>
        <w:pStyle w:val="ListNumber"/>
        <w:spacing w:after="80"/>
      </w:pPr>
      <w:r>
        <w:rPr>
          <w:sz w:val="22"/>
        </w:rPr>
        <w:t>Jira Gate: the system looks up the change ticket directly and checks whether its status is exactly “Pending CAB Approval.”</w:t>
      </w:r>
    </w:p>
    <w:p>
      <w:pPr>
        <w:pStyle w:val="ListNumber"/>
        <w:spacing w:after="80"/>
      </w:pPr>
      <w:r>
        <w:rPr>
          <w:sz w:val="22"/>
        </w:rPr>
        <w:t>If the ticket hasn't reached that stage yet, the check stops immediately — result is Pending — “not yet at CAB approval stage,” showing the ticket's actual current status. The mailbox is not even searched.</w:t>
      </w:r>
    </w:p>
    <w:p>
      <w:pPr>
        <w:pStyle w:val="ListNumber"/>
        <w:spacing w:after="80"/>
      </w:pPr>
      <w:r>
        <w:rPr>
          <w:sz w:val="22"/>
        </w:rPr>
        <w:t>If the ticket is at the right stage, the system reads the ticket to identify who the designated approver is, then searches the shared mailbox for a matching approval email.</w:t>
      </w:r>
    </w:p>
    <w:p>
      <w:pPr>
        <w:pStyle w:val="ListNumber"/>
        <w:spacing w:after="80"/>
      </w:pPr>
      <w:r>
        <w:rPr>
          <w:sz w:val="22"/>
        </w:rPr>
        <w:t>If no matching email is found, or it came from someone other than the designated approver: result is Pending — “wrong sender,” with the mismatched address shown where applicable. The email's content is not read in this case.</w:t>
      </w:r>
    </w:p>
    <w:p>
      <w:pPr>
        <w:pStyle w:val="ListNumber"/>
        <w:spacing w:after="80"/>
      </w:pPr>
      <w:r>
        <w:rPr>
          <w:sz w:val="22"/>
        </w:rPr>
        <w:t>If the right person responded, AI reads the email to judge whether it clearly states approval (e.g. “Approved for implementation”) versus vague or conditional wording.</w:t>
      </w:r>
    </w:p>
    <w:p>
      <w:pPr>
        <w:pStyle w:val="ListNumber"/>
        <w:spacing w:after="80"/>
      </w:pPr>
      <w:r>
        <w:rPr>
          <w:sz w:val="22"/>
        </w:rPr>
        <w:t>Clear approval → Compliant. Otherwise → Pending — “authorized approver responded, but language was unclear.”</w:t>
      </w:r>
    </w:p>
    <w:p>
      <w:pPr>
        <w:spacing w:before="280" w:after="120"/>
      </w:pPr>
      <w:r>
        <w:rPr>
          <w:b/>
          <w:color w:val="1E5F74"/>
          <w:sz w:val="26"/>
        </w:rPr>
        <w:t>Possible outcomes</w:t>
      </w:r>
    </w:p>
    <w:tbl>
      <w:tblPr>
        <w:tblStyle w:val="TableGrid"/>
        <w:tblW w:type="auto" w:w="0"/>
        <w:jc w:val="center"/>
        <w:tblLook w:firstColumn="1" w:firstRow="1" w:lastColumn="0" w:lastRow="0" w:noHBand="0" w:noVBand="1" w:val="04A0"/>
      </w:tblPr>
      <w:tblGrid>
        <w:gridCol w:w="2880"/>
        <w:gridCol w:w="2880"/>
        <w:gridCol w:w="2880"/>
      </w:tblGrid>
      <w:tr>
        <w:tc>
          <w:tcPr>
            <w:tcW w:type="dxa" w:w="3744"/>
            <w:shd w:val="clear" w:color="auto" w:fill="1E5F74"/>
          </w:tcPr>
          <w:p>
            <w:r/>
            <w:r>
              <w:rPr>
                <w:b/>
                <w:color w:val="FFFFFF"/>
                <w:sz w:val="21"/>
              </w:rPr>
              <w:t>Situation</w:t>
            </w:r>
          </w:p>
        </w:tc>
        <w:tc>
          <w:tcPr>
            <w:tcW w:type="dxa" w:w="1584"/>
            <w:shd w:val="clear" w:color="auto" w:fill="1E5F74"/>
          </w:tcPr>
          <w:p>
            <w:r/>
            <w:r>
              <w:rPr>
                <w:b/>
                <w:color w:val="FFFFFF"/>
                <w:sz w:val="21"/>
              </w:rPr>
              <w:t>Result</w:t>
            </w:r>
          </w:p>
        </w:tc>
        <w:tc>
          <w:tcPr>
            <w:tcW w:type="dxa" w:w="4032"/>
            <w:shd w:val="clear" w:color="auto" w:fill="1E5F74"/>
          </w:tcPr>
          <w:p>
            <w:r/>
            <w:r>
              <w:rPr>
                <w:b/>
                <w:color w:val="FFFFFF"/>
                <w:sz w:val="21"/>
              </w:rPr>
              <w:t>Reason shown</w:t>
            </w:r>
          </w:p>
        </w:tc>
      </w:tr>
      <w:tr>
        <w:tc>
          <w:tcPr>
            <w:tcW w:type="dxa" w:w="3744"/>
          </w:tcPr>
          <w:p>
            <w:r/>
            <w:r>
              <w:rPr>
                <w:sz w:val="21"/>
              </w:rPr>
              <w:t>Ticket at the right stage + approval email from the right person</w:t>
            </w:r>
          </w:p>
        </w:tc>
        <w:tc>
          <w:tcPr>
            <w:tcW w:type="dxa" w:w="1584"/>
          </w:tcPr>
          <w:p>
            <w:r/>
            <w:r>
              <w:rPr>
                <w:sz w:val="21"/>
              </w:rPr>
              <w:t>Compliant</w:t>
            </w:r>
          </w:p>
        </w:tc>
        <w:tc>
          <w:tcPr>
            <w:tcW w:type="dxa" w:w="4032"/>
          </w:tcPr>
          <w:p>
            <w:r/>
            <w:r>
              <w:rPr>
                <w:sz w:val="21"/>
              </w:rPr>
              <w:t>Approved by [name], the authorized CAB approver</w:t>
            </w:r>
          </w:p>
        </w:tc>
      </w:tr>
      <w:tr>
        <w:tc>
          <w:tcPr>
            <w:tcW w:type="dxa" w:w="3744"/>
          </w:tcPr>
          <w:p>
            <w:r/>
            <w:r>
              <w:rPr>
                <w:sz w:val="21"/>
              </w:rPr>
              <w:t>Ticket hasn't reached CAB-approval stage yet</w:t>
            </w:r>
          </w:p>
        </w:tc>
        <w:tc>
          <w:tcPr>
            <w:tcW w:type="dxa" w:w="1584"/>
          </w:tcPr>
          <w:p>
            <w:r/>
            <w:r>
              <w:rPr>
                <w:sz w:val="21"/>
              </w:rPr>
              <w:t>Pending</w:t>
            </w:r>
          </w:p>
        </w:tc>
        <w:tc>
          <w:tcPr>
            <w:tcW w:type="dxa" w:w="4032"/>
          </w:tcPr>
          <w:p>
            <w:r/>
            <w:r>
              <w:rPr>
                <w:sz w:val="21"/>
              </w:rPr>
              <w:t>Not yet at CAB approval stage (shows current status)</w:t>
            </w:r>
          </w:p>
        </w:tc>
      </w:tr>
      <w:tr>
        <w:tc>
          <w:tcPr>
            <w:tcW w:type="dxa" w:w="3744"/>
          </w:tcPr>
          <w:p>
            <w:r/>
            <w:r>
              <w:rPr>
                <w:sz w:val="21"/>
              </w:rPr>
              <w:t>Right stage, but no email yet or from the wrong person</w:t>
            </w:r>
          </w:p>
        </w:tc>
        <w:tc>
          <w:tcPr>
            <w:tcW w:type="dxa" w:w="1584"/>
          </w:tcPr>
          <w:p>
            <w:r/>
            <w:r>
              <w:rPr>
                <w:sz w:val="21"/>
              </w:rPr>
              <w:t>Pending</w:t>
            </w:r>
          </w:p>
        </w:tc>
        <w:tc>
          <w:tcPr>
            <w:tcW w:type="dxa" w:w="4032"/>
          </w:tcPr>
          <w:p>
            <w:r/>
            <w:r>
              <w:rPr>
                <w:sz w:val="21"/>
              </w:rPr>
              <w:t>Wrong sender (or no email received)</w:t>
            </w:r>
          </w:p>
        </w:tc>
      </w:tr>
      <w:tr>
        <w:tc>
          <w:tcPr>
            <w:tcW w:type="dxa" w:w="3744"/>
          </w:tcPr>
          <w:p>
            <w:r/>
            <w:r>
              <w:rPr>
                <w:sz w:val="21"/>
              </w:rPr>
              <w:t>Right person responded, but wording was unclear</w:t>
            </w:r>
          </w:p>
        </w:tc>
        <w:tc>
          <w:tcPr>
            <w:tcW w:type="dxa" w:w="1584"/>
          </w:tcPr>
          <w:p>
            <w:r/>
            <w:r>
              <w:rPr>
                <w:sz w:val="21"/>
              </w:rPr>
              <w:t>Pending</w:t>
            </w:r>
          </w:p>
        </w:tc>
        <w:tc>
          <w:tcPr>
            <w:tcW w:type="dxa" w:w="4032"/>
          </w:tcPr>
          <w:p>
            <w:r/>
            <w:r>
              <w:rPr>
                <w:sz w:val="21"/>
              </w:rPr>
              <w:t>Authorized approver responded, language unclear</w:t>
            </w:r>
          </w:p>
        </w:tc>
      </w:tr>
    </w:tbl>
    <w:p>
      <w:pPr>
        <w:spacing w:after="120"/>
      </w:pPr>
    </w:p>
    <w:p>
      <w:pPr>
        <w:spacing w:before="280" w:after="120"/>
      </w:pPr>
      <w:r>
        <w:rPr>
          <w:b/>
          <w:color w:val="1E5F74"/>
          <w:sz w:val="26"/>
        </w:rPr>
        <w:t>Why manually changing the Jira status doesn't ‘shortcut’ this</w:t>
      </w:r>
    </w:p>
    <w:p>
      <w:pPr>
        <w:spacing w:after="160"/>
      </w:pPr>
      <w:r>
        <w:rPr>
          <w:b w:val="0"/>
          <w:i w:val="0"/>
          <w:sz w:val="22"/>
        </w:rPr>
        <w:t>The Jira status field represents one thing only: ‘this change has reached the point where it needs CAB approval.’ It is not treated as approval itself. If someone manually changes the ticket's status to ‘Approved’ directly in Jira, the automated check actually stops and reports Pending, because the ticket is no longer sitting at the expected ‘awaiting approval’ stage. The only way to reach Compliant is the intended path: the ticket stays at ‘Pending CAB Approval’ and the designated approver sends the confirming email.</w:t>
      </w:r>
    </w:p>
    <w:p>
      <w:pPr>
        <w:spacing w:before="440" w:after="160"/>
        <w:pBdr>
          <w:bottom w:val="single" w:sz="6" w:space="4" w:color="1E5F74"/>
        </w:pBdr>
      </w:pPr>
      <w:r>
        <w:rPr>
          <w:b/>
          <w:color w:val="1C2A3A"/>
          <w:sz w:val="34"/>
        </w:rPr>
        <w:t>Side-by-Side Summary</w:t>
      </w:r>
    </w:p>
    <w:tbl>
      <w:tblPr>
        <w:tblStyle w:val="TableGrid"/>
        <w:tblW w:type="auto" w:w="0"/>
        <w:jc w:val="center"/>
        <w:tblLook w:firstColumn="1" w:firstRow="1" w:lastColumn="0" w:lastRow="0" w:noHBand="0" w:noVBand="1" w:val="04A0"/>
      </w:tblPr>
      <w:tblGrid>
        <w:gridCol w:w="2880"/>
        <w:gridCol w:w="2880"/>
        <w:gridCol w:w="2880"/>
      </w:tblGrid>
      <w:tr>
        <w:tc>
          <w:tcPr>
            <w:tcW w:type="dxa" w:w="2592"/>
            <w:shd w:val="clear" w:color="auto" w:fill="1C2A3A"/>
          </w:tcPr>
          <w:p>
            <w:r/>
            <w:r>
              <w:rPr>
                <w:b/>
                <w:color w:val="FFFFFF"/>
                <w:sz w:val="21"/>
              </w:rPr>
            </w:r>
          </w:p>
        </w:tc>
        <w:tc>
          <w:tcPr>
            <w:tcW w:type="dxa" w:w="3456"/>
            <w:shd w:val="clear" w:color="auto" w:fill="1C2A3A"/>
          </w:tcPr>
          <w:p>
            <w:r/>
            <w:r>
              <w:rPr>
                <w:b/>
                <w:color w:val="FFFFFF"/>
                <w:sz w:val="21"/>
              </w:rPr>
              <w:t>CP38 — UAT Sign-off</w:t>
            </w:r>
          </w:p>
        </w:tc>
        <w:tc>
          <w:tcPr>
            <w:tcW w:type="dxa" w:w="3456"/>
            <w:shd w:val="clear" w:color="auto" w:fill="1C2A3A"/>
          </w:tcPr>
          <w:p>
            <w:r/>
            <w:r>
              <w:rPr>
                <w:b/>
                <w:color w:val="FFFFFF"/>
                <w:sz w:val="21"/>
              </w:rPr>
              <w:t>CP10 — CAB Approval</w:t>
            </w:r>
          </w:p>
        </w:tc>
      </w:tr>
      <w:tr>
        <w:tc>
          <w:tcPr>
            <w:tcW w:type="dxa" w:w="2592"/>
          </w:tcPr>
          <w:p>
            <w:r/>
            <w:r>
              <w:rPr>
                <w:sz w:val="21"/>
              </w:rPr>
              <w:t>Evidence checked</w:t>
            </w:r>
          </w:p>
        </w:tc>
        <w:tc>
          <w:tcPr>
            <w:tcW w:type="dxa" w:w="3456"/>
          </w:tcPr>
          <w:p>
            <w:r/>
            <w:r>
              <w:rPr>
                <w:sz w:val="21"/>
              </w:rPr>
              <w:t>Email only</w:t>
            </w:r>
          </w:p>
        </w:tc>
        <w:tc>
          <w:tcPr>
            <w:tcW w:type="dxa" w:w="3456"/>
          </w:tcPr>
          <w:p>
            <w:r/>
            <w:r>
              <w:rPr>
                <w:sz w:val="21"/>
              </w:rPr>
              <w:t>Jira ticket status, then email</w:t>
            </w:r>
          </w:p>
        </w:tc>
      </w:tr>
      <w:tr>
        <w:tc>
          <w:tcPr>
            <w:tcW w:type="dxa" w:w="2592"/>
          </w:tcPr>
          <w:p>
            <w:r/>
            <w:r>
              <w:rPr>
                <w:sz w:val="21"/>
              </w:rPr>
              <w:t>Who must respond</w:t>
            </w:r>
          </w:p>
        </w:tc>
        <w:tc>
          <w:tcPr>
            <w:tcW w:type="dxa" w:w="3456"/>
          </w:tcPr>
          <w:p>
            <w:r/>
            <w:r>
              <w:rPr>
                <w:sz w:val="21"/>
              </w:rPr>
              <w:t>The project's named business owner</w:t>
            </w:r>
          </w:p>
        </w:tc>
        <w:tc>
          <w:tcPr>
            <w:tcW w:type="dxa" w:w="3456"/>
          </w:tcPr>
          <w:p>
            <w:r/>
            <w:r>
              <w:rPr>
                <w:sz w:val="21"/>
              </w:rPr>
              <w:t>The change ticket's own listed approver</w:t>
            </w:r>
          </w:p>
        </w:tc>
      </w:tr>
      <w:tr>
        <w:tc>
          <w:tcPr>
            <w:tcW w:type="dxa" w:w="2592"/>
          </w:tcPr>
          <w:p>
            <w:r/>
            <w:r>
              <w:rPr>
                <w:sz w:val="21"/>
              </w:rPr>
              <w:t>Where identity comes from</w:t>
            </w:r>
          </w:p>
        </w:tc>
        <w:tc>
          <w:tcPr>
            <w:tcW w:type="dxa" w:w="3456"/>
          </w:tcPr>
          <w:p>
            <w:r/>
            <w:r>
              <w:rPr>
                <w:sz w:val="21"/>
              </w:rPr>
              <w:t>A pre-configured, fixed record</w:t>
            </w:r>
          </w:p>
        </w:tc>
        <w:tc>
          <w:tcPr>
            <w:tcW w:type="dxa" w:w="3456"/>
          </w:tcPr>
          <w:p>
            <w:r/>
            <w:r>
              <w:rPr>
                <w:sz w:val="21"/>
              </w:rPr>
              <w:t>Read directly from the Jira ticket each time</w:t>
            </w:r>
          </w:p>
        </w:tc>
      </w:tr>
      <w:tr>
        <w:tc>
          <w:tcPr>
            <w:tcW w:type="dxa" w:w="2592"/>
          </w:tcPr>
          <w:p>
            <w:r/>
            <w:r>
              <w:rPr>
                <w:sz w:val="21"/>
              </w:rPr>
              <w:t>When it runs</w:t>
            </w:r>
          </w:p>
        </w:tc>
        <w:tc>
          <w:tcPr>
            <w:tcW w:type="dxa" w:w="3456"/>
          </w:tcPr>
          <w:p>
            <w:r/>
            <w:r>
              <w:rPr>
                <w:sz w:val="21"/>
              </w:rPr>
              <w:t>On request, any time</w:t>
            </w:r>
          </w:p>
        </w:tc>
        <w:tc>
          <w:tcPr>
            <w:tcW w:type="dxa" w:w="3456"/>
          </w:tcPr>
          <w:p>
            <w:r/>
            <w:r>
              <w:rPr>
                <w:sz w:val="21"/>
              </w:rPr>
              <w:t>On request, any time</w:t>
            </w:r>
          </w:p>
        </w:tc>
      </w:tr>
      <w:tr>
        <w:tc>
          <w:tcPr>
            <w:tcW w:type="dxa" w:w="2592"/>
          </w:tcPr>
          <w:p>
            <w:r/>
            <w:r>
              <w:rPr>
                <w:sz w:val="21"/>
              </w:rPr>
              <w:t>Possible results</w:t>
            </w:r>
          </w:p>
        </w:tc>
        <w:tc>
          <w:tcPr>
            <w:tcW w:type="dxa" w:w="3456"/>
          </w:tcPr>
          <w:p>
            <w:r/>
            <w:r>
              <w:rPr>
                <w:sz w:val="21"/>
              </w:rPr>
              <w:t>Compliant / Pending</w:t>
            </w:r>
          </w:p>
        </w:tc>
        <w:tc>
          <w:tcPr>
            <w:tcW w:type="dxa" w:w="3456"/>
          </w:tcPr>
          <w:p>
            <w:r/>
            <w:r>
              <w:rPr>
                <w:sz w:val="21"/>
              </w:rPr>
              <w:t>Compliant / Pending</w:t>
            </w:r>
          </w:p>
        </w:tc>
      </w:tr>
    </w:tbl>
    <w:p>
      <w:pPr>
        <w:spacing w:after="120"/>
      </w:pPr>
    </w:p>
    <w:p>
      <w:pPr>
        <w:spacing w:before="440" w:after="160"/>
        <w:pBdr>
          <w:bottom w:val="single" w:sz="6" w:space="4" w:color="1E5F74"/>
        </w:pBdr>
      </w:pPr>
      <w:r>
        <w:rPr>
          <w:b/>
          <w:color w:val="1C2A3A"/>
          <w:sz w:val="34"/>
        </w:rPr>
        <w:t>Why This Is Safe to Rely On</w:t>
      </w:r>
    </w:p>
    <w:p>
      <w:pPr>
        <w:pStyle w:val="ListBullet"/>
        <w:spacing w:after="80"/>
        <w:ind w:left="360"/>
      </w:pPr>
      <w:r>
        <w:rPr>
          <w:sz w:val="22"/>
        </w:rPr>
        <w:t>Identity and eligibility are never decided by AI — only exact-match checks against records already on file.</w:t>
      </w:r>
    </w:p>
    <w:p>
      <w:pPr>
        <w:pStyle w:val="ListBullet"/>
        <w:spacing w:after="80"/>
        <w:ind w:left="360"/>
      </w:pPr>
      <w:r>
        <w:rPr>
          <w:sz w:val="22"/>
        </w:rPr>
        <w:t>The AI is only ever asked one narrow question — does this specific message clearly state approval — and only after identity has already been confirmed.</w:t>
      </w:r>
    </w:p>
    <w:p>
      <w:pPr>
        <w:pStyle w:val="ListBullet"/>
        <w:spacing w:after="80"/>
        <w:ind w:left="360"/>
      </w:pPr>
      <w:r>
        <w:rPr>
          <w:sz w:val="22"/>
        </w:rPr>
        <w:t>An unauthorized sender's message is never evaluated at all, so its wording can't influence the outcome.</w:t>
      </w:r>
    </w:p>
    <w:p>
      <w:pPr>
        <w:pStyle w:val="ListBullet"/>
        <w:spacing w:after="80"/>
        <w:ind w:left="360"/>
      </w:pPr>
      <w:r>
        <w:rPr>
          <w:sz w:val="22"/>
        </w:rPr>
        <w:t>Every result comes with a specific, plain-language reason — never a silent pass or an unexplained status.</w:t>
      </w:r>
    </w:p>
    <w:p>
      <w:pPr>
        <w:pStyle w:val="ListBullet"/>
        <w:spacing w:after="80"/>
        <w:ind w:left="360"/>
      </w:pPr>
      <w:r>
        <w:rPr>
          <w:sz w:val="22"/>
        </w:rPr>
        <w:t>Nothing is ever marked Compliant on a guess. Anything uncertain defaults to Pending until real evidence arrives.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