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7365D"/>
          <w:sz w:val="64"/>
        </w:rPr>
        <w:t>MERCHANT CO-PILOT</w:t>
      </w:r>
    </w:p>
    <w:p>
      <w:pPr>
        <w:jc w:val="center"/>
      </w:pPr>
      <w:r>
        <w:rPr>
          <w:b/>
          <w:color w:val="1F4E79"/>
          <w:sz w:val="40"/>
        </w:rPr>
        <w:t>FINAL PROJECT REPORT</w:t>
      </w:r>
    </w:p>
    <w:p>
      <w:pPr>
        <w:spacing w:before="360"/>
        <w:jc w:val="center"/>
      </w:pPr>
      <w:r>
        <w:rPr>
          <w:i/>
          <w:sz w:val="26"/>
        </w:rPr>
        <w:t>Applied Machine Learning Decision Support System for E-Commerce</w:t>
      </w:r>
    </w:p>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365D"/>
          </w:tcPr>
          <w:p>
            <w:r/>
            <w:r>
              <w:rPr>
                <w:b/>
                <w:color w:val="FFFFFF"/>
                <w:sz w:val="19"/>
              </w:rPr>
              <w:t>Project Team</w:t>
            </w:r>
          </w:p>
        </w:tc>
        <w:tc>
          <w:tcPr>
            <w:tcW w:type="dxa" w:w="7056"/>
            <w:vAlign w:val="center"/>
            <w:shd w:fill="17365D"/>
          </w:tcPr>
          <w:p>
            <w:r/>
            <w:r>
              <w:rPr>
                <w:b/>
                <w:color w:val="FFFFFF"/>
                <w:sz w:val="19"/>
              </w:rPr>
              <w:t>Details</w:t>
            </w:r>
          </w:p>
        </w:tc>
      </w:tr>
      <w:tr>
        <w:tc>
          <w:tcPr>
            <w:tcW w:type="dxa" w:w="2304"/>
            <w:vAlign w:val="center"/>
          </w:tcPr>
          <w:p>
            <w:r/>
            <w:r>
              <w:rPr>
                <w:b w:val="0"/>
                <w:sz w:val="19"/>
              </w:rPr>
              <w:t>Student 1</w:t>
            </w:r>
          </w:p>
        </w:tc>
        <w:tc>
          <w:tcPr>
            <w:tcW w:type="dxa" w:w="7056"/>
            <w:vAlign w:val="center"/>
          </w:tcPr>
          <w:p>
            <w:r/>
            <w:r>
              <w:rPr>
                <w:b w:val="0"/>
                <w:sz w:val="19"/>
              </w:rPr>
              <w:t>Riya Arya  |  ID-724030</w:t>
            </w:r>
          </w:p>
        </w:tc>
      </w:tr>
      <w:tr>
        <w:tc>
          <w:tcPr>
            <w:tcW w:type="dxa" w:w="2304"/>
            <w:vAlign w:val="center"/>
          </w:tcPr>
          <w:p>
            <w:r/>
            <w:r>
              <w:rPr>
                <w:b w:val="0"/>
                <w:sz w:val="19"/>
              </w:rPr>
              <w:t>Student 2</w:t>
            </w:r>
          </w:p>
        </w:tc>
        <w:tc>
          <w:tcPr>
            <w:tcW w:type="dxa" w:w="7056"/>
            <w:vAlign w:val="center"/>
          </w:tcPr>
          <w:p>
            <w:r/>
            <w:r>
              <w:rPr>
                <w:b w:val="0"/>
                <w:sz w:val="19"/>
              </w:rPr>
              <w:t>Anushka Vishwakarma  |  ID-724010</w:t>
            </w:r>
          </w:p>
        </w:tc>
      </w:tr>
      <w:tr>
        <w:tc>
          <w:tcPr>
            <w:tcW w:type="dxa" w:w="2304"/>
            <w:vAlign w:val="center"/>
          </w:tcPr>
          <w:p>
            <w:r/>
            <w:r>
              <w:rPr>
                <w:b w:val="0"/>
                <w:sz w:val="19"/>
              </w:rPr>
              <w:t>Guidance</w:t>
            </w:r>
          </w:p>
        </w:tc>
        <w:tc>
          <w:tcPr>
            <w:tcW w:type="dxa" w:w="7056"/>
            <w:vAlign w:val="center"/>
          </w:tcPr>
          <w:p>
            <w:r/>
            <w:r>
              <w:rPr>
                <w:b w:val="0"/>
                <w:sz w:val="19"/>
              </w:rPr>
              <w:t>Dr. Shalini Lamba  &amp;  Mrs. Shweta Sinha</w:t>
            </w:r>
          </w:p>
        </w:tc>
      </w:tr>
      <w:tr>
        <w:tc>
          <w:tcPr>
            <w:tcW w:type="dxa" w:w="2304"/>
            <w:vAlign w:val="center"/>
          </w:tcPr>
          <w:p>
            <w:r/>
            <w:r>
              <w:rPr>
                <w:b w:val="0"/>
                <w:sz w:val="19"/>
              </w:rPr>
              <w:t>Programme</w:t>
            </w:r>
          </w:p>
        </w:tc>
        <w:tc>
          <w:tcPr>
            <w:tcW w:type="dxa" w:w="7056"/>
            <w:vAlign w:val="center"/>
          </w:tcPr>
          <w:p>
            <w:r/>
            <w:r>
              <w:rPr>
                <w:b w:val="0"/>
                <w:sz w:val="19"/>
              </w:rPr>
              <w:t>Bachelor of Computer Application</w:t>
            </w:r>
          </w:p>
        </w:tc>
      </w:tr>
      <w:tr>
        <w:tc>
          <w:tcPr>
            <w:tcW w:type="dxa" w:w="2304"/>
            <w:vAlign w:val="center"/>
          </w:tcPr>
          <w:p>
            <w:r/>
            <w:r>
              <w:rPr>
                <w:b w:val="0"/>
                <w:sz w:val="19"/>
              </w:rPr>
              <w:t>Department</w:t>
            </w:r>
          </w:p>
        </w:tc>
        <w:tc>
          <w:tcPr>
            <w:tcW w:type="dxa" w:w="7056"/>
            <w:vAlign w:val="center"/>
          </w:tcPr>
          <w:p>
            <w:r/>
            <w:r>
              <w:rPr>
                <w:b w:val="0"/>
                <w:sz w:val="19"/>
              </w:rPr>
              <w:t>Department of Computer Science</w:t>
            </w:r>
          </w:p>
        </w:tc>
      </w:tr>
      <w:tr>
        <w:tc>
          <w:tcPr>
            <w:tcW w:type="dxa" w:w="2304"/>
            <w:vAlign w:val="center"/>
          </w:tcPr>
          <w:p>
            <w:r/>
            <w:r>
              <w:rPr>
                <w:b w:val="0"/>
                <w:sz w:val="19"/>
              </w:rPr>
              <w:t>Institution</w:t>
            </w:r>
          </w:p>
        </w:tc>
        <w:tc>
          <w:tcPr>
            <w:tcW w:type="dxa" w:w="7056"/>
            <w:vAlign w:val="center"/>
          </w:tcPr>
          <w:p>
            <w:r/>
            <w:r>
              <w:rPr>
                <w:b w:val="0"/>
                <w:sz w:val="19"/>
              </w:rPr>
              <w:t>National Post Graduate College, Lucknow University</w:t>
            </w:r>
          </w:p>
        </w:tc>
      </w:tr>
      <w:tr>
        <w:tc>
          <w:tcPr>
            <w:tcW w:type="dxa" w:w="2304"/>
            <w:vAlign w:val="center"/>
          </w:tcPr>
          <w:p>
            <w:r/>
            <w:r>
              <w:rPr>
                <w:b w:val="0"/>
                <w:sz w:val="19"/>
              </w:rPr>
              <w:t>Academic Session</w:t>
            </w:r>
          </w:p>
        </w:tc>
        <w:tc>
          <w:tcPr>
            <w:tcW w:type="dxa" w:w="7056"/>
            <w:vAlign w:val="center"/>
          </w:tcPr>
          <w:p>
            <w:r/>
            <w:r>
              <w:rPr>
                <w:b w:val="0"/>
                <w:sz w:val="19"/>
              </w:rPr>
              <w:t>2024–27</w:t>
            </w:r>
          </w:p>
        </w:tc>
      </w:tr>
    </w:tbl>
    <w:p/>
    <w:p>
      <w:pPr>
        <w:spacing w:before="360"/>
        <w:jc w:val="center"/>
      </w:pPr>
      <w:r>
        <w:rPr>
          <w:i/>
          <w:color w:val="5A5A5A"/>
          <w:sz w:val="18"/>
        </w:rPr>
        <w:t>Prepared from the approved project synopsis and the subsequent technical planning/design document.</w:t>
      </w:r>
    </w:p>
    <w:p>
      <w:r>
        <w:br w:type="page"/>
      </w:r>
    </w:p>
    <w:p>
      <w:pPr>
        <w:pStyle w:val="Heading1"/>
        <w:keepNext/>
      </w:pPr>
      <w:r>
        <w:t>CERTIFICATE</w:t>
      </w:r>
    </w:p>
    <w:p>
      <w:pPr>
        <w:spacing w:after="100" w:line="259" w:lineRule="auto"/>
      </w:pPr>
      <w:r>
        <w:t>This page is intentionally prepared as a project-report template. The final signatures, dates, and institutional wording should be completed by the department/project guides before submission.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7365D"/>
          </w:tcPr>
          <w:p>
            <w:r/>
            <w:r>
              <w:rPr>
                <w:b/>
                <w:color w:val="FFFFFF"/>
                <w:sz w:val="18"/>
              </w:rPr>
              <w:t>Role</w:t>
            </w:r>
          </w:p>
        </w:tc>
        <w:tc>
          <w:tcPr>
            <w:tcW w:type="dxa" w:w="4464"/>
            <w:vAlign w:val="center"/>
            <w:shd w:fill="17365D"/>
          </w:tcPr>
          <w:p>
            <w:r/>
            <w:r>
              <w:rPr>
                <w:b/>
                <w:color w:val="FFFFFF"/>
                <w:sz w:val="18"/>
              </w:rPr>
              <w:t>Name / Signature</w:t>
            </w:r>
          </w:p>
        </w:tc>
        <w:tc>
          <w:tcPr>
            <w:tcW w:type="dxa" w:w="2016"/>
            <w:vAlign w:val="center"/>
            <w:shd w:fill="17365D"/>
          </w:tcPr>
          <w:p>
            <w:r/>
            <w:r>
              <w:rPr>
                <w:b/>
                <w:color w:val="FFFFFF"/>
                <w:sz w:val="18"/>
              </w:rPr>
              <w:t>Date</w:t>
            </w:r>
          </w:p>
        </w:tc>
      </w:tr>
      <w:tr>
        <w:tc>
          <w:tcPr>
            <w:tcW w:type="dxa" w:w="2880"/>
            <w:vAlign w:val="center"/>
          </w:tcPr>
          <w:p>
            <w:r/>
            <w:r>
              <w:rPr>
                <w:b w:val="0"/>
                <w:sz w:val="18"/>
              </w:rPr>
              <w:t>Project Guide</w:t>
            </w:r>
          </w:p>
        </w:tc>
        <w:tc>
          <w:tcPr>
            <w:tcW w:type="dxa" w:w="4464"/>
            <w:vAlign w:val="center"/>
          </w:tcPr>
          <w:p>
            <w:r/>
            <w:r>
              <w:rPr>
                <w:b w:val="0"/>
                <w:sz w:val="18"/>
              </w:rPr>
              <w:t>Dr. Shalini Lamba</w:t>
            </w:r>
          </w:p>
        </w:tc>
        <w:tc>
          <w:tcPr>
            <w:tcW w:type="dxa" w:w="2016"/>
            <w:vAlign w:val="center"/>
          </w:tcPr>
          <w:p>
            <w:r/>
            <w:r>
              <w:rPr>
                <w:b w:val="0"/>
                <w:sz w:val="18"/>
              </w:rPr>
              <w:t>________________</w:t>
            </w:r>
          </w:p>
        </w:tc>
      </w:tr>
      <w:tr>
        <w:tc>
          <w:tcPr>
            <w:tcW w:type="dxa" w:w="2880"/>
            <w:vAlign w:val="center"/>
          </w:tcPr>
          <w:p>
            <w:r/>
            <w:r>
              <w:rPr>
                <w:b w:val="0"/>
                <w:sz w:val="18"/>
              </w:rPr>
              <w:t>Project Guide</w:t>
            </w:r>
          </w:p>
        </w:tc>
        <w:tc>
          <w:tcPr>
            <w:tcW w:type="dxa" w:w="4464"/>
            <w:vAlign w:val="center"/>
          </w:tcPr>
          <w:p>
            <w:r/>
            <w:r>
              <w:rPr>
                <w:b w:val="0"/>
                <w:sz w:val="18"/>
              </w:rPr>
              <w:t>Mrs. Shweta Sinha</w:t>
            </w:r>
          </w:p>
        </w:tc>
        <w:tc>
          <w:tcPr>
            <w:tcW w:type="dxa" w:w="2016"/>
            <w:vAlign w:val="center"/>
          </w:tcPr>
          <w:p>
            <w:r/>
            <w:r>
              <w:rPr>
                <w:b w:val="0"/>
                <w:sz w:val="18"/>
              </w:rPr>
              <w:t>________________</w:t>
            </w:r>
          </w:p>
        </w:tc>
      </w:tr>
      <w:tr>
        <w:tc>
          <w:tcPr>
            <w:tcW w:type="dxa" w:w="2880"/>
            <w:vAlign w:val="center"/>
          </w:tcPr>
          <w:p>
            <w:r/>
            <w:r>
              <w:rPr>
                <w:b w:val="0"/>
                <w:sz w:val="18"/>
              </w:rPr>
              <w:t>Department / Coordinator</w:t>
            </w:r>
          </w:p>
        </w:tc>
        <w:tc>
          <w:tcPr>
            <w:tcW w:type="dxa" w:w="4464"/>
            <w:vAlign w:val="center"/>
          </w:tcPr>
          <w:p>
            <w:r/>
            <w:r>
              <w:rPr>
                <w:b w:val="0"/>
                <w:sz w:val="18"/>
              </w:rPr>
              <w:t>________________________</w:t>
            </w:r>
          </w:p>
        </w:tc>
        <w:tc>
          <w:tcPr>
            <w:tcW w:type="dxa" w:w="2016"/>
            <w:vAlign w:val="center"/>
          </w:tcPr>
          <w:p>
            <w:r/>
            <w:r>
              <w:rPr>
                <w:b w:val="0"/>
                <w:sz w:val="18"/>
              </w:rPr>
              <w:t>________________</w:t>
            </w:r>
          </w:p>
        </w:tc>
      </w:tr>
    </w:tbl>
    <w:p/>
    <w:p>
      <w:r>
        <w:br w:type="page"/>
      </w:r>
    </w:p>
    <w:p>
      <w:pPr>
        <w:pStyle w:val="Heading1"/>
        <w:keepNext/>
      </w:pPr>
      <w:r>
        <w:t>DECLARATION</w:t>
      </w:r>
    </w:p>
    <w:p>
      <w:pPr>
        <w:spacing w:after="100" w:line="259" w:lineRule="auto"/>
      </w:pPr>
      <w:r>
        <w:t>We declare that the project report titled “MERCHANT CO-PILOT” presents the design, technical analysis, implementation plan, testing strategy, and documented scope of the proposed system developed as part of the Bachelor of Computer Application programme. Wherever external technologies, documentation, or design concepts are referenced, they are identified in the bibliography and technical references.</w:t>
      </w:r>
    </w:p>
    <w:p>
      <w:pPr>
        <w:spacing w:after="100" w:line="259" w:lineRule="auto"/>
      </w:pPr>
      <w:r>
        <w:t>Important reporting note: this report does not invent experimental model scores, deployment statistics, user-study results, or production outcomes that were not supplied in the project materials. Where the project specification leaves a parameter unresolved, this report marks it as a decision to be finalized before the corresponding implementation or experiment.</w:t>
      </w:r>
    </w:p>
    <w:p>
      <w:r>
        <w:br w:type="page"/>
      </w:r>
    </w:p>
    <w:p>
      <w:pPr>
        <w:pStyle w:val="Heading1"/>
        <w:keepNext/>
      </w:pPr>
      <w:r>
        <w:t>ABSTRACT</w:t>
      </w:r>
    </w:p>
    <w:p>
      <w:pPr>
        <w:spacing w:after="100" w:line="259" w:lineRule="auto"/>
      </w:pPr>
      <w:r>
        <w:t>Merchant Co-Pilot is an explainable decision-support platform designed for e-commerce merchants operating Shopify or WooCommerce stores. The system focuses on two measurable business risks: the probability that a Cash-on-Delivery (COD) order will be returned to origin (RTO) and the probability that an existing customer will stop purchasing (churn). It combines two independently trained Logistic Regression classifiers with deterministic downstream business logic for explanation, financial-impact estimation, and recommendations.</w:t>
      </w:r>
    </w:p>
    <w:p>
      <w:pPr>
        <w:spacing w:after="100" w:line="259" w:lineRule="auto"/>
      </w:pPr>
      <w:r>
        <w:t>The proposed architecture receives data through platform integrations, verifies webhooks, normalizes platform-specific records, generates point-in-time feature vectors, invokes a Python-based machine-learning service, and presents risk information through a merchant dashboard. RTO prediction is triggered at the Shipped transition and uses only information available at that time. Churn scoring runs periodically using RFM-derived signals and purchase-interval behaviour. High- and Medium-risk predictions are accompanied by two to three plain-language reasons, a configurable ₹ impact range, and exactly one recommendation selected from a versioned priority-based rule set.</w:t>
      </w:r>
    </w:p>
    <w:p>
      <w:pPr>
        <w:spacing w:after="100" w:line="259" w:lineRule="auto"/>
      </w:pPr>
      <w:r>
        <w:t>The design also includes incremental learning through single SGD updates after verified outcomes and a simulated FedAvg-style collective model that aggregates model weights across stores within a category for cold-start initialization. Tenant isolation, encrypted platform credentials, webhook verification, rate limiting, audit logs, and automated cross-tenant tests are treated as core system requirements.</w:t>
      </w:r>
    </w:p>
    <w:p>
      <w:pPr>
        <w:spacing w:after="100" w:line="259" w:lineRule="auto"/>
      </w:pPr>
      <w:r>
        <w:t>The technical review identified several items that must be frozen against the real dataset before implementation is considered complete: the exact five RTO features, the fifth churn feature, the churn observation/inactivity label window, probability calibration, the ₹ impact formula, and recommendation tie-breaking. These are explicitly documented rather than silently assumed.</w:t>
      </w:r>
    </w:p>
    <w:p>
      <w:r>
        <w:br w:type="page"/>
      </w:r>
    </w:p>
    <w:p>
      <w:pPr>
        <w:pStyle w:val="Heading1"/>
        <w:keepNext/>
      </w:pPr>
      <w:r>
        <w:t>EXECUTIVE SUMMARY</w:t>
      </w:r>
    </w:p>
    <w:p>
      <w:pPr>
        <w:spacing w:after="100" w:line="259" w:lineRule="auto"/>
      </w:pPr>
      <w:r>
        <w:t>The project addresses a common decision gap in e-commerce analytics: historical dashboards tell a merchant what has already happened, while Merchant Co-Pilot is designed to estimate which order or customer requires attention now. Its design intentionally separates probabilistic prediction from deterministic business decisions so that the merchant-facing output can be traced and reproduced.</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r/>
            <w:r>
              <w:rPr>
                <w:b/>
                <w:color w:val="FFFFFF"/>
                <w:sz w:val="17"/>
              </w:rPr>
              <w:t>Area</w:t>
            </w:r>
          </w:p>
        </w:tc>
        <w:tc>
          <w:tcPr>
            <w:tcW w:type="dxa" w:w="6480"/>
            <w:vAlign w:val="center"/>
            <w:shd w:fill="17365D"/>
          </w:tcPr>
          <w:p>
            <w:r/>
            <w:r>
              <w:rPr>
                <w:b/>
                <w:color w:val="FFFFFF"/>
                <w:sz w:val="17"/>
              </w:rPr>
              <w:t>Final report specification</w:t>
            </w:r>
          </w:p>
        </w:tc>
      </w:tr>
      <w:tr>
        <w:tc>
          <w:tcPr>
            <w:tcW w:type="dxa" w:w="2880"/>
            <w:vAlign w:val="center"/>
          </w:tcPr>
          <w:p>
            <w:r/>
            <w:r>
              <w:rPr>
                <w:b w:val="0"/>
                <w:sz w:val="17"/>
              </w:rPr>
              <w:t>Primary users</w:t>
            </w:r>
          </w:p>
        </w:tc>
        <w:tc>
          <w:tcPr>
            <w:tcW w:type="dxa" w:w="6480"/>
            <w:vAlign w:val="center"/>
          </w:tcPr>
          <w:p>
            <w:r/>
            <w:r>
              <w:rPr>
                <w:b w:val="0"/>
                <w:sz w:val="17"/>
              </w:rPr>
              <w:t>E-commerce merchants and store operators</w:t>
            </w:r>
          </w:p>
        </w:tc>
      </w:tr>
      <w:tr>
        <w:tc>
          <w:tcPr>
            <w:tcW w:type="dxa" w:w="2880"/>
            <w:vAlign w:val="center"/>
          </w:tcPr>
          <w:p>
            <w:r/>
            <w:r>
              <w:rPr>
                <w:b w:val="0"/>
                <w:sz w:val="17"/>
              </w:rPr>
              <w:t>Supported platforms</w:t>
            </w:r>
          </w:p>
        </w:tc>
        <w:tc>
          <w:tcPr>
            <w:tcW w:type="dxa" w:w="6480"/>
            <w:vAlign w:val="center"/>
          </w:tcPr>
          <w:p>
            <w:r/>
            <w:r>
              <w:rPr>
                <w:b w:val="0"/>
                <w:sz w:val="17"/>
              </w:rPr>
              <w:t>Shopify and WooCommerce</w:t>
            </w:r>
          </w:p>
        </w:tc>
      </w:tr>
      <w:tr>
        <w:tc>
          <w:tcPr>
            <w:tcW w:type="dxa" w:w="2880"/>
            <w:vAlign w:val="center"/>
          </w:tcPr>
          <w:p>
            <w:r/>
            <w:r>
              <w:rPr>
                <w:b w:val="0"/>
                <w:sz w:val="17"/>
              </w:rPr>
              <w:t>Primary risks</w:t>
            </w:r>
          </w:p>
        </w:tc>
        <w:tc>
          <w:tcPr>
            <w:tcW w:type="dxa" w:w="6480"/>
            <w:vAlign w:val="center"/>
          </w:tcPr>
          <w:p>
            <w:r/>
            <w:r>
              <w:rPr>
                <w:b w:val="0"/>
                <w:sz w:val="17"/>
              </w:rPr>
              <w:t>COD/RTO risk and customer churn risk</w:t>
            </w:r>
          </w:p>
        </w:tc>
      </w:tr>
      <w:tr>
        <w:tc>
          <w:tcPr>
            <w:tcW w:type="dxa" w:w="2880"/>
            <w:vAlign w:val="center"/>
          </w:tcPr>
          <w:p>
            <w:r/>
            <w:r>
              <w:rPr>
                <w:b w:val="0"/>
                <w:sz w:val="17"/>
              </w:rPr>
              <w:t>ML models</w:t>
            </w:r>
          </w:p>
        </w:tc>
        <w:tc>
          <w:tcPr>
            <w:tcW w:type="dxa" w:w="6480"/>
            <w:vAlign w:val="center"/>
          </w:tcPr>
          <w:p>
            <w:r/>
            <w:r>
              <w:rPr>
                <w:b w:val="0"/>
                <w:sz w:val="17"/>
              </w:rPr>
              <w:t>Two independently trained Logistic Regression classifiers</w:t>
            </w:r>
          </w:p>
        </w:tc>
      </w:tr>
      <w:tr>
        <w:tc>
          <w:tcPr>
            <w:tcW w:type="dxa" w:w="2880"/>
            <w:vAlign w:val="center"/>
          </w:tcPr>
          <w:p>
            <w:r/>
            <w:r>
              <w:rPr>
                <w:b w:val="0"/>
                <w:sz w:val="17"/>
              </w:rPr>
              <w:t>Learning</w:t>
            </w:r>
          </w:p>
        </w:tc>
        <w:tc>
          <w:tcPr>
            <w:tcW w:type="dxa" w:w="6480"/>
            <w:vAlign w:val="center"/>
          </w:tcPr>
          <w:p>
            <w:r/>
            <w:r>
              <w:rPr>
                <w:b w:val="0"/>
                <w:sz w:val="17"/>
              </w:rPr>
              <w:t>Per-store SGD-based learning plus category-level simulated FedAvg</w:t>
            </w:r>
          </w:p>
        </w:tc>
      </w:tr>
      <w:tr>
        <w:tc>
          <w:tcPr>
            <w:tcW w:type="dxa" w:w="2880"/>
            <w:vAlign w:val="center"/>
          </w:tcPr>
          <w:p>
            <w:r/>
            <w:r>
              <w:rPr>
                <w:b w:val="0"/>
                <w:sz w:val="17"/>
              </w:rPr>
              <w:t>Decision layer</w:t>
            </w:r>
          </w:p>
        </w:tc>
        <w:tc>
          <w:tcPr>
            <w:tcW w:type="dxa" w:w="6480"/>
            <w:vAlign w:val="center"/>
          </w:tcPr>
          <w:p>
            <w:r/>
            <w:r>
              <w:rPr>
                <w:b w:val="0"/>
                <w:sz w:val="17"/>
              </w:rPr>
              <w:t>Deterministic explanation, ₹ impact, and recommendation engines</w:t>
            </w:r>
          </w:p>
        </w:tc>
      </w:tr>
      <w:tr>
        <w:tc>
          <w:tcPr>
            <w:tcW w:type="dxa" w:w="2880"/>
            <w:vAlign w:val="center"/>
          </w:tcPr>
          <w:p>
            <w:r/>
            <w:r>
              <w:rPr>
                <w:b w:val="0"/>
                <w:sz w:val="17"/>
              </w:rPr>
              <w:t>Frontend</w:t>
            </w:r>
          </w:p>
        </w:tc>
        <w:tc>
          <w:tcPr>
            <w:tcW w:type="dxa" w:w="6480"/>
            <w:vAlign w:val="center"/>
          </w:tcPr>
          <w:p>
            <w:r/>
            <w:r>
              <w:rPr>
                <w:b w:val="0"/>
                <w:sz w:val="17"/>
              </w:rPr>
              <w:t>Next.js</w:t>
            </w:r>
          </w:p>
        </w:tc>
      </w:tr>
      <w:tr>
        <w:tc>
          <w:tcPr>
            <w:tcW w:type="dxa" w:w="2880"/>
            <w:vAlign w:val="center"/>
          </w:tcPr>
          <w:p>
            <w:r/>
            <w:r>
              <w:rPr>
                <w:b w:val="0"/>
                <w:sz w:val="17"/>
              </w:rPr>
              <w:t>Backend</w:t>
            </w:r>
          </w:p>
        </w:tc>
        <w:tc>
          <w:tcPr>
            <w:tcW w:type="dxa" w:w="6480"/>
            <w:vAlign w:val="center"/>
          </w:tcPr>
          <w:p>
            <w:r/>
            <w:r>
              <w:rPr>
                <w:b w:val="0"/>
                <w:sz w:val="17"/>
              </w:rPr>
              <w:t>Node.js 18+ / NestJS</w:t>
            </w:r>
          </w:p>
        </w:tc>
      </w:tr>
      <w:tr>
        <w:tc>
          <w:tcPr>
            <w:tcW w:type="dxa" w:w="2880"/>
            <w:vAlign w:val="center"/>
          </w:tcPr>
          <w:p>
            <w:r/>
            <w:r>
              <w:rPr>
                <w:b w:val="0"/>
                <w:sz w:val="17"/>
              </w:rPr>
              <w:t>ML service</w:t>
            </w:r>
          </w:p>
        </w:tc>
        <w:tc>
          <w:tcPr>
            <w:tcW w:type="dxa" w:w="6480"/>
            <w:vAlign w:val="center"/>
          </w:tcPr>
          <w:p>
            <w:r/>
            <w:r>
              <w:rPr>
                <w:b w:val="0"/>
                <w:sz w:val="17"/>
              </w:rPr>
              <w:t>Python 3.10+ / FastAPI / scikit-learn</w:t>
            </w:r>
          </w:p>
        </w:tc>
      </w:tr>
      <w:tr>
        <w:tc>
          <w:tcPr>
            <w:tcW w:type="dxa" w:w="2880"/>
            <w:vAlign w:val="center"/>
          </w:tcPr>
          <w:p>
            <w:r/>
            <w:r>
              <w:rPr>
                <w:b w:val="0"/>
                <w:sz w:val="17"/>
              </w:rPr>
              <w:t>Database</w:t>
            </w:r>
          </w:p>
        </w:tc>
        <w:tc>
          <w:tcPr>
            <w:tcW w:type="dxa" w:w="6480"/>
            <w:vAlign w:val="center"/>
          </w:tcPr>
          <w:p>
            <w:r/>
            <w:r>
              <w:rPr>
                <w:b w:val="0"/>
                <w:sz w:val="17"/>
              </w:rPr>
              <w:t>PostgreSQL 14+ / Prisma</w:t>
            </w:r>
          </w:p>
        </w:tc>
      </w:tr>
      <w:tr>
        <w:tc>
          <w:tcPr>
            <w:tcW w:type="dxa" w:w="2880"/>
            <w:vAlign w:val="center"/>
          </w:tcPr>
          <w:p>
            <w:r/>
            <w:r>
              <w:rPr>
                <w:b w:val="0"/>
                <w:sz w:val="17"/>
              </w:rPr>
              <w:t>Queue/cache</w:t>
            </w:r>
          </w:p>
        </w:tc>
        <w:tc>
          <w:tcPr>
            <w:tcW w:type="dxa" w:w="6480"/>
            <w:vAlign w:val="center"/>
          </w:tcPr>
          <w:p>
            <w:r/>
            <w:r>
              <w:rPr>
                <w:b w:val="0"/>
                <w:sz w:val="17"/>
              </w:rPr>
              <w:t>Redis 6+ / BullMQ</w:t>
            </w:r>
          </w:p>
        </w:tc>
      </w:tr>
      <w:tr>
        <w:tc>
          <w:tcPr>
            <w:tcW w:type="dxa" w:w="2880"/>
            <w:vAlign w:val="center"/>
          </w:tcPr>
          <w:p>
            <w:r/>
            <w:r>
              <w:rPr>
                <w:b w:val="0"/>
                <w:sz w:val="17"/>
              </w:rPr>
              <w:t>Security</w:t>
            </w:r>
          </w:p>
        </w:tc>
        <w:tc>
          <w:tcPr>
            <w:tcW w:type="dxa" w:w="6480"/>
            <w:vAlign w:val="center"/>
          </w:tcPr>
          <w:p>
            <w:r/>
            <w:r>
              <w:rPr>
                <w:b w:val="0"/>
                <w:sz w:val="17"/>
              </w:rPr>
              <w:t>HTTPS/TLS, encrypted secrets, tenant isolation, webhook verification</w:t>
            </w:r>
          </w:p>
        </w:tc>
      </w:tr>
      <w:tr>
        <w:tc>
          <w:tcPr>
            <w:tcW w:type="dxa" w:w="2880"/>
            <w:vAlign w:val="center"/>
          </w:tcPr>
          <w:p>
            <w:r/>
            <w:r>
              <w:rPr>
                <w:b w:val="0"/>
                <w:sz w:val="17"/>
              </w:rPr>
              <w:t>Evaluation</w:t>
            </w:r>
          </w:p>
        </w:tc>
        <w:tc>
          <w:tcPr>
            <w:tcW w:type="dxa" w:w="6480"/>
            <w:vAlign w:val="center"/>
          </w:tcPr>
          <w:p>
            <w:r/>
            <w:r>
              <w:rPr>
                <w:b w:val="0"/>
                <w:sz w:val="17"/>
              </w:rPr>
              <w:t>Precision, Recall, F1, ROC-AUC, PR-AUC and confusion matrix on temporal holdout</w:t>
            </w:r>
          </w:p>
        </w:tc>
      </w:tr>
    </w:tbl>
    <w:p/>
    <w:p>
      <w:r>
        <w:br w:type="page"/>
      </w:r>
    </w:p>
    <w:p>
      <w:pPr>
        <w:pStyle w:val="Heading1"/>
        <w:keepNext/>
      </w:pPr>
      <w:r>
        <w:t>TABLE OF CONTENTS</w:t>
      </w:r>
    </w:p>
    <w:p>
      <w:pPr>
        <w:pStyle w:val="ListNumber"/>
        <w:spacing w:after="40"/>
      </w:pPr>
      <w:r>
        <w:t>1. Introduction and Background</w:t>
      </w:r>
    </w:p>
    <w:p>
      <w:pPr>
        <w:pStyle w:val="ListNumber"/>
        <w:spacing w:after="40"/>
      </w:pPr>
      <w:r>
        <w:t>2. Problem Statement</w:t>
      </w:r>
    </w:p>
    <w:p>
      <w:pPr>
        <w:pStyle w:val="ListNumber"/>
        <w:spacing w:after="40"/>
      </w:pPr>
      <w:r>
        <w:t>3. Aim and Objectives</w:t>
      </w:r>
    </w:p>
    <w:p>
      <w:pPr>
        <w:pStyle w:val="ListNumber"/>
        <w:spacing w:after="40"/>
      </w:pPr>
      <w:r>
        <w:t>4. Project Category and Scope</w:t>
      </w:r>
    </w:p>
    <w:p>
      <w:pPr>
        <w:pStyle w:val="ListNumber"/>
        <w:spacing w:after="40"/>
      </w:pPr>
      <w:r>
        <w:t>5. Existing System and Proposed System</w:t>
      </w:r>
    </w:p>
    <w:p>
      <w:pPr>
        <w:pStyle w:val="ListNumber"/>
        <w:spacing w:after="40"/>
      </w:pPr>
      <w:r>
        <w:t>6. Feasibility Analysis</w:t>
      </w:r>
    </w:p>
    <w:p>
      <w:pPr>
        <w:pStyle w:val="ListNumber"/>
        <w:spacing w:after="40"/>
      </w:pPr>
      <w:r>
        <w:t>7. Requirements Specification</w:t>
      </w:r>
    </w:p>
    <w:p>
      <w:pPr>
        <w:pStyle w:val="ListNumber"/>
        <w:spacing w:after="40"/>
      </w:pPr>
      <w:r>
        <w:t>8. System Architecture</w:t>
      </w:r>
    </w:p>
    <w:p>
      <w:pPr>
        <w:pStyle w:val="ListNumber"/>
        <w:spacing w:after="40"/>
      </w:pPr>
      <w:r>
        <w:t>9. Detailed Module Design</w:t>
      </w:r>
    </w:p>
    <w:p>
      <w:pPr>
        <w:pStyle w:val="ListNumber"/>
        <w:spacing w:after="40"/>
      </w:pPr>
      <w:r>
        <w:t>10. Data Flow and Use Cases</w:t>
      </w:r>
    </w:p>
    <w:p>
      <w:pPr>
        <w:pStyle w:val="ListNumber"/>
        <w:spacing w:after="40"/>
      </w:pPr>
      <w:r>
        <w:t>11. Database Design</w:t>
      </w:r>
    </w:p>
    <w:p>
      <w:pPr>
        <w:pStyle w:val="ListNumber"/>
        <w:spacing w:after="40"/>
      </w:pPr>
      <w:r>
        <w:t>12. Machine Learning Design</w:t>
      </w:r>
    </w:p>
    <w:p>
      <w:pPr>
        <w:pStyle w:val="ListNumber"/>
        <w:spacing w:after="40"/>
      </w:pPr>
      <w:r>
        <w:t>13. Explainability, Impact and Recommendation Logic</w:t>
      </w:r>
    </w:p>
    <w:p>
      <w:pPr>
        <w:pStyle w:val="ListNumber"/>
        <w:spacing w:after="40"/>
      </w:pPr>
      <w:r>
        <w:t>14. Incremental and Collective Learning</w:t>
      </w:r>
    </w:p>
    <w:p>
      <w:pPr>
        <w:pStyle w:val="ListNumber"/>
        <w:spacing w:after="40"/>
      </w:pPr>
      <w:r>
        <w:t>15. Security, Privacy and Multi-Tenant Isolation</w:t>
      </w:r>
    </w:p>
    <w:p>
      <w:pPr>
        <w:pStyle w:val="ListNumber"/>
        <w:spacing w:after="40"/>
      </w:pPr>
      <w:r>
        <w:t>16. API and Integration Design</w:t>
      </w:r>
    </w:p>
    <w:p>
      <w:pPr>
        <w:pStyle w:val="ListNumber"/>
        <w:spacing w:after="40"/>
      </w:pPr>
      <w:r>
        <w:t>17. User Interface and Dashboard Design</w:t>
      </w:r>
    </w:p>
    <w:p>
      <w:pPr>
        <w:pStyle w:val="ListNumber"/>
        <w:spacing w:after="40"/>
      </w:pPr>
      <w:r>
        <w:t>18. Testing and Quality Assurance</w:t>
      </w:r>
    </w:p>
    <w:p>
      <w:pPr>
        <w:pStyle w:val="ListNumber"/>
        <w:spacing w:after="40"/>
      </w:pPr>
      <w:r>
        <w:t>19. Deployment and Monitoring</w:t>
      </w:r>
    </w:p>
    <w:p>
      <w:pPr>
        <w:pStyle w:val="ListNumber"/>
        <w:spacing w:after="40"/>
      </w:pPr>
      <w:r>
        <w:t>20. Project Schedule and Team Responsibilities</w:t>
      </w:r>
    </w:p>
    <w:p>
      <w:pPr>
        <w:pStyle w:val="ListNumber"/>
        <w:spacing w:after="40"/>
      </w:pPr>
      <w:r>
        <w:t>21. Risks, Limitations and Open Decisions</w:t>
      </w:r>
    </w:p>
    <w:p>
      <w:pPr>
        <w:pStyle w:val="ListNumber"/>
        <w:spacing w:after="40"/>
      </w:pPr>
      <w:r>
        <w:t>22. Expected Outcomes and Acceptance Criteria</w:t>
      </w:r>
    </w:p>
    <w:p>
      <w:pPr>
        <w:pStyle w:val="ListNumber"/>
        <w:spacing w:after="40"/>
      </w:pPr>
      <w:r>
        <w:t>23. Future Enhancements</w:t>
      </w:r>
    </w:p>
    <w:p>
      <w:pPr>
        <w:pStyle w:val="ListNumber"/>
        <w:spacing w:after="40"/>
      </w:pPr>
      <w:r>
        <w:t>24. Conclusion</w:t>
      </w:r>
    </w:p>
    <w:p>
      <w:pPr>
        <w:pStyle w:val="ListNumber"/>
        <w:spacing w:after="40"/>
      </w:pPr>
      <w:r>
        <w:t>25. Bibliography</w:t>
      </w:r>
    </w:p>
    <w:p>
      <w:r>
        <w:br w:type="page"/>
      </w:r>
    </w:p>
    <w:p>
      <w:pPr>
        <w:pStyle w:val="Heading1"/>
        <w:keepNext/>
      </w:pPr>
      <w:r>
        <w:t>1. INTRODUCTION AND BACKGROUND</w:t>
      </w:r>
    </w:p>
    <w:p>
      <w:pPr>
        <w:spacing w:after="100" w:line="259" w:lineRule="auto"/>
      </w:pPr>
      <w:r>
        <w:t>Merchant Co-Pilot is specified as a decision-support platform for merchants who already operate stores on Shopify or WooCommerce. The approved synopsis defines two specific prediction problems: COD orders that may be returned to origin and existing customers who may stop purchasing. The project therefore sits at the intersection of predictive e-commerce analytics and applied machine-learning decision support.</w:t>
      </w:r>
    </w:p>
    <w:p>
      <w:pPr>
        <w:spacing w:after="100" w:line="259" w:lineRule="auto"/>
      </w:pPr>
      <w:r>
        <w:t>The central design principle is explainability. A probability by itself is not sufficient for a merchant-facing decision. The system therefore attaches a short explanation, a financial-impact range, and a single rule-based action to qualifying predictions. This makes the output easier to audit than a system in which a second opaque model directly decides what the merchant should do.</w:t>
      </w:r>
    </w:p>
    <w:p>
      <w:pPr>
        <w:spacing w:after="100" w:line="259" w:lineRule="auto"/>
      </w:pPr>
      <w:r>
        <w:t>The technical planning document further establishes a fixed data pipeline: raw platform data is first normalized, then transformed into point-in-time feature vectors, then scored by the ML service, and only after prediction are the deterministic explanation, impact, and recommendation layers executed. This separation is important because Shopify and WooCommerce expose different field names and event structures.</w:t>
      </w:r>
    </w:p>
    <w:p>
      <w:pPr>
        <w:spacing w:after="100" w:line="259" w:lineRule="auto"/>
      </w:pPr>
      <w:r>
        <w:t>The project is not an autonomous commerce system. It does not process payments, automatically message customers, or cancel orders. Its role is to provide merchant-facing intelligence and recommendations.</w:t>
      </w:r>
    </w:p>
    <w:p>
      <w:pPr>
        <w:pStyle w:val="Heading2"/>
        <w:keepNext/>
      </w:pPr>
      <w:r>
        <w:t>1.1 Background</w:t>
      </w:r>
    </w:p>
    <w:p>
      <w:pPr>
        <w:spacing w:after="100" w:line="259" w:lineRule="auto"/>
      </w:pPr>
      <w:r>
        <w:t>COD creates a business risk because the merchant may incur logistics and reverse-logistics costs when an order is not successfully delivered. Customer churn creates a different risk: revenue opportunities may disappear when a previously active customer stops returning. Both problems can be represented as classification tasks when historical labelled outcomes are available.</w:t>
      </w:r>
    </w:p>
    <w:p>
      <w:pPr>
        <w:pStyle w:val="Heading2"/>
        <w:keepNext/>
      </w:pPr>
      <w:r>
        <w:t>1.2 Design Philosophy</w:t>
      </w:r>
    </w:p>
    <w:p>
      <w:pPr>
        <w:pStyle w:val="ListBullet"/>
        <w:spacing w:after="40"/>
      </w:pPr>
      <w:r>
        <w:t>Predict at a clearly defined decision point rather than after the outcome is known.</w:t>
      </w:r>
    </w:p>
    <w:p>
      <w:pPr>
        <w:pStyle w:val="ListBullet"/>
        <w:spacing w:after="40"/>
      </w:pPr>
      <w:r>
        <w:t>Keep feature engineering consistent between training and serving.</w:t>
      </w:r>
    </w:p>
    <w:p>
      <w:pPr>
        <w:pStyle w:val="ListBullet"/>
        <w:spacing w:after="40"/>
      </w:pPr>
      <w:r>
        <w:t>Use deterministic business rules for explanations, financial impact and recommendations.</w:t>
      </w:r>
    </w:p>
    <w:p>
      <w:pPr>
        <w:pStyle w:val="ListBullet"/>
        <w:spacing w:after="40"/>
      </w:pPr>
      <w:r>
        <w:t>Treat tenant isolation as a system property verified by automated tests.</w:t>
      </w:r>
    </w:p>
    <w:p>
      <w:pPr>
        <w:pStyle w:val="ListBullet"/>
        <w:spacing w:after="40"/>
      </w:pPr>
      <w:r>
        <w:t>Prefer temporal evaluation over random splitting for time-dependent commerce data.</w:t>
      </w:r>
    </w:p>
    <w:p>
      <w:pPr>
        <w:pStyle w:val="ListBullet"/>
        <w:spacing w:after="40"/>
      </w:pPr>
      <w:r>
        <w:t>Version models, thresholds, rules and impact formulas so historical decisions remain auditable.</w:t>
      </w:r>
    </w:p>
    <w:p>
      <w:pPr>
        <w:pStyle w:val="Heading2"/>
        <w:keepNext/>
      </w:pPr>
      <w:r>
        <w:t>1.3 Source Boundary</w:t>
      </w:r>
    </w:p>
    <w:p>
      <w:pPr>
        <w:spacing w:after="100" w:line="259" w:lineRule="auto"/>
      </w:pPr>
      <w:r>
        <w:t>The project synopsis specifies the product scope, modules, technology requirements, team division, schedule, future enhancements and bibliography. The technical planning document adds implementation-level decisions and identifies unresolved design issues. This final report combines those materials while explicitly marking proposed or unresolved elements rather than presenting them as already validated facts.</w:t>
      </w:r>
    </w:p>
    <w:p>
      <w:pPr>
        <w:pStyle w:val="Heading1"/>
        <w:keepNext/>
      </w:pPr>
      <w:r>
        <w:t>2. PROBLEM STATEMENT</w:t>
      </w:r>
    </w:p>
    <w:p>
      <w:pPr>
        <w:spacing w:after="100" w:line="259" w:lineRule="auto"/>
      </w:pPr>
      <w:r>
        <w:t>The project materials identify a gap between historical e-commerce reporting and forward-looking, order-level or customer-level decision support. Standard store reports can show totals such as orders, returns and revenue, but the project proposes a layer that estimates risk for individual COD orders and customers.</w:t>
      </w:r>
    </w:p>
    <w:p>
      <w:pPr>
        <w:pStyle w:val="Heading2"/>
        <w:keepNext/>
      </w:pPr>
      <w:r>
        <w:t>2.1 Core Problems</w:t>
      </w:r>
    </w:p>
    <w:p>
      <w:pPr>
        <w:pStyle w:val="ListNumber"/>
        <w:spacing w:after="40"/>
      </w:pPr>
      <w:r>
        <w:t>Identify COD orders with elevated RTO probability at the moment they are marked Shipped.</w:t>
      </w:r>
    </w:p>
    <w:p>
      <w:pPr>
        <w:pStyle w:val="ListNumber"/>
        <w:spacing w:after="40"/>
      </w:pPr>
      <w:r>
        <w:t>Identify existing customers with elevated churn probability at scheduled scoring times.</w:t>
      </w:r>
    </w:p>
    <w:p>
      <w:pPr>
        <w:pStyle w:val="ListNumber"/>
        <w:spacing w:after="40"/>
      </w:pPr>
      <w:r>
        <w:t>Explain why a prediction is elevated in language understandable to a merchant.</w:t>
      </w:r>
    </w:p>
    <w:p>
      <w:pPr>
        <w:pStyle w:val="ListNumber"/>
        <w:spacing w:after="40"/>
      </w:pPr>
      <w:r>
        <w:t>Translate prediction risk into a configurable financial-impact range.</w:t>
      </w:r>
    </w:p>
    <w:p>
      <w:pPr>
        <w:pStyle w:val="ListNumber"/>
        <w:spacing w:after="40"/>
      </w:pPr>
      <w:r>
        <w:t>Generate exactly one action using deterministic, versioned rules.</w:t>
      </w:r>
    </w:p>
    <w:p>
      <w:pPr>
        <w:pStyle w:val="ListNumber"/>
        <w:spacing w:after="40"/>
      </w:pPr>
      <w:r>
        <w:t>Allow models to learn from newly verified outcomes without complete retraining.</w:t>
      </w:r>
    </w:p>
    <w:p>
      <w:pPr>
        <w:pStyle w:val="ListNumber"/>
        <w:spacing w:after="40"/>
      </w:pPr>
      <w:r>
        <w:t>Reduce cold-start difficulty for new stores using category-level collective model weights.</w:t>
      </w:r>
    </w:p>
    <w:p>
      <w:pPr>
        <w:pStyle w:val="ListNumber"/>
        <w:spacing w:after="40"/>
      </w:pPr>
      <w:r>
        <w:t>Prevent data from one merchant/store from being accessed or modified by another.</w:t>
      </w:r>
    </w:p>
    <w:p>
      <w:pPr>
        <w:pStyle w:val="Heading2"/>
        <w:keepNext/>
      </w:pPr>
      <w:r>
        <w:t>2.2 Why Accuracy Alone Is Insufficient</w:t>
      </w:r>
    </w:p>
    <w:p>
      <w:pPr>
        <w:spacing w:after="100" w:line="259" w:lineRule="auto"/>
      </w:pPr>
      <w:r>
        <w:t>The technical review correctly highlights class imbalance as a major RTO evaluation issue. If RTO is relatively uncommon, a classifier that predicts the majority class for every order can still obtain high raw accuracy while failing to identify actual RTO cases. The project therefore specifies Precision, Recall, F1, ROC-AUC, PR-AUC and a confusion matrix, with a temporal holdout.</w:t>
      </w:r>
    </w:p>
    <w:p>
      <w:pPr>
        <w:spacing w:after="100" w:line="259" w:lineRule="auto"/>
      </w:pPr>
      <w:r>
        <w:t>No numerical performance result is claimed in this report because the supplied project materials do not include a completed training dataset or measured experiment results.</w:t>
      </w:r>
    </w:p>
    <w:p>
      <w:pPr>
        <w:pStyle w:val="Heading1"/>
        <w:keepNext/>
      </w:pPr>
      <w:r>
        <w:t>3. AIM AND OBJECTIVES</w:t>
      </w:r>
    </w:p>
    <w:p>
      <w:pPr>
        <w:pStyle w:val="Heading2"/>
        <w:keepNext/>
      </w:pPr>
      <w:r>
        <w:t>3.1 Aim</w:t>
      </w:r>
    </w:p>
    <w:p>
      <w:pPr>
        <w:spacing w:after="100" w:line="259" w:lineRule="auto"/>
      </w:pPr>
      <w:r>
        <w:t>To design and implement an explainable machine-learning decision-support platform that integrates with Shopify and WooCommerce, predicts COD/RTO and customer-churn risks, quantifies potential financial impact, and provides deterministic merchant-facing recommendations while maintaining strict store-level data isolation.</w:t>
      </w:r>
    </w:p>
    <w:p>
      <w:pPr>
        <w:pStyle w:val="Heading2"/>
        <w:keepNext/>
      </w:pPr>
      <w:r>
        <w:t>3.2 Functional Objectives</w:t>
      </w:r>
    </w:p>
    <w:p>
      <w:pPr>
        <w:pStyle w:val="ListBullet"/>
        <w:spacing w:after="40"/>
      </w:pPr>
      <w:r>
        <w:t>Register and authenticate merchants and manage one or more stores.</w:t>
      </w:r>
    </w:p>
    <w:p>
      <w:pPr>
        <w:pStyle w:val="ListBullet"/>
        <w:spacing w:after="40"/>
      </w:pPr>
      <w:r>
        <w:t>Connect Shopify and WooCommerce using platform-specific adapters.</w:t>
      </w:r>
    </w:p>
    <w:p>
      <w:pPr>
        <w:pStyle w:val="ListBullet"/>
        <w:spacing w:after="40"/>
      </w:pPr>
      <w:r>
        <w:t>Verify incoming webhooks before processing and make event processing idempotent.</w:t>
      </w:r>
    </w:p>
    <w:p>
      <w:pPr>
        <w:pStyle w:val="ListBullet"/>
        <w:spacing w:after="40"/>
      </w:pPr>
      <w:r>
        <w:t>Normalize platform-specific order and customer data.</w:t>
      </w:r>
    </w:p>
    <w:p>
      <w:pPr>
        <w:pStyle w:val="ListBullet"/>
        <w:spacing w:after="40"/>
      </w:pPr>
      <w:r>
        <w:t>Generate point-in-time RTO and churn features.</w:t>
      </w:r>
    </w:p>
    <w:p>
      <w:pPr>
        <w:pStyle w:val="ListBullet"/>
        <w:spacing w:after="40"/>
      </w:pPr>
      <w:r>
        <w:t>Predict RTO risk at the Shipped transition.</w:t>
      </w:r>
    </w:p>
    <w:p>
      <w:pPr>
        <w:pStyle w:val="ListBullet"/>
        <w:spacing w:after="40"/>
      </w:pPr>
      <w:r>
        <w:t>Run scheduled churn scoring.</w:t>
      </w:r>
    </w:p>
    <w:p>
      <w:pPr>
        <w:pStyle w:val="ListBullet"/>
        <w:spacing w:after="40"/>
      </w:pPr>
      <w:r>
        <w:t>Display 2–3 ranked reasons for High/Medium predictions.</w:t>
      </w:r>
    </w:p>
    <w:p>
      <w:pPr>
        <w:pStyle w:val="ListBullet"/>
        <w:spacing w:after="40"/>
      </w:pPr>
      <w:r>
        <w:t>Estimate a configurable ₹ impact range.</w:t>
      </w:r>
    </w:p>
    <w:p>
      <w:pPr>
        <w:pStyle w:val="ListBullet"/>
        <w:spacing w:after="40"/>
      </w:pPr>
      <w:r>
        <w:t>Generate exactly one recommendation from a versioned rule base.</w:t>
      </w:r>
    </w:p>
    <w:p>
      <w:pPr>
        <w:pStyle w:val="ListBullet"/>
        <w:spacing w:after="40"/>
      </w:pPr>
      <w:r>
        <w:t>Perform one incremental SGD update after a verified outcome.</w:t>
      </w:r>
    </w:p>
    <w:p>
      <w:pPr>
        <w:pStyle w:val="ListBullet"/>
        <w:spacing w:after="40"/>
      </w:pPr>
      <w:r>
        <w:t>Aggregate category-level model weights weekly for cold-start support.</w:t>
      </w:r>
    </w:p>
    <w:p>
      <w:pPr>
        <w:pStyle w:val="ListBullet"/>
        <w:spacing w:after="40"/>
      </w:pPr>
      <w:r>
        <w:t>Enforce tenant isolation and test it automatically.</w:t>
      </w:r>
    </w:p>
    <w:p>
      <w:pPr>
        <w:pStyle w:val="Heading1"/>
        <w:keepNext/>
      </w:pPr>
      <w:r>
        <w:t>4. PROJECT CATEGORY AND SCOPE</w:t>
      </w:r>
    </w:p>
    <w:p>
      <w:pPr>
        <w:spacing w:after="100" w:line="259" w:lineRule="auto"/>
      </w:pPr>
      <w:r>
        <w:t>The synopsis classifies Merchant Co-Pilot under two categories: Predictive E-Commerce Analytics and Applied Machine Learning Decision Support System.</w:t>
      </w:r>
    </w:p>
    <w:p>
      <w:pPr>
        <w:pStyle w:val="Heading2"/>
        <w:keepNext/>
      </w:pPr>
      <w:r>
        <w:t>4.1 In-Scope</w:t>
      </w:r>
    </w:p>
    <w:p>
      <w:pPr>
        <w:pStyle w:val="ListBullet"/>
        <w:spacing w:after="40"/>
      </w:pPr>
      <w:r>
        <w:t>Shopify and WooCommerce integration.</w:t>
      </w:r>
    </w:p>
    <w:p>
      <w:pPr>
        <w:pStyle w:val="ListBullet"/>
        <w:spacing w:after="40"/>
      </w:pPr>
      <w:r>
        <w:t>COD/RTO prediction.</w:t>
      </w:r>
    </w:p>
    <w:p>
      <w:pPr>
        <w:pStyle w:val="ListBullet"/>
        <w:spacing w:after="40"/>
      </w:pPr>
      <w:r>
        <w:t>Customer churn prediction.</w:t>
      </w:r>
    </w:p>
    <w:p>
      <w:pPr>
        <w:pStyle w:val="ListBullet"/>
        <w:spacing w:after="40"/>
      </w:pPr>
      <w:r>
        <w:t>Marketing spend efficiency analysis.</w:t>
      </w:r>
    </w:p>
    <w:p>
      <w:pPr>
        <w:pStyle w:val="ListBullet"/>
        <w:spacing w:after="40"/>
      </w:pPr>
      <w:r>
        <w:t>Explainability.</w:t>
      </w:r>
    </w:p>
    <w:p>
      <w:pPr>
        <w:pStyle w:val="ListBullet"/>
        <w:spacing w:after="40"/>
      </w:pPr>
      <w:r>
        <w:t>₹ impact estimation.</w:t>
      </w:r>
    </w:p>
    <w:p>
      <w:pPr>
        <w:pStyle w:val="ListBullet"/>
        <w:spacing w:after="40"/>
      </w:pPr>
      <w:r>
        <w:t>Recommendation/decision engine.</w:t>
      </w:r>
    </w:p>
    <w:p>
      <w:pPr>
        <w:pStyle w:val="ListBullet"/>
        <w:spacing w:after="40"/>
      </w:pPr>
      <w:r>
        <w:t>Incremental learning.</w:t>
      </w:r>
    </w:p>
    <w:p>
      <w:pPr>
        <w:pStyle w:val="ListBullet"/>
        <w:spacing w:after="40"/>
      </w:pPr>
      <w:r>
        <w:t>Simulated FedAvg-style collective learning.</w:t>
      </w:r>
    </w:p>
    <w:p>
      <w:pPr>
        <w:pStyle w:val="ListBullet"/>
        <w:spacing w:after="40"/>
      </w:pPr>
      <w:r>
        <w:t>Privacy and security.</w:t>
      </w:r>
    </w:p>
    <w:p>
      <w:pPr>
        <w:pStyle w:val="ListBullet"/>
        <w:spacing w:after="40"/>
      </w:pPr>
      <w:r>
        <w:t>Merchant dashboard.</w:t>
      </w:r>
    </w:p>
    <w:p>
      <w:pPr>
        <w:pStyle w:val="Heading2"/>
        <w:keepNext/>
      </w:pPr>
      <w:r>
        <w:t>4.2 Out-of-Scope</w:t>
      </w:r>
    </w:p>
    <w:p>
      <w:pPr>
        <w:pStyle w:val="ListBullet"/>
        <w:spacing w:after="40"/>
      </w:pPr>
      <w:r>
        <w:t>Direct payment processing.</w:t>
      </w:r>
    </w:p>
    <w:p>
      <w:pPr>
        <w:pStyle w:val="ListBullet"/>
        <w:spacing w:after="40"/>
      </w:pPr>
      <w:r>
        <w:t>Autonomous customer messaging.</w:t>
      </w:r>
    </w:p>
    <w:p>
      <w:pPr>
        <w:pStyle w:val="ListBullet"/>
        <w:spacing w:after="40"/>
      </w:pPr>
      <w:r>
        <w:t>Automatic order cancellation.</w:t>
      </w:r>
    </w:p>
    <w:p>
      <w:pPr>
        <w:pStyle w:val="ListBullet"/>
        <w:spacing w:after="40"/>
      </w:pPr>
      <w:r>
        <w:t>Replacing the merchant's commerce platform.</w:t>
      </w:r>
    </w:p>
    <w:p>
      <w:pPr>
        <w:pStyle w:val="ListBullet"/>
        <w:spacing w:after="40"/>
      </w:pPr>
      <w:r>
        <w:t>Claims of formal privacy guarantees from model-weight sharing alone.</w:t>
      </w:r>
    </w:p>
    <w:p>
      <w:pPr>
        <w:pStyle w:val="Heading2"/>
        <w:keepNext/>
      </w:pPr>
      <w:r>
        <w:t>4.3 Scope Interpretation</w:t>
      </w:r>
    </w:p>
    <w:p>
      <w:pPr>
        <w:spacing w:after="100" w:line="259" w:lineRule="auto"/>
      </w:pPr>
      <w:r>
        <w:t>The system recommends actions but does not execute those actions autonomously. This boundary keeps the platform within decision support and makes human merchant control explicit.</w:t>
      </w:r>
    </w:p>
    <w:p>
      <w:pPr>
        <w:pStyle w:val="Heading1"/>
        <w:keepNext/>
      </w:pPr>
      <w:r>
        <w:t>5. EXISTING SYSTEM AND PROPOSED SYSTEM</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7365D"/>
          </w:tcPr>
          <w:p>
            <w:r/>
            <w:r>
              <w:rPr>
                <w:b/>
                <w:color w:val="FFFFFF"/>
                <w:sz w:val="15"/>
              </w:rPr>
              <w:t>Aspect</w:t>
            </w:r>
          </w:p>
        </w:tc>
        <w:tc>
          <w:tcPr>
            <w:tcW w:type="dxa" w:w="3600"/>
            <w:vAlign w:val="center"/>
            <w:shd w:fill="17365D"/>
          </w:tcPr>
          <w:p>
            <w:r/>
            <w:r>
              <w:rPr>
                <w:b/>
                <w:color w:val="FFFFFF"/>
                <w:sz w:val="15"/>
              </w:rPr>
              <w:t>Existing / baseline situation described in synopsis</w:t>
            </w:r>
          </w:p>
        </w:tc>
        <w:tc>
          <w:tcPr>
            <w:tcW w:type="dxa" w:w="4032"/>
            <w:vAlign w:val="center"/>
            <w:shd w:fill="17365D"/>
          </w:tcPr>
          <w:p>
            <w:r/>
            <w:r>
              <w:rPr>
                <w:b/>
                <w:color w:val="FFFFFF"/>
                <w:sz w:val="15"/>
              </w:rPr>
              <w:t>Merchant Co-Pilot design</w:t>
            </w:r>
          </w:p>
        </w:tc>
      </w:tr>
      <w:tr>
        <w:tc>
          <w:tcPr>
            <w:tcW w:type="dxa" w:w="1728"/>
            <w:vAlign w:val="center"/>
          </w:tcPr>
          <w:p>
            <w:r/>
            <w:r>
              <w:rPr>
                <w:b w:val="0"/>
                <w:sz w:val="15"/>
              </w:rPr>
              <w:t>Reporting</w:t>
            </w:r>
          </w:p>
        </w:tc>
        <w:tc>
          <w:tcPr>
            <w:tcW w:type="dxa" w:w="3600"/>
            <w:vAlign w:val="center"/>
          </w:tcPr>
          <w:p>
            <w:r/>
            <w:r>
              <w:rPr>
                <w:b w:val="0"/>
                <w:sz w:val="15"/>
              </w:rPr>
              <w:t>Historical totals and reports</w:t>
            </w:r>
          </w:p>
        </w:tc>
        <w:tc>
          <w:tcPr>
            <w:tcW w:type="dxa" w:w="4032"/>
            <w:vAlign w:val="center"/>
          </w:tcPr>
          <w:p>
            <w:r/>
            <w:r>
              <w:rPr>
                <w:b w:val="0"/>
                <w:sz w:val="15"/>
              </w:rPr>
              <w:t>Historical + predictive risk views</w:t>
            </w:r>
          </w:p>
        </w:tc>
      </w:tr>
      <w:tr>
        <w:tc>
          <w:tcPr>
            <w:tcW w:type="dxa" w:w="1728"/>
            <w:vAlign w:val="center"/>
          </w:tcPr>
          <w:p>
            <w:r/>
            <w:r>
              <w:rPr>
                <w:b w:val="0"/>
                <w:sz w:val="15"/>
              </w:rPr>
              <w:t>RTO</w:t>
            </w:r>
          </w:p>
        </w:tc>
        <w:tc>
          <w:tcPr>
            <w:tcW w:type="dxa" w:w="3600"/>
            <w:vAlign w:val="center"/>
          </w:tcPr>
          <w:p>
            <w:r/>
            <w:r>
              <w:rPr>
                <w:b w:val="0"/>
                <w:sz w:val="15"/>
              </w:rPr>
              <w:t>Reactive return tracking</w:t>
            </w:r>
          </w:p>
        </w:tc>
        <w:tc>
          <w:tcPr>
            <w:tcW w:type="dxa" w:w="4032"/>
            <w:vAlign w:val="center"/>
          </w:tcPr>
          <w:p>
            <w:r/>
            <w:r>
              <w:rPr>
                <w:b w:val="0"/>
                <w:sz w:val="15"/>
              </w:rPr>
              <w:t>Order-level probability at Shipped</w:t>
            </w:r>
          </w:p>
        </w:tc>
      </w:tr>
      <w:tr>
        <w:tc>
          <w:tcPr>
            <w:tcW w:type="dxa" w:w="1728"/>
            <w:vAlign w:val="center"/>
          </w:tcPr>
          <w:p>
            <w:r/>
            <w:r>
              <w:rPr>
                <w:b w:val="0"/>
                <w:sz w:val="15"/>
              </w:rPr>
              <w:t>Churn</w:t>
            </w:r>
          </w:p>
        </w:tc>
        <w:tc>
          <w:tcPr>
            <w:tcW w:type="dxa" w:w="3600"/>
            <w:vAlign w:val="center"/>
          </w:tcPr>
          <w:p>
            <w:r/>
            <w:r>
              <w:rPr>
                <w:b w:val="0"/>
                <w:sz w:val="15"/>
              </w:rPr>
              <w:t>Historical customer behaviour</w:t>
            </w:r>
          </w:p>
        </w:tc>
        <w:tc>
          <w:tcPr>
            <w:tcW w:type="dxa" w:w="4032"/>
            <w:vAlign w:val="center"/>
          </w:tcPr>
          <w:p>
            <w:r/>
            <w:r>
              <w:rPr>
                <w:b w:val="0"/>
                <w:sz w:val="15"/>
              </w:rPr>
              <w:t>Scheduled customer risk scoring</w:t>
            </w:r>
          </w:p>
        </w:tc>
      </w:tr>
      <w:tr>
        <w:tc>
          <w:tcPr>
            <w:tcW w:type="dxa" w:w="1728"/>
            <w:vAlign w:val="center"/>
          </w:tcPr>
          <w:p>
            <w:r/>
            <w:r>
              <w:rPr>
                <w:b w:val="0"/>
                <w:sz w:val="15"/>
              </w:rPr>
              <w:t>Explanation</w:t>
            </w:r>
          </w:p>
        </w:tc>
        <w:tc>
          <w:tcPr>
            <w:tcW w:type="dxa" w:w="3600"/>
            <w:vAlign w:val="center"/>
          </w:tcPr>
          <w:p>
            <w:r/>
            <w:r>
              <w:rPr>
                <w:b w:val="0"/>
                <w:sz w:val="15"/>
              </w:rPr>
              <w:t>Not central to normal store reporting</w:t>
            </w:r>
          </w:p>
        </w:tc>
        <w:tc>
          <w:tcPr>
            <w:tcW w:type="dxa" w:w="4032"/>
            <w:vAlign w:val="center"/>
          </w:tcPr>
          <w:p>
            <w:r/>
            <w:r>
              <w:rPr>
                <w:b w:val="0"/>
                <w:sz w:val="15"/>
              </w:rPr>
              <w:t>2–3 ranked reasons for qualifying risks</w:t>
            </w:r>
          </w:p>
        </w:tc>
      </w:tr>
      <w:tr>
        <w:tc>
          <w:tcPr>
            <w:tcW w:type="dxa" w:w="1728"/>
            <w:vAlign w:val="center"/>
          </w:tcPr>
          <w:p>
            <w:r/>
            <w:r>
              <w:rPr>
                <w:b w:val="0"/>
                <w:sz w:val="15"/>
              </w:rPr>
              <w:t>Financial view</w:t>
            </w:r>
          </w:p>
        </w:tc>
        <w:tc>
          <w:tcPr>
            <w:tcW w:type="dxa" w:w="3600"/>
            <w:vAlign w:val="center"/>
          </w:tcPr>
          <w:p>
            <w:r/>
            <w:r>
              <w:rPr>
                <w:b w:val="0"/>
                <w:sz w:val="15"/>
              </w:rPr>
              <w:t>Revenue/cost reporting</w:t>
            </w:r>
          </w:p>
        </w:tc>
        <w:tc>
          <w:tcPr>
            <w:tcW w:type="dxa" w:w="4032"/>
            <w:vAlign w:val="center"/>
          </w:tcPr>
          <w:p>
            <w:r/>
            <w:r>
              <w:rPr>
                <w:b w:val="0"/>
                <w:sz w:val="15"/>
              </w:rPr>
              <w:t>Prediction-linked configurable ₹ range</w:t>
            </w:r>
          </w:p>
        </w:tc>
      </w:tr>
      <w:tr>
        <w:tc>
          <w:tcPr>
            <w:tcW w:type="dxa" w:w="1728"/>
            <w:vAlign w:val="center"/>
          </w:tcPr>
          <w:p>
            <w:r/>
            <w:r>
              <w:rPr>
                <w:b w:val="0"/>
                <w:sz w:val="15"/>
              </w:rPr>
              <w:t>Recommendation</w:t>
            </w:r>
          </w:p>
        </w:tc>
        <w:tc>
          <w:tcPr>
            <w:tcW w:type="dxa" w:w="3600"/>
            <w:vAlign w:val="center"/>
          </w:tcPr>
          <w:p>
            <w:r/>
            <w:r>
              <w:rPr>
                <w:b w:val="0"/>
                <w:sz w:val="15"/>
              </w:rPr>
              <w:t>Merchant decides from reports</w:t>
            </w:r>
          </w:p>
        </w:tc>
        <w:tc>
          <w:tcPr>
            <w:tcW w:type="dxa" w:w="4032"/>
            <w:vAlign w:val="center"/>
          </w:tcPr>
          <w:p>
            <w:r/>
            <w:r>
              <w:rPr>
                <w:b w:val="0"/>
                <w:sz w:val="15"/>
              </w:rPr>
              <w:t>Exactly one deterministic rule-based action</w:t>
            </w:r>
          </w:p>
        </w:tc>
      </w:tr>
      <w:tr>
        <w:tc>
          <w:tcPr>
            <w:tcW w:type="dxa" w:w="1728"/>
            <w:vAlign w:val="center"/>
          </w:tcPr>
          <w:p>
            <w:r/>
            <w:r>
              <w:rPr>
                <w:b w:val="0"/>
                <w:sz w:val="15"/>
              </w:rPr>
              <w:t>Learning</w:t>
            </w:r>
          </w:p>
        </w:tc>
        <w:tc>
          <w:tcPr>
            <w:tcW w:type="dxa" w:w="3600"/>
            <w:vAlign w:val="center"/>
          </w:tcPr>
          <w:p>
            <w:r/>
            <w:r>
              <w:rPr>
                <w:b w:val="0"/>
                <w:sz w:val="15"/>
              </w:rPr>
              <w:t>Static reports</w:t>
            </w:r>
          </w:p>
        </w:tc>
        <w:tc>
          <w:tcPr>
            <w:tcW w:type="dxa" w:w="4032"/>
            <w:vAlign w:val="center"/>
          </w:tcPr>
          <w:p>
            <w:r/>
            <w:r>
              <w:rPr>
                <w:b w:val="0"/>
                <w:sz w:val="15"/>
              </w:rPr>
              <w:t>Incremental SGD + collective cold-start model</w:t>
            </w:r>
          </w:p>
        </w:tc>
      </w:tr>
      <w:tr>
        <w:tc>
          <w:tcPr>
            <w:tcW w:type="dxa" w:w="1728"/>
            <w:vAlign w:val="center"/>
          </w:tcPr>
          <w:p>
            <w:r/>
            <w:r>
              <w:rPr>
                <w:b w:val="0"/>
                <w:sz w:val="15"/>
              </w:rPr>
              <w:t>Multi-store security</w:t>
            </w:r>
          </w:p>
        </w:tc>
        <w:tc>
          <w:tcPr>
            <w:tcW w:type="dxa" w:w="3600"/>
            <w:vAlign w:val="center"/>
          </w:tcPr>
          <w:p>
            <w:r/>
            <w:r>
              <w:rPr>
                <w:b w:val="0"/>
                <w:sz w:val="15"/>
              </w:rPr>
              <w:t>Platform-specific controls</w:t>
            </w:r>
          </w:p>
        </w:tc>
        <w:tc>
          <w:tcPr>
            <w:tcW w:type="dxa" w:w="4032"/>
            <w:vAlign w:val="center"/>
          </w:tcPr>
          <w:p>
            <w:r/>
            <w:r>
              <w:rPr>
                <w:b w:val="0"/>
                <w:sz w:val="15"/>
              </w:rPr>
              <w:t>Application-level store_id isolation + tests</w:t>
            </w:r>
          </w:p>
        </w:tc>
      </w:tr>
    </w:tbl>
    <w:p/>
    <w:p>
      <w:pPr>
        <w:pStyle w:val="Heading2"/>
        <w:keepNext/>
      </w:pPr>
      <w:r>
        <w:t>5.1 Proposed System Advantage in Design Terms</w:t>
      </w:r>
    </w:p>
    <w:p>
      <w:pPr>
        <w:spacing w:after="100" w:line="259" w:lineRule="auto"/>
      </w:pPr>
      <w:r>
        <w:t>The principal architectural distinction is not that the system uses a complex deep-learning model. Instead, it combines relatively interpretable Logistic Regression classifiers with a carefully controlled decision-support pipeline. This supports auditability, incremental SGD updates, and understandable feature contributions.</w:t>
      </w:r>
    </w:p>
    <w:p>
      <w:pPr>
        <w:pStyle w:val="Heading1"/>
        <w:keepNext/>
      </w:pPr>
      <w:r>
        <w:t>6. FEASIBILITY ANALYSIS</w:t>
      </w:r>
    </w:p>
    <w:p>
      <w:pPr>
        <w:pStyle w:val="Heading2"/>
        <w:keepNext/>
      </w:pPr>
      <w:r>
        <w:t>6.1 Technical Feasibility</w:t>
      </w:r>
    </w:p>
    <w:p>
      <w:pPr>
        <w:spacing w:after="100" w:line="259" w:lineRule="auto"/>
      </w:pPr>
      <w:r>
        <w:t>The proposed technology stack is based on mature web, database, queue, and machine-learning components. Next.js can provide the merchant dashboard; NestJS can coordinate authentication, integrations and business APIs; FastAPI can expose feature and prediction services; PostgreSQL can persist normalized commerce and prediction records; and Redis/BullMQ can handle asynchronous synchronization and scheduled jobs.</w:t>
      </w:r>
    </w:p>
    <w:p>
      <w:pPr>
        <w:pStyle w:val="Heading2"/>
        <w:keepNext/>
      </w:pPr>
      <w:r>
        <w:t>6.2 Operational Feasibility</w:t>
      </w:r>
    </w:p>
    <w:p>
      <w:pPr>
        <w:spacing w:after="100" w:line="259" w:lineRule="auto"/>
      </w:pPr>
      <w:r>
        <w:t>The system is designed around existing merchant data. The synopsis explicitly states that no new data collection process is required for the core prediction layer. The main operational dependency is the availability and quality of historical labelled outcomes and sufficient order/customer history.</w:t>
      </w:r>
    </w:p>
    <w:p>
      <w:pPr>
        <w:pStyle w:val="Heading2"/>
        <w:keepNext/>
      </w:pPr>
      <w:r>
        <w:t>6.3 Economic Feasibility</w:t>
      </w:r>
    </w:p>
    <w:p>
      <w:pPr>
        <w:spacing w:after="100" w:line="259" w:lineRule="auto"/>
      </w:pPr>
      <w:r>
        <w:t>The proposed architecture uses widely available open-source technologies. The project materials do not provide a completed cost model for hosting, API usage, monitoring, or third-party platform fees, so a production economic assessment remains to be completed.</w:t>
      </w:r>
    </w:p>
    <w:p>
      <w:pPr>
        <w:pStyle w:val="Heading2"/>
        <w:keepNext/>
      </w:pPr>
      <w:r>
        <w:t>6.4 Schedule Feasibility</w:t>
      </w:r>
    </w:p>
    <w:p>
      <w:pPr>
        <w:spacing w:after="100" w:line="259" w:lineRule="auto"/>
      </w:pPr>
      <w:r>
        <w:t>The synopsis proposes a November–March schedule covering requirements, design, coding/unit testing, testing, documentation, implementation and maintenance. The technical document refines this into twelve implementation phases.</w:t>
      </w:r>
    </w:p>
    <w:p>
      <w:pPr>
        <w:pStyle w:val="Heading2"/>
        <w:keepNext/>
      </w:pPr>
      <w:r>
        <w:t>6.5 Data Feasibility</w:t>
      </w:r>
    </w:p>
    <w:p>
      <w:pPr>
        <w:spacing w:after="100" w:line="259" w:lineRule="auto"/>
      </w:pPr>
      <w:r>
        <w:t>Data feasibility is the largest experimental dependency. The design requires historical order/customer outcomes, timestamps, order values, payment method information, and other fields sufficient to compute the final feature vectors. The supplied materials do not include a final training dataset; therefore, feature availability and label prevalence must be validated before model training.</w:t>
      </w:r>
    </w:p>
    <w:p>
      <w:pPr>
        <w:pStyle w:val="Heading1"/>
        <w:keepNext/>
      </w:pPr>
      <w:r>
        <w:t>7. REQUIREMENTS SPECIFICATION</w:t>
      </w:r>
    </w:p>
    <w:p>
      <w:pPr>
        <w:pStyle w:val="Heading2"/>
        <w:keepNext/>
      </w:pPr>
      <w:r>
        <w:t>7.1 Functional Requirements</w:t>
      </w:r>
    </w:p>
    <w:tbl>
      <w:tblPr>
        <w:tblStyle w:val="TableGrid"/>
        <w:tblW w:type="auto" w:w="0"/>
        <w:jc w:val="center"/>
        <w:tblLook w:firstColumn="1" w:firstRow="1" w:lastColumn="0" w:lastRow="0" w:noHBand="0" w:noVBand="1" w:val="04A0"/>
      </w:tblPr>
      <w:tblGrid>
        <w:gridCol w:w="4968"/>
        <w:gridCol w:w="4968"/>
      </w:tblGrid>
      <w:tr>
        <w:tc>
          <w:tcPr>
            <w:tcW w:type="dxa" w:w="1440"/>
            <w:vAlign w:val="center"/>
            <w:shd w:fill="17365D"/>
          </w:tcPr>
          <w:p>
            <w:r/>
            <w:r>
              <w:rPr>
                <w:b/>
                <w:color w:val="FFFFFF"/>
                <w:sz w:val="16"/>
              </w:rPr>
              <w:t>ID</w:t>
            </w:r>
          </w:p>
        </w:tc>
        <w:tc>
          <w:tcPr>
            <w:tcW w:type="dxa" w:w="7920"/>
            <w:vAlign w:val="center"/>
            <w:shd w:fill="17365D"/>
          </w:tcPr>
          <w:p>
            <w:r/>
            <w:r>
              <w:rPr>
                <w:b/>
                <w:color w:val="FFFFFF"/>
                <w:sz w:val="16"/>
              </w:rPr>
              <w:t>Requirement</w:t>
            </w:r>
          </w:p>
        </w:tc>
      </w:tr>
      <w:tr>
        <w:tc>
          <w:tcPr>
            <w:tcW w:type="dxa" w:w="1440"/>
            <w:vAlign w:val="center"/>
          </w:tcPr>
          <w:p>
            <w:r/>
            <w:r>
              <w:rPr>
                <w:b w:val="0"/>
                <w:sz w:val="16"/>
              </w:rPr>
              <w:t>FR-01</w:t>
            </w:r>
          </w:p>
        </w:tc>
        <w:tc>
          <w:tcPr>
            <w:tcW w:type="dxa" w:w="7920"/>
            <w:vAlign w:val="center"/>
          </w:tcPr>
          <w:p>
            <w:r/>
            <w:r>
              <w:rPr>
                <w:b w:val="0"/>
                <w:sz w:val="16"/>
              </w:rPr>
              <w:t>Merchant registration, authentication and store management.</w:t>
            </w:r>
          </w:p>
        </w:tc>
      </w:tr>
      <w:tr>
        <w:tc>
          <w:tcPr>
            <w:tcW w:type="dxa" w:w="1440"/>
            <w:vAlign w:val="center"/>
          </w:tcPr>
          <w:p>
            <w:r/>
            <w:r>
              <w:rPr>
                <w:b w:val="0"/>
                <w:sz w:val="16"/>
              </w:rPr>
              <w:t>FR-02</w:t>
            </w:r>
          </w:p>
        </w:tc>
        <w:tc>
          <w:tcPr>
            <w:tcW w:type="dxa" w:w="7920"/>
            <w:vAlign w:val="center"/>
          </w:tcPr>
          <w:p>
            <w:r/>
            <w:r>
              <w:rPr>
                <w:b w:val="0"/>
                <w:sz w:val="16"/>
              </w:rPr>
              <w:t>Shopify/WooCommerce connection and credential management.</w:t>
            </w:r>
          </w:p>
        </w:tc>
      </w:tr>
      <w:tr>
        <w:tc>
          <w:tcPr>
            <w:tcW w:type="dxa" w:w="1440"/>
            <w:vAlign w:val="center"/>
          </w:tcPr>
          <w:p>
            <w:r/>
            <w:r>
              <w:rPr>
                <w:b w:val="0"/>
                <w:sz w:val="16"/>
              </w:rPr>
              <w:t>FR-03</w:t>
            </w:r>
          </w:p>
        </w:tc>
        <w:tc>
          <w:tcPr>
            <w:tcW w:type="dxa" w:w="7920"/>
            <w:vAlign w:val="center"/>
          </w:tcPr>
          <w:p>
            <w:r/>
            <w:r>
              <w:rPr>
                <w:b w:val="0"/>
                <w:sz w:val="16"/>
              </w:rPr>
              <w:t>Webhook verification and idempotent event persistence.</w:t>
            </w:r>
          </w:p>
        </w:tc>
      </w:tr>
      <w:tr>
        <w:tc>
          <w:tcPr>
            <w:tcW w:type="dxa" w:w="1440"/>
            <w:vAlign w:val="center"/>
          </w:tcPr>
          <w:p>
            <w:r/>
            <w:r>
              <w:rPr>
                <w:b w:val="0"/>
                <w:sz w:val="16"/>
              </w:rPr>
              <w:t>FR-04</w:t>
            </w:r>
          </w:p>
        </w:tc>
        <w:tc>
          <w:tcPr>
            <w:tcW w:type="dxa" w:w="7920"/>
            <w:vAlign w:val="center"/>
          </w:tcPr>
          <w:p>
            <w:r/>
            <w:r>
              <w:rPr>
                <w:b w:val="0"/>
                <w:sz w:val="16"/>
              </w:rPr>
              <w:t>Historical synchronization with pagination, retries and backoff.</w:t>
            </w:r>
          </w:p>
        </w:tc>
      </w:tr>
      <w:tr>
        <w:tc>
          <w:tcPr>
            <w:tcW w:type="dxa" w:w="1440"/>
            <w:vAlign w:val="center"/>
          </w:tcPr>
          <w:p>
            <w:r/>
            <w:r>
              <w:rPr>
                <w:b w:val="0"/>
                <w:sz w:val="16"/>
              </w:rPr>
              <w:t>FR-05</w:t>
            </w:r>
          </w:p>
        </w:tc>
        <w:tc>
          <w:tcPr>
            <w:tcW w:type="dxa" w:w="7920"/>
            <w:vAlign w:val="center"/>
          </w:tcPr>
          <w:p>
            <w:r/>
            <w:r>
              <w:rPr>
                <w:b w:val="0"/>
                <w:sz w:val="16"/>
              </w:rPr>
              <w:t>Normalization into a common platform-independent schema.</w:t>
            </w:r>
          </w:p>
        </w:tc>
      </w:tr>
      <w:tr>
        <w:tc>
          <w:tcPr>
            <w:tcW w:type="dxa" w:w="1440"/>
            <w:vAlign w:val="center"/>
          </w:tcPr>
          <w:p>
            <w:r/>
            <w:r>
              <w:rPr>
                <w:b w:val="0"/>
                <w:sz w:val="16"/>
              </w:rPr>
              <w:t>FR-06</w:t>
            </w:r>
          </w:p>
        </w:tc>
        <w:tc>
          <w:tcPr>
            <w:tcW w:type="dxa" w:w="7920"/>
            <w:vAlign w:val="center"/>
          </w:tcPr>
          <w:p>
            <w:r/>
            <w:r>
              <w:rPr>
                <w:b w:val="0"/>
                <w:sz w:val="16"/>
              </w:rPr>
              <w:t>Point-in-time feature computation.</w:t>
            </w:r>
          </w:p>
        </w:tc>
      </w:tr>
      <w:tr>
        <w:tc>
          <w:tcPr>
            <w:tcW w:type="dxa" w:w="1440"/>
            <w:vAlign w:val="center"/>
          </w:tcPr>
          <w:p>
            <w:r/>
            <w:r>
              <w:rPr>
                <w:b w:val="0"/>
                <w:sz w:val="16"/>
              </w:rPr>
              <w:t>FR-07</w:t>
            </w:r>
          </w:p>
        </w:tc>
        <w:tc>
          <w:tcPr>
            <w:tcW w:type="dxa" w:w="7920"/>
            <w:vAlign w:val="center"/>
          </w:tcPr>
          <w:p>
            <w:r/>
            <w:r>
              <w:rPr>
                <w:b w:val="0"/>
                <w:sz w:val="16"/>
              </w:rPr>
              <w:t>RTO prediction at Shipped for COD orders.</w:t>
            </w:r>
          </w:p>
        </w:tc>
      </w:tr>
      <w:tr>
        <w:tc>
          <w:tcPr>
            <w:tcW w:type="dxa" w:w="1440"/>
            <w:vAlign w:val="center"/>
          </w:tcPr>
          <w:p>
            <w:r/>
            <w:r>
              <w:rPr>
                <w:b w:val="0"/>
                <w:sz w:val="16"/>
              </w:rPr>
              <w:t>FR-08</w:t>
            </w:r>
          </w:p>
        </w:tc>
        <w:tc>
          <w:tcPr>
            <w:tcW w:type="dxa" w:w="7920"/>
            <w:vAlign w:val="center"/>
          </w:tcPr>
          <w:p>
            <w:r/>
            <w:r>
              <w:rPr>
                <w:b w:val="0"/>
                <w:sz w:val="16"/>
              </w:rPr>
              <w:t>Scheduled churn prediction.</w:t>
            </w:r>
          </w:p>
        </w:tc>
      </w:tr>
      <w:tr>
        <w:tc>
          <w:tcPr>
            <w:tcW w:type="dxa" w:w="1440"/>
            <w:vAlign w:val="center"/>
          </w:tcPr>
          <w:p>
            <w:r/>
            <w:r>
              <w:rPr>
                <w:b w:val="0"/>
                <w:sz w:val="16"/>
              </w:rPr>
              <w:t>FR-09</w:t>
            </w:r>
          </w:p>
        </w:tc>
        <w:tc>
          <w:tcPr>
            <w:tcW w:type="dxa" w:w="7920"/>
            <w:vAlign w:val="center"/>
          </w:tcPr>
          <w:p>
            <w:r/>
            <w:r>
              <w:rPr>
                <w:b w:val="0"/>
                <w:sz w:val="16"/>
              </w:rPr>
              <w:t>Plain-language explanation generation.</w:t>
            </w:r>
          </w:p>
        </w:tc>
      </w:tr>
      <w:tr>
        <w:tc>
          <w:tcPr>
            <w:tcW w:type="dxa" w:w="1440"/>
            <w:vAlign w:val="center"/>
          </w:tcPr>
          <w:p>
            <w:r/>
            <w:r>
              <w:rPr>
                <w:b w:val="0"/>
                <w:sz w:val="16"/>
              </w:rPr>
              <w:t>FR-10</w:t>
            </w:r>
          </w:p>
        </w:tc>
        <w:tc>
          <w:tcPr>
            <w:tcW w:type="dxa" w:w="7920"/>
            <w:vAlign w:val="center"/>
          </w:tcPr>
          <w:p>
            <w:r/>
            <w:r>
              <w:rPr>
                <w:b w:val="0"/>
                <w:sz w:val="16"/>
              </w:rPr>
              <w:t>Configurable ₹ impact range calculation.</w:t>
            </w:r>
          </w:p>
        </w:tc>
      </w:tr>
      <w:tr>
        <w:tc>
          <w:tcPr>
            <w:tcW w:type="dxa" w:w="1440"/>
            <w:vAlign w:val="center"/>
          </w:tcPr>
          <w:p>
            <w:r/>
            <w:r>
              <w:rPr>
                <w:b w:val="0"/>
                <w:sz w:val="16"/>
              </w:rPr>
              <w:t>FR-11</w:t>
            </w:r>
          </w:p>
        </w:tc>
        <w:tc>
          <w:tcPr>
            <w:tcW w:type="dxa" w:w="7920"/>
            <w:vAlign w:val="center"/>
          </w:tcPr>
          <w:p>
            <w:r/>
            <w:r>
              <w:rPr>
                <w:b w:val="0"/>
                <w:sz w:val="16"/>
              </w:rPr>
              <w:t>Exactly one deterministic recommendation per qualifying prediction.</w:t>
            </w:r>
          </w:p>
        </w:tc>
      </w:tr>
      <w:tr>
        <w:tc>
          <w:tcPr>
            <w:tcW w:type="dxa" w:w="1440"/>
            <w:vAlign w:val="center"/>
          </w:tcPr>
          <w:p>
            <w:r/>
            <w:r>
              <w:rPr>
                <w:b w:val="0"/>
                <w:sz w:val="16"/>
              </w:rPr>
              <w:t>FR-12</w:t>
            </w:r>
          </w:p>
        </w:tc>
        <w:tc>
          <w:tcPr>
            <w:tcW w:type="dxa" w:w="7920"/>
            <w:vAlign w:val="center"/>
          </w:tcPr>
          <w:p>
            <w:r/>
            <w:r>
              <w:rPr>
                <w:b w:val="0"/>
                <w:sz w:val="16"/>
              </w:rPr>
              <w:t>Incremental SGD learning after verified outcomes.</w:t>
            </w:r>
          </w:p>
        </w:tc>
      </w:tr>
      <w:tr>
        <w:tc>
          <w:tcPr>
            <w:tcW w:type="dxa" w:w="1440"/>
            <w:vAlign w:val="center"/>
          </w:tcPr>
          <w:p>
            <w:r/>
            <w:r>
              <w:rPr>
                <w:b w:val="0"/>
                <w:sz w:val="16"/>
              </w:rPr>
              <w:t>FR-13</w:t>
            </w:r>
          </w:p>
        </w:tc>
        <w:tc>
          <w:tcPr>
            <w:tcW w:type="dxa" w:w="7920"/>
            <w:vAlign w:val="center"/>
          </w:tcPr>
          <w:p>
            <w:r/>
            <w:r>
              <w:rPr>
                <w:b w:val="0"/>
                <w:sz w:val="16"/>
              </w:rPr>
              <w:t>Weekly category-level simulated FedAvg.</w:t>
            </w:r>
          </w:p>
        </w:tc>
      </w:tr>
      <w:tr>
        <w:tc>
          <w:tcPr>
            <w:tcW w:type="dxa" w:w="1440"/>
            <w:vAlign w:val="center"/>
          </w:tcPr>
          <w:p>
            <w:r/>
            <w:r>
              <w:rPr>
                <w:b w:val="0"/>
                <w:sz w:val="16"/>
              </w:rPr>
              <w:t>FR-14</w:t>
            </w:r>
          </w:p>
        </w:tc>
        <w:tc>
          <w:tcPr>
            <w:tcW w:type="dxa" w:w="7920"/>
            <w:vAlign w:val="center"/>
          </w:tcPr>
          <w:p>
            <w:r/>
            <w:r>
              <w:rPr>
                <w:b w:val="0"/>
                <w:sz w:val="16"/>
              </w:rPr>
              <w:t>Marketing spend and observed cohort-LTV analysis.</w:t>
            </w:r>
          </w:p>
        </w:tc>
      </w:tr>
      <w:tr>
        <w:tc>
          <w:tcPr>
            <w:tcW w:type="dxa" w:w="1440"/>
            <w:vAlign w:val="center"/>
          </w:tcPr>
          <w:p>
            <w:r/>
            <w:r>
              <w:rPr>
                <w:b w:val="0"/>
                <w:sz w:val="16"/>
              </w:rPr>
              <w:t>FR-15</w:t>
            </w:r>
          </w:p>
        </w:tc>
        <w:tc>
          <w:tcPr>
            <w:tcW w:type="dxa" w:w="7920"/>
            <w:vAlign w:val="center"/>
          </w:tcPr>
          <w:p>
            <w:r/>
            <w:r>
              <w:rPr>
                <w:b w:val="0"/>
                <w:sz w:val="16"/>
              </w:rPr>
              <w:t>Tenant-isolation enforcement and automated verification.</w:t>
            </w:r>
          </w:p>
        </w:tc>
      </w:tr>
    </w:tbl>
    <w:p/>
    <w:p>
      <w:pPr>
        <w:pStyle w:val="Heading2"/>
        <w:keepNext/>
      </w:pPr>
      <w:r>
        <w:t>7.2 Non-Functional Requirements</w:t>
      </w:r>
    </w:p>
    <w:p>
      <w:pPr>
        <w:pStyle w:val="ListBullet"/>
        <w:spacing w:after="40"/>
      </w:pPr>
      <w:r>
        <w:t>Security: HTTPS/TLS, encrypted platform tokens, strong password hashing, audit logging.</w:t>
      </w:r>
    </w:p>
    <w:p>
      <w:pPr>
        <w:pStyle w:val="ListBullet"/>
        <w:spacing w:after="40"/>
      </w:pPr>
      <w:r>
        <w:t>Reliability: idempotent event processing and retry/dead-letter handling.</w:t>
      </w:r>
    </w:p>
    <w:p>
      <w:pPr>
        <w:pStyle w:val="ListBullet"/>
        <w:spacing w:after="40"/>
      </w:pPr>
      <w:r>
        <w:t>Maintainability: modular NestJS backend and isolated FastAPI ML service.</w:t>
      </w:r>
    </w:p>
    <w:p>
      <w:pPr>
        <w:pStyle w:val="ListBullet"/>
        <w:spacing w:after="40"/>
      </w:pPr>
      <w:r>
        <w:t>Auditability: model/rule/impact versions stored with outputs.</w:t>
      </w:r>
    </w:p>
    <w:p>
      <w:pPr>
        <w:pStyle w:val="ListBullet"/>
        <w:spacing w:after="40"/>
      </w:pPr>
      <w:r>
        <w:t>Performance: webhook processing and dashboard responses should be operationally suitable for near-real-time merchant use; exact SLOs are not specified in the source.</w:t>
      </w:r>
    </w:p>
    <w:p>
      <w:pPr>
        <w:pStyle w:val="ListBullet"/>
        <w:spacing w:after="40"/>
      </w:pPr>
      <w:r>
        <w:t>Scalability: asynchronous jobs and platform adapters should support multiple stores.</w:t>
      </w:r>
    </w:p>
    <w:p>
      <w:pPr>
        <w:pStyle w:val="ListBullet"/>
        <w:spacing w:after="40"/>
      </w:pPr>
      <w:r>
        <w:t>Usability: risk reasons and recommendations should be understandable to non-ML merchants.</w:t>
      </w:r>
    </w:p>
    <w:p>
      <w:pPr>
        <w:pStyle w:val="Heading2"/>
        <w:keepNext/>
      </w:pPr>
      <w:r>
        <w:t>7.3 Hardware and Software Requirements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r/>
            <w:r>
              <w:rPr>
                <w:b/>
                <w:color w:val="FFFFFF"/>
                <w:sz w:val="17"/>
              </w:rPr>
              <w:t>Component</w:t>
            </w:r>
          </w:p>
        </w:tc>
        <w:tc>
          <w:tcPr>
            <w:tcW w:type="dxa" w:w="6480"/>
            <w:vAlign w:val="center"/>
            <w:shd w:fill="17365D"/>
          </w:tcPr>
          <w:p>
            <w:r/>
            <w:r>
              <w:rPr>
                <w:b/>
                <w:color w:val="FFFFFF"/>
                <w:sz w:val="17"/>
              </w:rPr>
              <w:t>Requirement from project materials</w:t>
            </w:r>
          </w:p>
        </w:tc>
      </w:tr>
      <w:tr>
        <w:tc>
          <w:tcPr>
            <w:tcW w:type="dxa" w:w="2880"/>
            <w:vAlign w:val="center"/>
          </w:tcPr>
          <w:p>
            <w:r/>
            <w:r>
              <w:rPr>
                <w:b w:val="0"/>
                <w:sz w:val="17"/>
              </w:rPr>
              <w:t>Server CPU</w:t>
            </w:r>
          </w:p>
        </w:tc>
        <w:tc>
          <w:tcPr>
            <w:tcW w:type="dxa" w:w="6480"/>
            <w:vAlign w:val="center"/>
          </w:tcPr>
          <w:p>
            <w:r/>
            <w:r>
              <w:rPr>
                <w:b w:val="0"/>
                <w:sz w:val="17"/>
              </w:rPr>
              <w:t>Multi-core processor recommended</w:t>
            </w:r>
          </w:p>
        </w:tc>
      </w:tr>
      <w:tr>
        <w:tc>
          <w:tcPr>
            <w:tcW w:type="dxa" w:w="2880"/>
            <w:vAlign w:val="center"/>
          </w:tcPr>
          <w:p>
            <w:r/>
            <w:r>
              <w:rPr>
                <w:b w:val="0"/>
                <w:sz w:val="17"/>
              </w:rPr>
              <w:t>Server RAM</w:t>
            </w:r>
          </w:p>
        </w:tc>
        <w:tc>
          <w:tcPr>
            <w:tcW w:type="dxa" w:w="6480"/>
            <w:vAlign w:val="center"/>
          </w:tcPr>
          <w:p>
            <w:r/>
            <w:r>
              <w:rPr>
                <w:b w:val="0"/>
                <w:sz w:val="17"/>
              </w:rPr>
              <w:t>At least 2 GB; 4 GB+ advised for production-grade deployment</w:t>
            </w:r>
          </w:p>
        </w:tc>
      </w:tr>
      <w:tr>
        <w:tc>
          <w:tcPr>
            <w:tcW w:type="dxa" w:w="2880"/>
            <w:vAlign w:val="center"/>
          </w:tcPr>
          <w:p>
            <w:r/>
            <w:r>
              <w:rPr>
                <w:b w:val="0"/>
                <w:sz w:val="17"/>
              </w:rPr>
              <w:t>Server Storage</w:t>
            </w:r>
          </w:p>
        </w:tc>
        <w:tc>
          <w:tcPr>
            <w:tcW w:type="dxa" w:w="6480"/>
            <w:vAlign w:val="center"/>
          </w:tcPr>
          <w:p>
            <w:r/>
            <w:r>
              <w:rPr>
                <w:b w:val="0"/>
                <w:sz w:val="17"/>
              </w:rPr>
              <w:t>SSD preferred</w:t>
            </w:r>
          </w:p>
        </w:tc>
      </w:tr>
      <w:tr>
        <w:tc>
          <w:tcPr>
            <w:tcW w:type="dxa" w:w="2880"/>
            <w:vAlign w:val="center"/>
          </w:tcPr>
          <w:p>
            <w:r/>
            <w:r>
              <w:rPr>
                <w:b w:val="0"/>
                <w:sz w:val="17"/>
              </w:rPr>
              <w:t>Server OS</w:t>
            </w:r>
          </w:p>
        </w:tc>
        <w:tc>
          <w:tcPr>
            <w:tcW w:type="dxa" w:w="6480"/>
            <w:vAlign w:val="center"/>
          </w:tcPr>
          <w:p>
            <w:r/>
            <w:r>
              <w:rPr>
                <w:b w:val="0"/>
                <w:sz w:val="17"/>
              </w:rPr>
              <w:t>Linux-based distribution such as Ubuntu, CentOS or Debian</w:t>
            </w:r>
          </w:p>
        </w:tc>
      </w:tr>
      <w:tr>
        <w:tc>
          <w:tcPr>
            <w:tcW w:type="dxa" w:w="2880"/>
            <w:vAlign w:val="center"/>
          </w:tcPr>
          <w:p>
            <w:r/>
            <w:r>
              <w:rPr>
                <w:b w:val="0"/>
                <w:sz w:val="17"/>
              </w:rPr>
              <w:t>Node.js</w:t>
            </w:r>
          </w:p>
        </w:tc>
        <w:tc>
          <w:tcPr>
            <w:tcW w:type="dxa" w:w="6480"/>
            <w:vAlign w:val="center"/>
          </w:tcPr>
          <w:p>
            <w:r/>
            <w:r>
              <w:rPr>
                <w:b w:val="0"/>
                <w:sz w:val="17"/>
              </w:rPr>
              <w:t>18 LTS or later</w:t>
            </w:r>
          </w:p>
        </w:tc>
      </w:tr>
      <w:tr>
        <w:tc>
          <w:tcPr>
            <w:tcW w:type="dxa" w:w="2880"/>
            <w:vAlign w:val="center"/>
          </w:tcPr>
          <w:p>
            <w:r/>
            <w:r>
              <w:rPr>
                <w:b w:val="0"/>
                <w:sz w:val="17"/>
              </w:rPr>
              <w:t>Python</w:t>
            </w:r>
          </w:p>
        </w:tc>
        <w:tc>
          <w:tcPr>
            <w:tcW w:type="dxa" w:w="6480"/>
            <w:vAlign w:val="center"/>
          </w:tcPr>
          <w:p>
            <w:r/>
            <w:r>
              <w:rPr>
                <w:b w:val="0"/>
                <w:sz w:val="17"/>
              </w:rPr>
              <w:t>3.10 or later</w:t>
            </w:r>
          </w:p>
        </w:tc>
      </w:tr>
      <w:tr>
        <w:tc>
          <w:tcPr>
            <w:tcW w:type="dxa" w:w="2880"/>
            <w:vAlign w:val="center"/>
          </w:tcPr>
          <w:p>
            <w:r/>
            <w:r>
              <w:rPr>
                <w:b w:val="0"/>
                <w:sz w:val="17"/>
              </w:rPr>
              <w:t>PostgreSQL</w:t>
            </w:r>
          </w:p>
        </w:tc>
        <w:tc>
          <w:tcPr>
            <w:tcW w:type="dxa" w:w="6480"/>
            <w:vAlign w:val="center"/>
          </w:tcPr>
          <w:p>
            <w:r/>
            <w:r>
              <w:rPr>
                <w:b w:val="0"/>
                <w:sz w:val="17"/>
              </w:rPr>
              <w:t>14 or later</w:t>
            </w:r>
          </w:p>
        </w:tc>
      </w:tr>
      <w:tr>
        <w:tc>
          <w:tcPr>
            <w:tcW w:type="dxa" w:w="2880"/>
            <w:vAlign w:val="center"/>
          </w:tcPr>
          <w:p>
            <w:r/>
            <w:r>
              <w:rPr>
                <w:b w:val="0"/>
                <w:sz w:val="17"/>
              </w:rPr>
              <w:t>Redis</w:t>
            </w:r>
          </w:p>
        </w:tc>
        <w:tc>
          <w:tcPr>
            <w:tcW w:type="dxa" w:w="6480"/>
            <w:vAlign w:val="center"/>
          </w:tcPr>
          <w:p>
            <w:r/>
            <w:r>
              <w:rPr>
                <w:b w:val="0"/>
                <w:sz w:val="17"/>
              </w:rPr>
              <w:t>6 or later</w:t>
            </w:r>
          </w:p>
        </w:tc>
      </w:tr>
      <w:tr>
        <w:tc>
          <w:tcPr>
            <w:tcW w:type="dxa" w:w="2880"/>
            <w:vAlign w:val="center"/>
          </w:tcPr>
          <w:p>
            <w:r/>
            <w:r>
              <w:rPr>
                <w:b w:val="0"/>
                <w:sz w:val="17"/>
              </w:rPr>
              <w:t>Reverse proxy</w:t>
            </w:r>
          </w:p>
        </w:tc>
        <w:tc>
          <w:tcPr>
            <w:tcW w:type="dxa" w:w="6480"/>
            <w:vAlign w:val="center"/>
          </w:tcPr>
          <w:p>
            <w:r/>
            <w:r>
              <w:rPr>
                <w:b w:val="0"/>
                <w:sz w:val="17"/>
              </w:rPr>
              <w:t>Nginx</w:t>
            </w:r>
          </w:p>
        </w:tc>
      </w:tr>
      <w:tr>
        <w:tc>
          <w:tcPr>
            <w:tcW w:type="dxa" w:w="2880"/>
            <w:vAlign w:val="center"/>
          </w:tcPr>
          <w:p>
            <w:r/>
            <w:r>
              <w:rPr>
                <w:b w:val="0"/>
                <w:sz w:val="17"/>
              </w:rPr>
              <w:t>Monitoring</w:t>
            </w:r>
          </w:p>
        </w:tc>
        <w:tc>
          <w:tcPr>
            <w:tcW w:type="dxa" w:w="6480"/>
            <w:vAlign w:val="center"/>
          </w:tcPr>
          <w:p>
            <w:r/>
            <w:r>
              <w:rPr>
                <w:b w:val="0"/>
                <w:sz w:val="17"/>
              </w:rPr>
              <w:t>Prometheus / Grafana</w:t>
            </w:r>
          </w:p>
        </w:tc>
      </w:tr>
      <w:tr>
        <w:tc>
          <w:tcPr>
            <w:tcW w:type="dxa" w:w="2880"/>
            <w:vAlign w:val="center"/>
          </w:tcPr>
          <w:p>
            <w:r/>
            <w:r>
              <w:rPr>
                <w:b w:val="0"/>
                <w:sz w:val="17"/>
              </w:rPr>
              <w:t>Client RAM</w:t>
            </w:r>
          </w:p>
        </w:tc>
        <w:tc>
          <w:tcPr>
            <w:tcW w:type="dxa" w:w="6480"/>
            <w:vAlign w:val="center"/>
          </w:tcPr>
          <w:p>
            <w:r/>
            <w:r>
              <w:rPr>
                <w:b w:val="0"/>
                <w:sz w:val="17"/>
              </w:rPr>
              <w:t>4 GB recommended for responsive dashboard</w:t>
            </w:r>
          </w:p>
        </w:tc>
      </w:tr>
      <w:tr>
        <w:tc>
          <w:tcPr>
            <w:tcW w:type="dxa" w:w="2880"/>
            <w:vAlign w:val="center"/>
          </w:tcPr>
          <w:p>
            <w:r/>
            <w:r>
              <w:rPr>
                <w:b w:val="0"/>
                <w:sz w:val="17"/>
              </w:rPr>
              <w:t>Client browser</w:t>
            </w:r>
          </w:p>
        </w:tc>
        <w:tc>
          <w:tcPr>
            <w:tcW w:type="dxa" w:w="6480"/>
            <w:vAlign w:val="center"/>
          </w:tcPr>
          <w:p>
            <w:r/>
            <w:r>
              <w:rPr>
                <w:b w:val="0"/>
                <w:sz w:val="17"/>
              </w:rPr>
              <w:t>Modern Chrome, Firefox, Safari or Edge</w:t>
            </w:r>
          </w:p>
        </w:tc>
      </w:tr>
    </w:tbl>
    <w:p/>
    <w:p>
      <w:pPr>
        <w:pStyle w:val="Heading1"/>
        <w:keepNext/>
      </w:pPr>
      <w:r>
        <w:t>8. SYSTEM ARCHITECTURE</w:t>
      </w:r>
    </w:p>
    <w:p>
      <w:pPr>
        <w:spacing w:after="100" w:line="259" w:lineRule="auto"/>
      </w:pPr>
      <w:r>
        <w:t>The architecture follows a layered pipeline. Raw Shopify/WooCommerce payloads are never treated as model features directly. The integration layer verifies and stores events, the normalization layer converts them to common entities, the feature service creates point-in-time vectors, the ML service generates probabilities, and deterministic decision-support services create explanations, financial impact and recommendations.</w:t>
      </w:r>
    </w:p>
    <w:p>
      <w:pPr>
        <w:spacing w:after="120"/>
        <w:ind w:left="360" w:right="360"/>
        <w:shd w:fill="F2F2F2"/>
      </w:pPr>
      <w:r>
        <w:rPr>
          <w:rFonts w:ascii="Consolas" w:hAnsi="Consolas"/>
          <w:sz w:val="16"/>
        </w:rPr>
        <w:t>Merchant / Store</w:t>
        <w:br/>
        <w:t xml:space="preserve">      |</w:t>
        <w:br/>
        <w:t xml:space="preserve">      v</w:t>
        <w:br/>
        <w:t>Next.js Dashboard</w:t>
        <w:br/>
        <w:t xml:space="preserve">      |</w:t>
        <w:br/>
        <w:t xml:space="preserve">      v</w:t>
        <w:br/>
        <w:t>NestJS API / Authentication / Store Isolation</w:t>
        <w:br/>
        <w:t xml:space="preserve">      |</w:t>
        <w:br/>
        <w:t xml:space="preserve">      +----------------------+</w:t>
        <w:br/>
        <w:t xml:space="preserve">      |                      |</w:t>
        <w:br/>
        <w:t xml:space="preserve">      v                      v</w:t>
        <w:br/>
        <w:t>Shopify Adapter       WooCommerce Adapter</w:t>
        <w:br/>
        <w:t xml:space="preserve">      |                      |</w:t>
        <w:br/>
        <w:t xml:space="preserve">      +-----------&gt; Event / Normalized Data</w:t>
        <w:br/>
        <w:t xml:space="preserve">                          |</w:t>
        <w:br/>
        <w:t xml:space="preserve">                          v</w:t>
        <w:br/>
        <w:t xml:space="preserve">                  Feature Engineering</w:t>
        <w:br/>
        <w:t xml:space="preserve">                          |</w:t>
        <w:br/>
        <w:t xml:space="preserve">                          v</w:t>
        <w:br/>
        <w:t xml:space="preserve">                    FastAPI ML Service</w:t>
        <w:br/>
        <w:t xml:space="preserve">                     /           \</w:t>
        <w:br/>
        <w:t xml:space="preserve">                    v             v</w:t>
        <w:br/>
        <w:t xml:space="preserve">               RTO Model      Churn Model</w:t>
        <w:br/>
        <w:t xml:space="preserve">                    \             /</w:t>
        <w:br/>
        <w:t xml:space="preserve">                     v           v</w:t>
        <w:br/>
        <w:t xml:space="preserve">                 Predictions</w:t>
        <w:br/>
        <w:t xml:space="preserve">                       |</w:t>
        <w:br/>
        <w:t xml:space="preserve">        +--------------+--------------+</w:t>
        <w:br/>
        <w:t xml:space="preserve">        |              |              |</w:t>
        <w:br/>
        <w:t xml:space="preserve">        v              v              v</w:t>
        <w:br/>
        <w:t xml:space="preserve">   Explanation     ₹ Impact      Recommendation</w:t>
        <w:br/>
        <w:t xml:space="preserve">        |              |              |</w:t>
        <w:br/>
        <w:t xml:space="preserve">        +--------------+--------------+</w:t>
        <w:br/>
        <w:t xml:space="preserve">                       |</w:t>
        <w:br/>
        <w:t xml:space="preserve">                       v</w:t>
        <w:br/>
        <w:t xml:space="preserve">                Merchant Dashboard</w:t>
      </w:r>
    </w:p>
    <w:p>
      <w:pPr>
        <w:pStyle w:val="Heading2"/>
        <w:keepNext/>
      </w:pPr>
      <w:r>
        <w:t>8.1 Architecture Layers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365D"/>
          </w:tcPr>
          <w:p>
            <w:r/>
            <w:r>
              <w:rPr>
                <w:b/>
                <w:color w:val="FFFFFF"/>
                <w:sz w:val="17"/>
              </w:rPr>
              <w:t>Layer</w:t>
            </w:r>
          </w:p>
        </w:tc>
        <w:tc>
          <w:tcPr>
            <w:tcW w:type="dxa" w:w="7200"/>
            <w:vAlign w:val="center"/>
            <w:shd w:fill="17365D"/>
          </w:tcPr>
          <w:p>
            <w:r/>
            <w:r>
              <w:rPr>
                <w:b/>
                <w:color w:val="FFFFFF"/>
                <w:sz w:val="17"/>
              </w:rPr>
              <w:t>Responsibility</w:t>
            </w:r>
          </w:p>
        </w:tc>
      </w:tr>
      <w:tr>
        <w:tc>
          <w:tcPr>
            <w:tcW w:type="dxa" w:w="2160"/>
            <w:vAlign w:val="center"/>
          </w:tcPr>
          <w:p>
            <w:r/>
            <w:r>
              <w:rPr>
                <w:b w:val="0"/>
                <w:sz w:val="17"/>
              </w:rPr>
              <w:t>Presentation</w:t>
            </w:r>
          </w:p>
        </w:tc>
        <w:tc>
          <w:tcPr>
            <w:tcW w:type="dxa" w:w="7200"/>
            <w:vAlign w:val="center"/>
          </w:tcPr>
          <w:p>
            <w:r/>
            <w:r>
              <w:rPr>
                <w:b w:val="0"/>
                <w:sz w:val="17"/>
              </w:rPr>
              <w:t>Dashboard, risk views, filters, store configuration</w:t>
            </w:r>
          </w:p>
        </w:tc>
      </w:tr>
      <w:tr>
        <w:tc>
          <w:tcPr>
            <w:tcW w:type="dxa" w:w="2160"/>
            <w:vAlign w:val="center"/>
          </w:tcPr>
          <w:p>
            <w:r/>
            <w:r>
              <w:rPr>
                <w:b w:val="0"/>
                <w:sz w:val="17"/>
              </w:rPr>
              <w:t>Application API</w:t>
            </w:r>
          </w:p>
        </w:tc>
        <w:tc>
          <w:tcPr>
            <w:tcW w:type="dxa" w:w="7200"/>
            <w:vAlign w:val="center"/>
          </w:tcPr>
          <w:p>
            <w:r/>
            <w:r>
              <w:rPr>
                <w:b w:val="0"/>
                <w:sz w:val="17"/>
              </w:rPr>
              <w:t>Authentication, authorization, orchestration, merchant APIs</w:t>
            </w:r>
          </w:p>
        </w:tc>
      </w:tr>
      <w:tr>
        <w:tc>
          <w:tcPr>
            <w:tcW w:type="dxa" w:w="2160"/>
            <w:vAlign w:val="center"/>
          </w:tcPr>
          <w:p>
            <w:r/>
            <w:r>
              <w:rPr>
                <w:b w:val="0"/>
                <w:sz w:val="17"/>
              </w:rPr>
              <w:t>Integration</w:t>
            </w:r>
          </w:p>
        </w:tc>
        <w:tc>
          <w:tcPr>
            <w:tcW w:type="dxa" w:w="7200"/>
            <w:vAlign w:val="center"/>
          </w:tcPr>
          <w:p>
            <w:r/>
            <w:r>
              <w:rPr>
                <w:b w:val="0"/>
                <w:sz w:val="17"/>
              </w:rPr>
              <w:t>Shopify/WooCommerce adapters, webhook verification, synchronization</w:t>
            </w:r>
          </w:p>
        </w:tc>
      </w:tr>
      <w:tr>
        <w:tc>
          <w:tcPr>
            <w:tcW w:type="dxa" w:w="2160"/>
            <w:vAlign w:val="center"/>
          </w:tcPr>
          <w:p>
            <w:r/>
            <w:r>
              <w:rPr>
                <w:b w:val="0"/>
                <w:sz w:val="17"/>
              </w:rPr>
              <w:t>Data</w:t>
            </w:r>
          </w:p>
        </w:tc>
        <w:tc>
          <w:tcPr>
            <w:tcW w:type="dxa" w:w="7200"/>
            <w:vAlign w:val="center"/>
          </w:tcPr>
          <w:p>
            <w:r/>
            <w:r>
              <w:rPr>
                <w:b w:val="0"/>
                <w:sz w:val="17"/>
              </w:rPr>
              <w:t>PostgreSQL normalized entities, prediction history, model/rule versions</w:t>
            </w:r>
          </w:p>
        </w:tc>
      </w:tr>
      <w:tr>
        <w:tc>
          <w:tcPr>
            <w:tcW w:type="dxa" w:w="2160"/>
            <w:vAlign w:val="center"/>
          </w:tcPr>
          <w:p>
            <w:r/>
            <w:r>
              <w:rPr>
                <w:b w:val="0"/>
                <w:sz w:val="17"/>
              </w:rPr>
              <w:t>Feature</w:t>
            </w:r>
          </w:p>
        </w:tc>
        <w:tc>
          <w:tcPr>
            <w:tcW w:type="dxa" w:w="7200"/>
            <w:vAlign w:val="center"/>
          </w:tcPr>
          <w:p>
            <w:r/>
            <w:r>
              <w:rPr>
                <w:b w:val="0"/>
                <w:sz w:val="17"/>
              </w:rPr>
              <w:t>Point-in-time feature generation shared by training and serving</w:t>
            </w:r>
          </w:p>
        </w:tc>
      </w:tr>
      <w:tr>
        <w:tc>
          <w:tcPr>
            <w:tcW w:type="dxa" w:w="2160"/>
            <w:vAlign w:val="center"/>
          </w:tcPr>
          <w:p>
            <w:r/>
            <w:r>
              <w:rPr>
                <w:b w:val="0"/>
                <w:sz w:val="17"/>
              </w:rPr>
              <w:t>ML</w:t>
            </w:r>
          </w:p>
        </w:tc>
        <w:tc>
          <w:tcPr>
            <w:tcW w:type="dxa" w:w="7200"/>
            <w:vAlign w:val="center"/>
          </w:tcPr>
          <w:p>
            <w:r/>
            <w:r>
              <w:rPr>
                <w:b w:val="0"/>
                <w:sz w:val="17"/>
              </w:rPr>
              <w:t>Logistic Regression prediction and incremental learning</w:t>
            </w:r>
          </w:p>
        </w:tc>
      </w:tr>
      <w:tr>
        <w:tc>
          <w:tcPr>
            <w:tcW w:type="dxa" w:w="2160"/>
            <w:vAlign w:val="center"/>
          </w:tcPr>
          <w:p>
            <w:r/>
            <w:r>
              <w:rPr>
                <w:b w:val="0"/>
                <w:sz w:val="17"/>
              </w:rPr>
              <w:t>Decision support</w:t>
            </w:r>
          </w:p>
        </w:tc>
        <w:tc>
          <w:tcPr>
            <w:tcW w:type="dxa" w:w="7200"/>
            <w:vAlign w:val="center"/>
          </w:tcPr>
          <w:p>
            <w:r/>
            <w:r>
              <w:rPr>
                <w:b w:val="0"/>
                <w:sz w:val="17"/>
              </w:rPr>
              <w:t>Explanation, ₹ impact and recommendation</w:t>
            </w:r>
          </w:p>
        </w:tc>
      </w:tr>
      <w:tr>
        <w:tc>
          <w:tcPr>
            <w:tcW w:type="dxa" w:w="2160"/>
            <w:vAlign w:val="center"/>
          </w:tcPr>
          <w:p>
            <w:r/>
            <w:r>
              <w:rPr>
                <w:b w:val="0"/>
                <w:sz w:val="17"/>
              </w:rPr>
              <w:t>Async processing</w:t>
            </w:r>
          </w:p>
        </w:tc>
        <w:tc>
          <w:tcPr>
            <w:tcW w:type="dxa" w:w="7200"/>
            <w:vAlign w:val="center"/>
          </w:tcPr>
          <w:p>
            <w:r/>
            <w:r>
              <w:rPr>
                <w:b w:val="0"/>
                <w:sz w:val="17"/>
              </w:rPr>
              <w:t>Redis/BullMQ for sync, churn jobs and collective aggregation</w:t>
            </w:r>
          </w:p>
        </w:tc>
      </w:tr>
      <w:tr>
        <w:tc>
          <w:tcPr>
            <w:tcW w:type="dxa" w:w="2160"/>
            <w:vAlign w:val="center"/>
          </w:tcPr>
          <w:p>
            <w:r/>
            <w:r>
              <w:rPr>
                <w:b w:val="0"/>
                <w:sz w:val="17"/>
              </w:rPr>
              <w:t>Security/observability</w:t>
            </w:r>
          </w:p>
        </w:tc>
        <w:tc>
          <w:tcPr>
            <w:tcW w:type="dxa" w:w="7200"/>
            <w:vAlign w:val="center"/>
          </w:tcPr>
          <w:p>
            <w:r/>
            <w:r>
              <w:rPr>
                <w:b w:val="0"/>
                <w:sz w:val="17"/>
              </w:rPr>
              <w:t>TLS, audit logs, monitoring, isolation tests</w:t>
            </w:r>
          </w:p>
        </w:tc>
      </w:tr>
    </w:tbl>
    <w:p/>
    <w:p>
      <w:pPr>
        <w:pStyle w:val="Heading1"/>
        <w:keepNext/>
      </w:pPr>
      <w:r>
        <w:t>9. DETAILED MODULE DESIGN</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17365D"/>
          </w:tcPr>
          <w:p>
            <w:r/>
            <w:r>
              <w:rPr>
                <w:b/>
                <w:color w:val="FFFFFF"/>
                <w:sz w:val="15"/>
              </w:rPr>
              <w:t>Module / Owner</w:t>
            </w:r>
          </w:p>
        </w:tc>
        <w:tc>
          <w:tcPr>
            <w:tcW w:type="dxa" w:w="5616"/>
            <w:vAlign w:val="center"/>
            <w:shd w:fill="17365D"/>
          </w:tcPr>
          <w:p>
            <w:r/>
            <w:r>
              <w:rPr>
                <w:b/>
                <w:color w:val="FFFFFF"/>
                <w:sz w:val="15"/>
              </w:rPr>
              <w:t>Detailed role</w:t>
            </w:r>
          </w:p>
        </w:tc>
      </w:tr>
      <w:tr>
        <w:tc>
          <w:tcPr>
            <w:tcW w:type="dxa" w:w="3744"/>
            <w:vAlign w:val="center"/>
          </w:tcPr>
          <w:p>
            <w:r/>
            <w:r>
              <w:rPr>
                <w:b w:val="0"/>
                <w:sz w:val="15"/>
              </w:rPr>
              <w:t>Module 1 — Merchant &amp; Store Management | Anushka Vishwakarma</w:t>
            </w:r>
          </w:p>
        </w:tc>
        <w:tc>
          <w:tcPr>
            <w:tcW w:type="dxa" w:w="5616"/>
            <w:vAlign w:val="center"/>
          </w:tcPr>
          <w:p>
            <w:r/>
            <w:r>
              <w:rPr>
                <w:b w:val="0"/>
                <w:sz w:val="15"/>
              </w:rPr>
              <w:t>Supports merchant onboarding, authentication, store registration, configuration and roles. The technical plan proposes a merchant-to-store one-to-many relationship, JWT access/refresh tokens, password hashing, validated JSONB store configuration and centralized store_id enforcement.</w:t>
            </w:r>
          </w:p>
        </w:tc>
      </w:tr>
      <w:tr>
        <w:tc>
          <w:tcPr>
            <w:tcW w:type="dxa" w:w="3744"/>
            <w:vAlign w:val="center"/>
          </w:tcPr>
          <w:p>
            <w:r/>
            <w:r>
              <w:rPr>
                <w:b w:val="0"/>
                <w:sz w:val="15"/>
              </w:rPr>
              <w:t>Module 2 — E-Commerce Data Integration | Anushka Vishwakarma</w:t>
            </w:r>
          </w:p>
        </w:tc>
        <w:tc>
          <w:tcPr>
            <w:tcW w:type="dxa" w:w="5616"/>
            <w:vAlign w:val="center"/>
          </w:tcPr>
          <w:p>
            <w:r/>
            <w:r>
              <w:rPr>
                <w:b w:val="0"/>
                <w:sz w:val="15"/>
              </w:rPr>
              <w:t>Provides Shopify and WooCommerce adapters, historical synchronization and webhooks. The design uses an EcommerceAdapter interface so the rest of the application remains platform-independent. Webhook events are persisted before processing for idempotency and replay.</w:t>
            </w:r>
          </w:p>
        </w:tc>
      </w:tr>
      <w:tr>
        <w:tc>
          <w:tcPr>
            <w:tcW w:type="dxa" w:w="3744"/>
            <w:vAlign w:val="center"/>
          </w:tcPr>
          <w:p>
            <w:r/>
            <w:r>
              <w:rPr>
                <w:b w:val="0"/>
                <w:sz w:val="15"/>
              </w:rPr>
              <w:t>Module 3 — Data Processing &amp; Feature Engineering | Anushka Vishwakarma</w:t>
            </w:r>
          </w:p>
        </w:tc>
        <w:tc>
          <w:tcPr>
            <w:tcW w:type="dxa" w:w="5616"/>
            <w:vAlign w:val="center"/>
          </w:tcPr>
          <w:p>
            <w:r/>
            <w:r>
              <w:rPr>
                <w:b w:val="0"/>
                <w:sz w:val="15"/>
              </w:rPr>
              <w:t>Cleans, validates and transforms normalized records into point-in-time feature vectors. The technical review recommends one Python feature implementation shared by training and serving to avoid train/serve skew.</w:t>
            </w:r>
          </w:p>
        </w:tc>
      </w:tr>
      <w:tr>
        <w:tc>
          <w:tcPr>
            <w:tcW w:type="dxa" w:w="3744"/>
            <w:vAlign w:val="center"/>
          </w:tcPr>
          <w:p>
            <w:r/>
            <w:r>
              <w:rPr>
                <w:b w:val="0"/>
                <w:sz w:val="15"/>
              </w:rPr>
              <w:t>Module 4 — COD/RTO Prediction | Anushka Vishwakarma</w:t>
            </w:r>
          </w:p>
        </w:tc>
        <w:tc>
          <w:tcPr>
            <w:tcW w:type="dxa" w:w="5616"/>
            <w:vAlign w:val="center"/>
          </w:tcPr>
          <w:p>
            <w:r/>
            <w:r>
              <w:rPr>
                <w:b w:val="0"/>
                <w:sz w:val="15"/>
              </w:rPr>
              <w:t>Predicts RTO probability for COD orders at Shipped. The source specifies High/Medium/Low bands beginning at &gt;0.70, 0.40–0.70 and &lt;0.40, while the technical review recommends treating these as tunable defaults calibrated using validation data.</w:t>
            </w:r>
          </w:p>
        </w:tc>
      </w:tr>
      <w:tr>
        <w:tc>
          <w:tcPr>
            <w:tcW w:type="dxa" w:w="3744"/>
            <w:vAlign w:val="center"/>
          </w:tcPr>
          <w:p>
            <w:r/>
            <w:r>
              <w:rPr>
                <w:b w:val="0"/>
                <w:sz w:val="15"/>
              </w:rPr>
              <w:t>Module 5 — Customer Churn Prediction | Riya Arya</w:t>
            </w:r>
          </w:p>
        </w:tc>
        <w:tc>
          <w:tcPr>
            <w:tcW w:type="dxa" w:w="5616"/>
            <w:vAlign w:val="center"/>
          </w:tcPr>
          <w:p>
            <w:r/>
            <w:r>
              <w:rPr>
                <w:b w:val="0"/>
                <w:sz w:val="15"/>
              </w:rPr>
              <w:t>Scores customers on a scheduled basis using RFM and purchase-interval signals. The exact churn label window and fifth feature must be finalized before training.</w:t>
            </w:r>
          </w:p>
        </w:tc>
      </w:tr>
      <w:tr>
        <w:tc>
          <w:tcPr>
            <w:tcW w:type="dxa" w:w="3744"/>
            <w:vAlign w:val="center"/>
          </w:tcPr>
          <w:p>
            <w:r/>
            <w:r>
              <w:rPr>
                <w:b w:val="0"/>
                <w:sz w:val="15"/>
              </w:rPr>
              <w:t>Module 6 — Marketing Spend Efficiency | Riya Arya</w:t>
            </w:r>
          </w:p>
        </w:tc>
        <w:tc>
          <w:tcPr>
            <w:tcW w:type="dxa" w:w="5616"/>
            <w:vAlign w:val="center"/>
          </w:tcPr>
          <w:p>
            <w:r/>
            <w:r>
              <w:rPr>
                <w:b w:val="0"/>
                <w:sz w:val="15"/>
              </w:rPr>
              <w:t>Compares acquisition spend across channels such as Google Ads, Meta Ads, Organic and Referral against observed cohort lifetime value. The spend-ingestion method and LTV window remain decisions to finalize.</w:t>
            </w:r>
          </w:p>
        </w:tc>
      </w:tr>
      <w:tr>
        <w:tc>
          <w:tcPr>
            <w:tcW w:type="dxa" w:w="3744"/>
            <w:vAlign w:val="center"/>
          </w:tcPr>
          <w:p>
            <w:r/>
            <w:r>
              <w:rPr>
                <w:b w:val="0"/>
                <w:sz w:val="15"/>
              </w:rPr>
              <w:t>Module 7 — Explainability Engine | Riya Arya</w:t>
            </w:r>
          </w:p>
        </w:tc>
        <w:tc>
          <w:tcPr>
            <w:tcW w:type="dxa" w:w="5616"/>
            <w:vAlign w:val="center"/>
          </w:tcPr>
          <w:p>
            <w:r/>
            <w:r>
              <w:rPr>
                <w:b w:val="0"/>
                <w:sz w:val="15"/>
              </w:rPr>
              <w:t>Ranks feature contributions using standardized absolute contribution logic and maps features to merchant-friendly reason templates. Explanations are stored against the prediction for auditability.</w:t>
            </w:r>
          </w:p>
        </w:tc>
      </w:tr>
      <w:tr>
        <w:tc>
          <w:tcPr>
            <w:tcW w:type="dxa" w:w="3744"/>
            <w:vAlign w:val="center"/>
          </w:tcPr>
          <w:p>
            <w:r/>
            <w:r>
              <w:rPr>
                <w:b w:val="0"/>
                <w:sz w:val="15"/>
              </w:rPr>
              <w:t>Module 8 — ₹ Impact Estimation | Riya Arya</w:t>
            </w:r>
          </w:p>
        </w:tc>
        <w:tc>
          <w:tcPr>
            <w:tcW w:type="dxa" w:w="5616"/>
            <w:vAlign w:val="center"/>
          </w:tcPr>
          <w:p>
            <w:r/>
            <w:r>
              <w:rPr>
                <w:b w:val="0"/>
                <w:sz w:val="15"/>
              </w:rPr>
              <w:t>Converts qualifying prediction risk into a low/high financial-impact range using store-configured cost assumptions. The exact formula and uncertainty margin must be frozen and versioned.</w:t>
            </w:r>
          </w:p>
        </w:tc>
      </w:tr>
      <w:tr>
        <w:tc>
          <w:tcPr>
            <w:tcW w:type="dxa" w:w="3744"/>
            <w:vAlign w:val="center"/>
          </w:tcPr>
          <w:p>
            <w:r/>
            <w:r>
              <w:rPr>
                <w:b w:val="0"/>
                <w:sz w:val="15"/>
              </w:rPr>
              <w:t>Module 9 — Recommendation / Decision Engine | Riya Arya</w:t>
            </w:r>
          </w:p>
        </w:tc>
        <w:tc>
          <w:tcPr>
            <w:tcW w:type="dxa" w:w="5616"/>
            <w:vAlign w:val="center"/>
          </w:tcPr>
          <w:p>
            <w:r/>
            <w:r>
              <w:rPr>
                <w:b w:val="0"/>
                <w:sz w:val="15"/>
              </w:rPr>
              <w:t>Evaluates versioned deterministic rules in priority order and emits exactly one action. An explicit tie-break policy is required to guarantee deterministic output.</w:t>
            </w:r>
          </w:p>
        </w:tc>
      </w:tr>
      <w:tr>
        <w:tc>
          <w:tcPr>
            <w:tcW w:type="dxa" w:w="3744"/>
            <w:vAlign w:val="center"/>
          </w:tcPr>
          <w:p>
            <w:r/>
            <w:r>
              <w:rPr>
                <w:b w:val="0"/>
                <w:sz w:val="15"/>
              </w:rPr>
              <w:t>Module 10 — Incremental Learning | Riya Arya</w:t>
            </w:r>
          </w:p>
        </w:tc>
        <w:tc>
          <w:tcPr>
            <w:tcW w:type="dxa" w:w="5616"/>
            <w:vAlign w:val="center"/>
          </w:tcPr>
          <w:p>
            <w:r/>
            <w:r>
              <w:rPr>
                <w:b w:val="0"/>
                <w:sz w:val="15"/>
              </w:rPr>
              <w:t>Applies one SGD update when a verified outcome arrives. A validation gate and rollback mechanism are required before promoting updated weights.</w:t>
            </w:r>
          </w:p>
        </w:tc>
      </w:tr>
      <w:tr>
        <w:tc>
          <w:tcPr>
            <w:tcW w:type="dxa" w:w="3744"/>
            <w:vAlign w:val="center"/>
          </w:tcPr>
          <w:p>
            <w:r/>
            <w:r>
              <w:rPr>
                <w:b w:val="0"/>
                <w:sz w:val="15"/>
              </w:rPr>
              <w:t>Module 11 — Collective Learning / Simulated FedAvg | Anushka Vishwakarma</w:t>
            </w:r>
          </w:p>
        </w:tc>
        <w:tc>
          <w:tcPr>
            <w:tcW w:type="dxa" w:w="5616"/>
            <w:vAlign w:val="center"/>
          </w:tcPr>
          <w:p>
            <w:r/>
            <w:r>
              <w:rPr>
                <w:b w:val="0"/>
                <w:sz w:val="15"/>
              </w:rPr>
              <w:t>Aggregates local model weights across stores in the same category using sample-weighted averaging. The aggregate is used for cold-start initialization.</w:t>
            </w:r>
          </w:p>
        </w:tc>
      </w:tr>
      <w:tr>
        <w:tc>
          <w:tcPr>
            <w:tcW w:type="dxa" w:w="3744"/>
            <w:vAlign w:val="center"/>
          </w:tcPr>
          <w:p>
            <w:r/>
            <w:r>
              <w:rPr>
                <w:b w:val="0"/>
                <w:sz w:val="15"/>
              </w:rPr>
              <w:t>Module 12 — Privacy &amp; Security | Anushka Vishwakarma</w:t>
            </w:r>
          </w:p>
        </w:tc>
        <w:tc>
          <w:tcPr>
            <w:tcW w:type="dxa" w:w="5616"/>
            <w:vAlign w:val="center"/>
          </w:tcPr>
          <w:p>
            <w:r/>
            <w:r>
              <w:rPr>
                <w:b w:val="0"/>
                <w:sz w:val="15"/>
              </w:rPr>
              <w:t>Protects store/customer data with tenant isolation, encrypted platform credentials, TLS, rate limiting, audit logs and automated cross-tenant security tests.</w:t>
            </w:r>
          </w:p>
        </w:tc>
      </w:tr>
    </w:tbl>
    <w:p/>
    <w:p>
      <w:pPr>
        <w:pStyle w:val="Heading1"/>
        <w:keepNext/>
      </w:pPr>
      <w:r>
        <w:t>10. DATA FLOW AND USE CASES</w:t>
      </w:r>
    </w:p>
    <w:p>
      <w:pPr>
        <w:pStyle w:val="Heading2"/>
        <w:keepNext/>
      </w:pPr>
      <w:r>
        <w:t>10.1 Level-0 Context Flow</w:t>
      </w:r>
    </w:p>
    <w:p>
      <w:pPr>
        <w:spacing w:after="120"/>
        <w:ind w:left="360" w:right="360"/>
        <w:shd w:fill="F2F2F2"/>
      </w:pPr>
      <w:r>
        <w:rPr>
          <w:rFonts w:ascii="Consolas" w:hAnsi="Consolas"/>
          <w:sz w:val="16"/>
        </w:rPr>
        <w:t>Merchant</w:t>
        <w:br/>
        <w:t xml:space="preserve">   |</w:t>
        <w:br/>
        <w:t xml:space="preserve">   | Store configuration / view decisions</w:t>
        <w:br/>
        <w:t xml:space="preserve">   v</w:t>
        <w:br/>
        <w:t>[ MERCHANT CO-PILOT ]</w:t>
        <w:br/>
        <w:t xml:space="preserve">   ^</w:t>
        <w:br/>
        <w:t xml:space="preserve">   |</w:t>
        <w:br/>
        <w:t>Shopify / WooCommerce</w:t>
        <w:br/>
        <w:t xml:space="preserve">   |</w:t>
        <w:br/>
        <w:t xml:space="preserve">   | orders, customers, fulfilment events</w:t>
        <w:br/>
        <w:t xml:space="preserve">   v</w:t>
        <w:br/>
        <w:t>[ Integration + ML + Decision Support ]</w:t>
        <w:br/>
      </w:r>
    </w:p>
    <w:p>
      <w:pPr>
        <w:pStyle w:val="Heading2"/>
        <w:keepNext/>
      </w:pPr>
      <w:r>
        <w:t>10.2 Level-1 Data Flow</w:t>
      </w:r>
    </w:p>
    <w:p>
      <w:pPr>
        <w:pStyle w:val="ListNumber"/>
        <w:spacing w:after="40"/>
      </w:pPr>
      <w:r>
        <w:t>Platform sends an order/customer event.</w:t>
      </w:r>
    </w:p>
    <w:p>
      <w:pPr>
        <w:pStyle w:val="ListNumber"/>
        <w:spacing w:after="40"/>
      </w:pPr>
      <w:r>
        <w:t>Webhook signature is verified.</w:t>
      </w:r>
    </w:p>
    <w:p>
      <w:pPr>
        <w:pStyle w:val="ListNumber"/>
        <w:spacing w:after="40"/>
      </w:pPr>
      <w:r>
        <w:t>Event is stored with an idempotency key.</w:t>
      </w:r>
    </w:p>
    <w:p>
      <w:pPr>
        <w:pStyle w:val="ListNumber"/>
        <w:spacing w:after="40"/>
      </w:pPr>
      <w:r>
        <w:t>Platform-specific payload is normalized.</w:t>
      </w:r>
    </w:p>
    <w:p>
      <w:pPr>
        <w:pStyle w:val="ListNumber"/>
        <w:spacing w:after="40"/>
      </w:pPr>
      <w:r>
        <w:t>Feature service computes an as-of vector.</w:t>
      </w:r>
    </w:p>
    <w:p>
      <w:pPr>
        <w:pStyle w:val="ListNumber"/>
        <w:spacing w:after="40"/>
      </w:pPr>
      <w:r>
        <w:t>RTO or churn model produces a probability.</w:t>
      </w:r>
    </w:p>
    <w:p>
      <w:pPr>
        <w:pStyle w:val="ListNumber"/>
        <w:spacing w:after="40"/>
      </w:pPr>
      <w:r>
        <w:t>Risk band is assigned using configured thresholds.</w:t>
      </w:r>
    </w:p>
    <w:p>
      <w:pPr>
        <w:pStyle w:val="ListNumber"/>
        <w:spacing w:after="40"/>
      </w:pPr>
      <w:r>
        <w:t>Explanation, impact and recommendation are generated.</w:t>
      </w:r>
    </w:p>
    <w:p>
      <w:pPr>
        <w:pStyle w:val="ListNumber"/>
        <w:spacing w:after="40"/>
      </w:pPr>
      <w:r>
        <w:t>Prediction and decision artifacts are stored.</w:t>
      </w:r>
    </w:p>
    <w:p>
      <w:pPr>
        <w:pStyle w:val="ListNumber"/>
        <w:spacing w:after="40"/>
      </w:pPr>
      <w:r>
        <w:t>Dashboard displays the result to the merchant.</w:t>
      </w:r>
    </w:p>
    <w:p>
      <w:pPr>
        <w:pStyle w:val="ListNumber"/>
        <w:spacing w:after="40"/>
      </w:pPr>
      <w:r>
        <w:t>Later verified outcomes update the model through a controlled SGD step.</w:t>
      </w:r>
    </w:p>
    <w:p>
      <w:pPr>
        <w:pStyle w:val="Heading2"/>
        <w:keepNext/>
      </w:pPr>
      <w:r>
        <w:t>10.3 Main Use Cases</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7365D"/>
          </w:tcPr>
          <w:p>
            <w:r/>
            <w:r>
              <w:rPr>
                <w:b/>
                <w:color w:val="FFFFFF"/>
                <w:sz w:val="16"/>
              </w:rPr>
              <w:t>Actor</w:t>
            </w:r>
          </w:p>
        </w:tc>
        <w:tc>
          <w:tcPr>
            <w:tcW w:type="dxa" w:w="3600"/>
            <w:vAlign w:val="center"/>
            <w:shd w:fill="17365D"/>
          </w:tcPr>
          <w:p>
            <w:r/>
            <w:r>
              <w:rPr>
                <w:b/>
                <w:color w:val="FFFFFF"/>
                <w:sz w:val="16"/>
              </w:rPr>
              <w:t>Use Case</w:t>
            </w:r>
          </w:p>
        </w:tc>
        <w:tc>
          <w:tcPr>
            <w:tcW w:type="dxa" w:w="4032"/>
            <w:vAlign w:val="center"/>
            <w:shd w:fill="17365D"/>
          </w:tcPr>
          <w:p>
            <w:r/>
            <w:r>
              <w:rPr>
                <w:b/>
                <w:color w:val="FFFFFF"/>
                <w:sz w:val="16"/>
              </w:rPr>
              <w:t>Result</w:t>
            </w:r>
          </w:p>
        </w:tc>
      </w:tr>
      <w:tr>
        <w:tc>
          <w:tcPr>
            <w:tcW w:type="dxa" w:w="1728"/>
            <w:vAlign w:val="center"/>
          </w:tcPr>
          <w:p>
            <w:r/>
            <w:r>
              <w:rPr>
                <w:b w:val="0"/>
                <w:sz w:val="16"/>
              </w:rPr>
              <w:t>Merchant</w:t>
            </w:r>
          </w:p>
        </w:tc>
        <w:tc>
          <w:tcPr>
            <w:tcW w:type="dxa" w:w="3600"/>
            <w:vAlign w:val="center"/>
          </w:tcPr>
          <w:p>
            <w:r/>
            <w:r>
              <w:rPr>
                <w:b w:val="0"/>
                <w:sz w:val="16"/>
              </w:rPr>
              <w:t>Register/login</w:t>
            </w:r>
          </w:p>
        </w:tc>
        <w:tc>
          <w:tcPr>
            <w:tcW w:type="dxa" w:w="4032"/>
            <w:vAlign w:val="center"/>
          </w:tcPr>
          <w:p>
            <w:r/>
            <w:r>
              <w:rPr>
                <w:b w:val="0"/>
                <w:sz w:val="16"/>
              </w:rPr>
              <w:t>Authenticated store workspace</w:t>
            </w:r>
          </w:p>
        </w:tc>
      </w:tr>
      <w:tr>
        <w:tc>
          <w:tcPr>
            <w:tcW w:type="dxa" w:w="1728"/>
            <w:vAlign w:val="center"/>
          </w:tcPr>
          <w:p>
            <w:r/>
            <w:r>
              <w:rPr>
                <w:b w:val="0"/>
                <w:sz w:val="16"/>
              </w:rPr>
              <w:t>Merchant</w:t>
            </w:r>
          </w:p>
        </w:tc>
        <w:tc>
          <w:tcPr>
            <w:tcW w:type="dxa" w:w="3600"/>
            <w:vAlign w:val="center"/>
          </w:tcPr>
          <w:p>
            <w:r/>
            <w:r>
              <w:rPr>
                <w:b w:val="0"/>
                <w:sz w:val="16"/>
              </w:rPr>
              <w:t>Connect store</w:t>
            </w:r>
          </w:p>
        </w:tc>
        <w:tc>
          <w:tcPr>
            <w:tcW w:type="dxa" w:w="4032"/>
            <w:vAlign w:val="center"/>
          </w:tcPr>
          <w:p>
            <w:r/>
            <w:r>
              <w:rPr>
                <w:b w:val="0"/>
                <w:sz w:val="16"/>
              </w:rPr>
              <w:t>Shopify/WooCommerce connection</w:t>
            </w:r>
          </w:p>
        </w:tc>
      </w:tr>
      <w:tr>
        <w:tc>
          <w:tcPr>
            <w:tcW w:type="dxa" w:w="1728"/>
            <w:vAlign w:val="center"/>
          </w:tcPr>
          <w:p>
            <w:r/>
            <w:r>
              <w:rPr>
                <w:b w:val="0"/>
                <w:sz w:val="16"/>
              </w:rPr>
              <w:t>Platform</w:t>
            </w:r>
          </w:p>
        </w:tc>
        <w:tc>
          <w:tcPr>
            <w:tcW w:type="dxa" w:w="3600"/>
            <w:vAlign w:val="center"/>
          </w:tcPr>
          <w:p>
            <w:r/>
            <w:r>
              <w:rPr>
                <w:b w:val="0"/>
                <w:sz w:val="16"/>
              </w:rPr>
              <w:t>Send webhook</w:t>
            </w:r>
          </w:p>
        </w:tc>
        <w:tc>
          <w:tcPr>
            <w:tcW w:type="dxa" w:w="4032"/>
            <w:vAlign w:val="center"/>
          </w:tcPr>
          <w:p>
            <w:r/>
            <w:r>
              <w:rPr>
                <w:b w:val="0"/>
                <w:sz w:val="16"/>
              </w:rPr>
              <w:t>Verified event enters pipeline</w:t>
            </w:r>
          </w:p>
        </w:tc>
      </w:tr>
      <w:tr>
        <w:tc>
          <w:tcPr>
            <w:tcW w:type="dxa" w:w="1728"/>
            <w:vAlign w:val="center"/>
          </w:tcPr>
          <w:p>
            <w:r/>
            <w:r>
              <w:rPr>
                <w:b w:val="0"/>
                <w:sz w:val="16"/>
              </w:rPr>
              <w:t>Merchant</w:t>
            </w:r>
          </w:p>
        </w:tc>
        <w:tc>
          <w:tcPr>
            <w:tcW w:type="dxa" w:w="3600"/>
            <w:vAlign w:val="center"/>
          </w:tcPr>
          <w:p>
            <w:r/>
            <w:r>
              <w:rPr>
                <w:b w:val="0"/>
                <w:sz w:val="16"/>
              </w:rPr>
              <w:t>View RTO risk</w:t>
            </w:r>
          </w:p>
        </w:tc>
        <w:tc>
          <w:tcPr>
            <w:tcW w:type="dxa" w:w="4032"/>
            <w:vAlign w:val="center"/>
          </w:tcPr>
          <w:p>
            <w:r/>
            <w:r>
              <w:rPr>
                <w:b w:val="0"/>
                <w:sz w:val="16"/>
              </w:rPr>
              <w:t>Order-level risk and supporting outputs</w:t>
            </w:r>
          </w:p>
        </w:tc>
      </w:tr>
      <w:tr>
        <w:tc>
          <w:tcPr>
            <w:tcW w:type="dxa" w:w="1728"/>
            <w:vAlign w:val="center"/>
          </w:tcPr>
          <w:p>
            <w:r/>
            <w:r>
              <w:rPr>
                <w:b w:val="0"/>
                <w:sz w:val="16"/>
              </w:rPr>
              <w:t>Merchant</w:t>
            </w:r>
          </w:p>
        </w:tc>
        <w:tc>
          <w:tcPr>
            <w:tcW w:type="dxa" w:w="3600"/>
            <w:vAlign w:val="center"/>
          </w:tcPr>
          <w:p>
            <w:r/>
            <w:r>
              <w:rPr>
                <w:b w:val="0"/>
                <w:sz w:val="16"/>
              </w:rPr>
              <w:t>View churn risk</w:t>
            </w:r>
          </w:p>
        </w:tc>
        <w:tc>
          <w:tcPr>
            <w:tcW w:type="dxa" w:w="4032"/>
            <w:vAlign w:val="center"/>
          </w:tcPr>
          <w:p>
            <w:r/>
            <w:r>
              <w:rPr>
                <w:b w:val="0"/>
                <w:sz w:val="16"/>
              </w:rPr>
              <w:t>Customer-level scheduled risk</w:t>
            </w:r>
          </w:p>
        </w:tc>
      </w:tr>
      <w:tr>
        <w:tc>
          <w:tcPr>
            <w:tcW w:type="dxa" w:w="1728"/>
            <w:vAlign w:val="center"/>
          </w:tcPr>
          <w:p>
            <w:r/>
            <w:r>
              <w:rPr>
                <w:b w:val="0"/>
                <w:sz w:val="16"/>
              </w:rPr>
              <w:t>Merchant</w:t>
            </w:r>
          </w:p>
        </w:tc>
        <w:tc>
          <w:tcPr>
            <w:tcW w:type="dxa" w:w="3600"/>
            <w:vAlign w:val="center"/>
          </w:tcPr>
          <w:p>
            <w:r/>
            <w:r>
              <w:rPr>
                <w:b w:val="0"/>
                <w:sz w:val="16"/>
              </w:rPr>
              <w:t>Review explanation</w:t>
            </w:r>
          </w:p>
        </w:tc>
        <w:tc>
          <w:tcPr>
            <w:tcW w:type="dxa" w:w="4032"/>
            <w:vAlign w:val="center"/>
          </w:tcPr>
          <w:p>
            <w:r/>
            <w:r>
              <w:rPr>
                <w:b w:val="0"/>
                <w:sz w:val="16"/>
              </w:rPr>
              <w:t>2–3 ranked reasons</w:t>
            </w:r>
          </w:p>
        </w:tc>
      </w:tr>
      <w:tr>
        <w:tc>
          <w:tcPr>
            <w:tcW w:type="dxa" w:w="1728"/>
            <w:vAlign w:val="center"/>
          </w:tcPr>
          <w:p>
            <w:r/>
            <w:r>
              <w:rPr>
                <w:b w:val="0"/>
                <w:sz w:val="16"/>
              </w:rPr>
              <w:t>Merchant</w:t>
            </w:r>
          </w:p>
        </w:tc>
        <w:tc>
          <w:tcPr>
            <w:tcW w:type="dxa" w:w="3600"/>
            <w:vAlign w:val="center"/>
          </w:tcPr>
          <w:p>
            <w:r/>
            <w:r>
              <w:rPr>
                <w:b w:val="0"/>
                <w:sz w:val="16"/>
              </w:rPr>
              <w:t>Review impact</w:t>
            </w:r>
          </w:p>
        </w:tc>
        <w:tc>
          <w:tcPr>
            <w:tcW w:type="dxa" w:w="4032"/>
            <w:vAlign w:val="center"/>
          </w:tcPr>
          <w:p>
            <w:r/>
            <w:r>
              <w:rPr>
                <w:b w:val="0"/>
                <w:sz w:val="16"/>
              </w:rPr>
              <w:t>Configurable ₹ range</w:t>
            </w:r>
          </w:p>
        </w:tc>
      </w:tr>
      <w:tr>
        <w:tc>
          <w:tcPr>
            <w:tcW w:type="dxa" w:w="1728"/>
            <w:vAlign w:val="center"/>
          </w:tcPr>
          <w:p>
            <w:r/>
            <w:r>
              <w:rPr>
                <w:b w:val="0"/>
                <w:sz w:val="16"/>
              </w:rPr>
              <w:t>Merchant</w:t>
            </w:r>
          </w:p>
        </w:tc>
        <w:tc>
          <w:tcPr>
            <w:tcW w:type="dxa" w:w="3600"/>
            <w:vAlign w:val="center"/>
          </w:tcPr>
          <w:p>
            <w:r/>
            <w:r>
              <w:rPr>
                <w:b w:val="0"/>
                <w:sz w:val="16"/>
              </w:rPr>
              <w:t>Review recommendation</w:t>
            </w:r>
          </w:p>
        </w:tc>
        <w:tc>
          <w:tcPr>
            <w:tcW w:type="dxa" w:w="4032"/>
            <w:vAlign w:val="center"/>
          </w:tcPr>
          <w:p>
            <w:r/>
            <w:r>
              <w:rPr>
                <w:b w:val="0"/>
                <w:sz w:val="16"/>
              </w:rPr>
              <w:t>Exactly one deterministic action</w:t>
            </w:r>
          </w:p>
        </w:tc>
      </w:tr>
      <w:tr>
        <w:tc>
          <w:tcPr>
            <w:tcW w:type="dxa" w:w="1728"/>
            <w:vAlign w:val="center"/>
          </w:tcPr>
          <w:p>
            <w:r/>
            <w:r>
              <w:rPr>
                <w:b w:val="0"/>
                <w:sz w:val="16"/>
              </w:rPr>
              <w:t>System</w:t>
            </w:r>
          </w:p>
        </w:tc>
        <w:tc>
          <w:tcPr>
            <w:tcW w:type="dxa" w:w="3600"/>
            <w:vAlign w:val="center"/>
          </w:tcPr>
          <w:p>
            <w:r/>
            <w:r>
              <w:rPr>
                <w:b w:val="0"/>
                <w:sz w:val="16"/>
              </w:rPr>
              <w:t>Receive verified outcome</w:t>
            </w:r>
          </w:p>
        </w:tc>
        <w:tc>
          <w:tcPr>
            <w:tcW w:type="dxa" w:w="4032"/>
            <w:vAlign w:val="center"/>
          </w:tcPr>
          <w:p>
            <w:r/>
            <w:r>
              <w:rPr>
                <w:b w:val="0"/>
                <w:sz w:val="16"/>
              </w:rPr>
              <w:t>Incremental model update</w:t>
            </w:r>
          </w:p>
        </w:tc>
      </w:tr>
      <w:tr>
        <w:tc>
          <w:tcPr>
            <w:tcW w:type="dxa" w:w="1728"/>
            <w:vAlign w:val="center"/>
          </w:tcPr>
          <w:p>
            <w:r/>
            <w:r>
              <w:rPr>
                <w:b w:val="0"/>
                <w:sz w:val="16"/>
              </w:rPr>
              <w:t>Scheduler</w:t>
            </w:r>
          </w:p>
        </w:tc>
        <w:tc>
          <w:tcPr>
            <w:tcW w:type="dxa" w:w="3600"/>
            <w:vAlign w:val="center"/>
          </w:tcPr>
          <w:p>
            <w:r/>
            <w:r>
              <w:rPr>
                <w:b w:val="0"/>
                <w:sz w:val="16"/>
              </w:rPr>
              <w:t>Run weekly aggregation</w:t>
            </w:r>
          </w:p>
        </w:tc>
        <w:tc>
          <w:tcPr>
            <w:tcW w:type="dxa" w:w="4032"/>
            <w:vAlign w:val="center"/>
          </w:tcPr>
          <w:p>
            <w:r/>
            <w:r>
              <w:rPr>
                <w:b w:val="0"/>
                <w:sz w:val="16"/>
              </w:rPr>
              <w:t>Category collective model</w:t>
            </w:r>
          </w:p>
        </w:tc>
      </w:tr>
      <w:tr>
        <w:tc>
          <w:tcPr>
            <w:tcW w:type="dxa" w:w="1728"/>
            <w:vAlign w:val="center"/>
          </w:tcPr>
          <w:p>
            <w:r/>
            <w:r>
              <w:rPr>
                <w:b w:val="0"/>
                <w:sz w:val="16"/>
              </w:rPr>
              <w:t>Security test</w:t>
            </w:r>
          </w:p>
        </w:tc>
        <w:tc>
          <w:tcPr>
            <w:tcW w:type="dxa" w:w="3600"/>
            <w:vAlign w:val="center"/>
          </w:tcPr>
          <w:p>
            <w:r/>
            <w:r>
              <w:rPr>
                <w:b w:val="0"/>
                <w:sz w:val="16"/>
              </w:rPr>
              <w:t>Attempt cross-store access</w:t>
            </w:r>
          </w:p>
        </w:tc>
        <w:tc>
          <w:tcPr>
            <w:tcW w:type="dxa" w:w="4032"/>
            <w:vAlign w:val="center"/>
          </w:tcPr>
          <w:p>
            <w:r/>
            <w:r>
              <w:rPr>
                <w:b w:val="0"/>
                <w:sz w:val="16"/>
              </w:rPr>
              <w:t>Isolation must fail safely</w:t>
            </w:r>
          </w:p>
        </w:tc>
      </w:tr>
    </w:tbl>
    <w:p/>
    <w:p>
      <w:pPr>
        <w:pStyle w:val="Heading1"/>
        <w:keepNext/>
      </w:pPr>
      <w:r>
        <w:t>11. DATABASE DESIGN</w:t>
      </w:r>
    </w:p>
    <w:p>
      <w:pPr>
        <w:spacing w:after="100" w:line="259" w:lineRule="auto"/>
      </w:pPr>
      <w:r>
        <w:t>The core database design is relational and store-centric. Every merchant-owned record either carries store_id directly or is traceable to a store through its parent relation. This creates a consistent authorization boundary.</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7365D"/>
          </w:tcPr>
          <w:p>
            <w:r/>
            <w:r>
              <w:rPr>
                <w:b/>
                <w:color w:val="FFFFFF"/>
                <w:sz w:val="15"/>
              </w:rPr>
              <w:t>Table</w:t>
            </w:r>
          </w:p>
        </w:tc>
        <w:tc>
          <w:tcPr>
            <w:tcW w:type="dxa" w:w="4032"/>
            <w:vAlign w:val="center"/>
            <w:shd w:fill="17365D"/>
          </w:tcPr>
          <w:p>
            <w:r/>
            <w:r>
              <w:rPr>
                <w:b/>
                <w:color w:val="FFFFFF"/>
                <w:sz w:val="15"/>
              </w:rPr>
              <w:t>Purpose</w:t>
            </w:r>
          </w:p>
        </w:tc>
        <w:tc>
          <w:tcPr>
            <w:tcW w:type="dxa" w:w="3024"/>
            <w:vAlign w:val="center"/>
            <w:shd w:fill="17365D"/>
          </w:tcPr>
          <w:p>
            <w:r/>
            <w:r>
              <w:rPr>
                <w:b/>
                <w:color w:val="FFFFFF"/>
                <w:sz w:val="15"/>
              </w:rPr>
              <w:t>Key relationships</w:t>
            </w:r>
          </w:p>
        </w:tc>
      </w:tr>
      <w:tr>
        <w:tc>
          <w:tcPr>
            <w:tcW w:type="dxa" w:w="2304"/>
            <w:vAlign w:val="center"/>
          </w:tcPr>
          <w:p>
            <w:r/>
            <w:r>
              <w:rPr>
                <w:b w:val="0"/>
                <w:sz w:val="15"/>
              </w:rPr>
              <w:t>users</w:t>
            </w:r>
          </w:p>
        </w:tc>
        <w:tc>
          <w:tcPr>
            <w:tcW w:type="dxa" w:w="4032"/>
            <w:vAlign w:val="center"/>
          </w:tcPr>
          <w:p>
            <w:r/>
            <w:r>
              <w:rPr>
                <w:b w:val="0"/>
                <w:sz w:val="15"/>
              </w:rPr>
              <w:t>Merchant/staff identity and authentication</w:t>
            </w:r>
          </w:p>
        </w:tc>
        <w:tc>
          <w:tcPr>
            <w:tcW w:type="dxa" w:w="3024"/>
            <w:vAlign w:val="center"/>
          </w:tcPr>
          <w:p>
            <w:r/>
            <w:r>
              <w:rPr>
                <w:b w:val="0"/>
                <w:sz w:val="15"/>
              </w:rPr>
              <w:t>User owns stores</w:t>
            </w:r>
          </w:p>
        </w:tc>
      </w:tr>
      <w:tr>
        <w:tc>
          <w:tcPr>
            <w:tcW w:type="dxa" w:w="2304"/>
            <w:vAlign w:val="center"/>
          </w:tcPr>
          <w:p>
            <w:r/>
            <w:r>
              <w:rPr>
                <w:b w:val="0"/>
                <w:sz w:val="15"/>
              </w:rPr>
              <w:t>stores</w:t>
            </w:r>
          </w:p>
        </w:tc>
        <w:tc>
          <w:tcPr>
            <w:tcW w:type="dxa" w:w="4032"/>
            <w:vAlign w:val="center"/>
          </w:tcPr>
          <w:p>
            <w:r/>
            <w:r>
              <w:rPr>
                <w:b w:val="0"/>
                <w:sz w:val="15"/>
              </w:rPr>
              <w:t>Store configuration and tenant boundary</w:t>
            </w:r>
          </w:p>
        </w:tc>
        <w:tc>
          <w:tcPr>
            <w:tcW w:type="dxa" w:w="3024"/>
            <w:vAlign w:val="center"/>
          </w:tcPr>
          <w:p>
            <w:r/>
            <w:r>
              <w:rPr>
                <w:b w:val="0"/>
                <w:sz w:val="15"/>
              </w:rPr>
              <w:t>Merchant → stores</w:t>
            </w:r>
          </w:p>
        </w:tc>
      </w:tr>
      <w:tr>
        <w:tc>
          <w:tcPr>
            <w:tcW w:type="dxa" w:w="2304"/>
            <w:vAlign w:val="center"/>
          </w:tcPr>
          <w:p>
            <w:r/>
            <w:r>
              <w:rPr>
                <w:b w:val="0"/>
                <w:sz w:val="15"/>
              </w:rPr>
              <w:t>platform_connections</w:t>
            </w:r>
          </w:p>
        </w:tc>
        <w:tc>
          <w:tcPr>
            <w:tcW w:type="dxa" w:w="4032"/>
            <w:vAlign w:val="center"/>
          </w:tcPr>
          <w:p>
            <w:r/>
            <w:r>
              <w:rPr>
                <w:b w:val="0"/>
                <w:sz w:val="15"/>
              </w:rPr>
              <w:t>Shopify/WooCommerce credentials and status</w:t>
            </w:r>
          </w:p>
        </w:tc>
        <w:tc>
          <w:tcPr>
            <w:tcW w:type="dxa" w:w="3024"/>
            <w:vAlign w:val="center"/>
          </w:tcPr>
          <w:p>
            <w:r/>
            <w:r>
              <w:rPr>
                <w:b w:val="0"/>
                <w:sz w:val="15"/>
              </w:rPr>
              <w:t>Store → connections</w:t>
            </w:r>
          </w:p>
        </w:tc>
      </w:tr>
      <w:tr>
        <w:tc>
          <w:tcPr>
            <w:tcW w:type="dxa" w:w="2304"/>
            <w:vAlign w:val="center"/>
          </w:tcPr>
          <w:p>
            <w:r/>
            <w:r>
              <w:rPr>
                <w:b w:val="0"/>
                <w:sz w:val="15"/>
              </w:rPr>
              <w:t>customers</w:t>
            </w:r>
          </w:p>
        </w:tc>
        <w:tc>
          <w:tcPr>
            <w:tcW w:type="dxa" w:w="4032"/>
            <w:vAlign w:val="center"/>
          </w:tcPr>
          <w:p>
            <w:r/>
            <w:r>
              <w:rPr>
                <w:b w:val="0"/>
                <w:sz w:val="15"/>
              </w:rPr>
              <w:t>Normalized customer records</w:t>
            </w:r>
          </w:p>
        </w:tc>
        <w:tc>
          <w:tcPr>
            <w:tcW w:type="dxa" w:w="3024"/>
            <w:vAlign w:val="center"/>
          </w:tcPr>
          <w:p>
            <w:r/>
            <w:r>
              <w:rPr>
                <w:b w:val="0"/>
                <w:sz w:val="15"/>
              </w:rPr>
              <w:t>Store → customers</w:t>
            </w:r>
          </w:p>
        </w:tc>
      </w:tr>
      <w:tr>
        <w:tc>
          <w:tcPr>
            <w:tcW w:type="dxa" w:w="2304"/>
            <w:vAlign w:val="center"/>
          </w:tcPr>
          <w:p>
            <w:r/>
            <w:r>
              <w:rPr>
                <w:b w:val="0"/>
                <w:sz w:val="15"/>
              </w:rPr>
              <w:t>orders</w:t>
            </w:r>
          </w:p>
        </w:tc>
        <w:tc>
          <w:tcPr>
            <w:tcW w:type="dxa" w:w="4032"/>
            <w:vAlign w:val="center"/>
          </w:tcPr>
          <w:p>
            <w:r/>
            <w:r>
              <w:rPr>
                <w:b w:val="0"/>
                <w:sz w:val="15"/>
              </w:rPr>
              <w:t>Normalized order records</w:t>
            </w:r>
          </w:p>
        </w:tc>
        <w:tc>
          <w:tcPr>
            <w:tcW w:type="dxa" w:w="3024"/>
            <w:vAlign w:val="center"/>
          </w:tcPr>
          <w:p>
            <w:r/>
            <w:r>
              <w:rPr>
                <w:b w:val="0"/>
                <w:sz w:val="15"/>
              </w:rPr>
              <w:t>Store → orders; customer → orders</w:t>
            </w:r>
          </w:p>
        </w:tc>
      </w:tr>
      <w:tr>
        <w:tc>
          <w:tcPr>
            <w:tcW w:type="dxa" w:w="2304"/>
            <w:vAlign w:val="center"/>
          </w:tcPr>
          <w:p>
            <w:r/>
            <w:r>
              <w:rPr>
                <w:b w:val="0"/>
                <w:sz w:val="15"/>
              </w:rPr>
              <w:t>order_items</w:t>
            </w:r>
          </w:p>
        </w:tc>
        <w:tc>
          <w:tcPr>
            <w:tcW w:type="dxa" w:w="4032"/>
            <w:vAlign w:val="center"/>
          </w:tcPr>
          <w:p>
            <w:r/>
            <w:r>
              <w:rPr>
                <w:b w:val="0"/>
                <w:sz w:val="15"/>
              </w:rPr>
              <w:t>Products/items within orders</w:t>
            </w:r>
          </w:p>
        </w:tc>
        <w:tc>
          <w:tcPr>
            <w:tcW w:type="dxa" w:w="3024"/>
            <w:vAlign w:val="center"/>
          </w:tcPr>
          <w:p>
            <w:r/>
            <w:r>
              <w:rPr>
                <w:b w:val="0"/>
                <w:sz w:val="15"/>
              </w:rPr>
              <w:t>Order → items</w:t>
            </w:r>
          </w:p>
        </w:tc>
      </w:tr>
      <w:tr>
        <w:tc>
          <w:tcPr>
            <w:tcW w:type="dxa" w:w="2304"/>
            <w:vAlign w:val="center"/>
          </w:tcPr>
          <w:p>
            <w:r/>
            <w:r>
              <w:rPr>
                <w:b w:val="0"/>
                <w:sz w:val="15"/>
              </w:rPr>
              <w:t>fulfillments</w:t>
            </w:r>
          </w:p>
        </w:tc>
        <w:tc>
          <w:tcPr>
            <w:tcW w:type="dxa" w:w="4032"/>
            <w:vAlign w:val="center"/>
          </w:tcPr>
          <w:p>
            <w:r/>
            <w:r>
              <w:rPr>
                <w:b w:val="0"/>
                <w:sz w:val="15"/>
              </w:rPr>
              <w:t>Shipment/fulfilment events</w:t>
            </w:r>
          </w:p>
        </w:tc>
        <w:tc>
          <w:tcPr>
            <w:tcW w:type="dxa" w:w="3024"/>
            <w:vAlign w:val="center"/>
          </w:tcPr>
          <w:p>
            <w:r/>
            <w:r>
              <w:rPr>
                <w:b w:val="0"/>
                <w:sz w:val="15"/>
              </w:rPr>
              <w:t>Order → fulfillments</w:t>
            </w:r>
          </w:p>
        </w:tc>
      </w:tr>
      <w:tr>
        <w:tc>
          <w:tcPr>
            <w:tcW w:type="dxa" w:w="2304"/>
            <w:vAlign w:val="center"/>
          </w:tcPr>
          <w:p>
            <w:r/>
            <w:r>
              <w:rPr>
                <w:b w:val="0"/>
                <w:sz w:val="15"/>
              </w:rPr>
              <w:t>outcomes</w:t>
            </w:r>
          </w:p>
        </w:tc>
        <w:tc>
          <w:tcPr>
            <w:tcW w:type="dxa" w:w="4032"/>
            <w:vAlign w:val="center"/>
          </w:tcPr>
          <w:p>
            <w:r/>
            <w:r>
              <w:rPr>
                <w:b w:val="0"/>
                <w:sz w:val="15"/>
              </w:rPr>
              <w:t>Verified RTO/churn outcomes</w:t>
            </w:r>
          </w:p>
        </w:tc>
        <w:tc>
          <w:tcPr>
            <w:tcW w:type="dxa" w:w="3024"/>
            <w:vAlign w:val="center"/>
          </w:tcPr>
          <w:p>
            <w:r/>
            <w:r>
              <w:rPr>
                <w:b w:val="0"/>
                <w:sz w:val="15"/>
              </w:rPr>
              <w:t>Store/order/customer</w:t>
            </w:r>
          </w:p>
        </w:tc>
      </w:tr>
      <w:tr>
        <w:tc>
          <w:tcPr>
            <w:tcW w:type="dxa" w:w="2304"/>
            <w:vAlign w:val="center"/>
          </w:tcPr>
          <w:p>
            <w:r/>
            <w:r>
              <w:rPr>
                <w:b w:val="0"/>
                <w:sz w:val="15"/>
              </w:rPr>
              <w:t>features</w:t>
            </w:r>
          </w:p>
        </w:tc>
        <w:tc>
          <w:tcPr>
            <w:tcW w:type="dxa" w:w="4032"/>
            <w:vAlign w:val="center"/>
          </w:tcPr>
          <w:p>
            <w:r/>
            <w:r>
              <w:rPr>
                <w:b w:val="0"/>
                <w:sz w:val="15"/>
              </w:rPr>
              <w:t>Point-in-time feature vectors</w:t>
            </w:r>
          </w:p>
        </w:tc>
        <w:tc>
          <w:tcPr>
            <w:tcW w:type="dxa" w:w="3024"/>
            <w:vAlign w:val="center"/>
          </w:tcPr>
          <w:p>
            <w:r/>
            <w:r>
              <w:rPr>
                <w:b w:val="0"/>
                <w:sz w:val="15"/>
              </w:rPr>
              <w:t>Prediction context</w:t>
            </w:r>
          </w:p>
        </w:tc>
      </w:tr>
      <w:tr>
        <w:tc>
          <w:tcPr>
            <w:tcW w:type="dxa" w:w="2304"/>
            <w:vAlign w:val="center"/>
          </w:tcPr>
          <w:p>
            <w:r/>
            <w:r>
              <w:rPr>
                <w:b w:val="0"/>
                <w:sz w:val="15"/>
              </w:rPr>
              <w:t>predictions</w:t>
            </w:r>
          </w:p>
        </w:tc>
        <w:tc>
          <w:tcPr>
            <w:tcW w:type="dxa" w:w="4032"/>
            <w:vAlign w:val="center"/>
          </w:tcPr>
          <w:p>
            <w:r/>
            <w:r>
              <w:rPr>
                <w:b w:val="0"/>
                <w:sz w:val="15"/>
              </w:rPr>
              <w:t>Model probability and risk band</w:t>
            </w:r>
          </w:p>
        </w:tc>
        <w:tc>
          <w:tcPr>
            <w:tcW w:type="dxa" w:w="3024"/>
            <w:vAlign w:val="center"/>
          </w:tcPr>
          <w:p>
            <w:r/>
            <w:r>
              <w:rPr>
                <w:b w:val="0"/>
                <w:sz w:val="15"/>
              </w:rPr>
              <w:t>Order/customer → prediction</w:t>
            </w:r>
          </w:p>
        </w:tc>
      </w:tr>
      <w:tr>
        <w:tc>
          <w:tcPr>
            <w:tcW w:type="dxa" w:w="2304"/>
            <w:vAlign w:val="center"/>
          </w:tcPr>
          <w:p>
            <w:r/>
            <w:r>
              <w:rPr>
                <w:b w:val="0"/>
                <w:sz w:val="15"/>
              </w:rPr>
              <w:t>explanations</w:t>
            </w:r>
          </w:p>
        </w:tc>
        <w:tc>
          <w:tcPr>
            <w:tcW w:type="dxa" w:w="4032"/>
            <w:vAlign w:val="center"/>
          </w:tcPr>
          <w:p>
            <w:r/>
            <w:r>
              <w:rPr>
                <w:b w:val="0"/>
                <w:sz w:val="15"/>
              </w:rPr>
              <w:t>Ranked reason outputs</w:t>
            </w:r>
          </w:p>
        </w:tc>
        <w:tc>
          <w:tcPr>
            <w:tcW w:type="dxa" w:w="3024"/>
            <w:vAlign w:val="center"/>
          </w:tcPr>
          <w:p>
            <w:r/>
            <w:r>
              <w:rPr>
                <w:b w:val="0"/>
                <w:sz w:val="15"/>
              </w:rPr>
              <w:t>Prediction → explanation</w:t>
            </w:r>
          </w:p>
        </w:tc>
      </w:tr>
      <w:tr>
        <w:tc>
          <w:tcPr>
            <w:tcW w:type="dxa" w:w="2304"/>
            <w:vAlign w:val="center"/>
          </w:tcPr>
          <w:p>
            <w:r/>
            <w:r>
              <w:rPr>
                <w:b w:val="0"/>
                <w:sz w:val="15"/>
              </w:rPr>
              <w:t>impacts</w:t>
            </w:r>
          </w:p>
        </w:tc>
        <w:tc>
          <w:tcPr>
            <w:tcW w:type="dxa" w:w="4032"/>
            <w:vAlign w:val="center"/>
          </w:tcPr>
          <w:p>
            <w:r/>
            <w:r>
              <w:rPr>
                <w:b w:val="0"/>
                <w:sz w:val="15"/>
              </w:rPr>
              <w:t>Low/high ₹ estimates and formula version</w:t>
            </w:r>
          </w:p>
        </w:tc>
        <w:tc>
          <w:tcPr>
            <w:tcW w:type="dxa" w:w="3024"/>
            <w:vAlign w:val="center"/>
          </w:tcPr>
          <w:p>
            <w:r/>
            <w:r>
              <w:rPr>
                <w:b w:val="0"/>
                <w:sz w:val="15"/>
              </w:rPr>
              <w:t>Prediction → impact</w:t>
            </w:r>
          </w:p>
        </w:tc>
      </w:tr>
      <w:tr>
        <w:tc>
          <w:tcPr>
            <w:tcW w:type="dxa" w:w="2304"/>
            <w:vAlign w:val="center"/>
          </w:tcPr>
          <w:p>
            <w:r/>
            <w:r>
              <w:rPr>
                <w:b w:val="0"/>
                <w:sz w:val="15"/>
              </w:rPr>
              <w:t>recommendations</w:t>
            </w:r>
          </w:p>
        </w:tc>
        <w:tc>
          <w:tcPr>
            <w:tcW w:type="dxa" w:w="4032"/>
            <w:vAlign w:val="center"/>
          </w:tcPr>
          <w:p>
            <w:r/>
            <w:r>
              <w:rPr>
                <w:b w:val="0"/>
                <w:sz w:val="15"/>
              </w:rPr>
              <w:t>Single selected action</w:t>
            </w:r>
          </w:p>
        </w:tc>
        <w:tc>
          <w:tcPr>
            <w:tcW w:type="dxa" w:w="3024"/>
            <w:vAlign w:val="center"/>
          </w:tcPr>
          <w:p>
            <w:r/>
            <w:r>
              <w:rPr>
                <w:b w:val="0"/>
                <w:sz w:val="15"/>
              </w:rPr>
              <w:t>Prediction → recommendation</w:t>
            </w:r>
          </w:p>
        </w:tc>
      </w:tr>
      <w:tr>
        <w:tc>
          <w:tcPr>
            <w:tcW w:type="dxa" w:w="2304"/>
            <w:vAlign w:val="center"/>
          </w:tcPr>
          <w:p>
            <w:r/>
            <w:r>
              <w:rPr>
                <w:b w:val="0"/>
                <w:sz w:val="15"/>
              </w:rPr>
              <w:t>model_versions</w:t>
            </w:r>
          </w:p>
        </w:tc>
        <w:tc>
          <w:tcPr>
            <w:tcW w:type="dxa" w:w="4032"/>
            <w:vAlign w:val="center"/>
          </w:tcPr>
          <w:p>
            <w:r/>
            <w:r>
              <w:rPr>
                <w:b w:val="0"/>
                <w:sz w:val="15"/>
              </w:rPr>
              <w:t>Model weights, metrics and configuration</w:t>
            </w:r>
          </w:p>
        </w:tc>
        <w:tc>
          <w:tcPr>
            <w:tcW w:type="dxa" w:w="3024"/>
            <w:vAlign w:val="center"/>
          </w:tcPr>
          <w:p>
            <w:r/>
            <w:r>
              <w:rPr>
                <w:b w:val="0"/>
                <w:sz w:val="15"/>
              </w:rPr>
              <w:t>Store/category → model</w:t>
            </w:r>
          </w:p>
        </w:tc>
      </w:tr>
      <w:tr>
        <w:tc>
          <w:tcPr>
            <w:tcW w:type="dxa" w:w="2304"/>
            <w:vAlign w:val="center"/>
          </w:tcPr>
          <w:p>
            <w:r/>
            <w:r>
              <w:rPr>
                <w:b w:val="0"/>
                <w:sz w:val="15"/>
              </w:rPr>
              <w:t>rule_versions</w:t>
            </w:r>
          </w:p>
        </w:tc>
        <w:tc>
          <w:tcPr>
            <w:tcW w:type="dxa" w:w="4032"/>
            <w:vAlign w:val="center"/>
          </w:tcPr>
          <w:p>
            <w:r/>
            <w:r>
              <w:rPr>
                <w:b w:val="0"/>
                <w:sz w:val="15"/>
              </w:rPr>
              <w:t>Versioned recommendation rules</w:t>
            </w:r>
          </w:p>
        </w:tc>
        <w:tc>
          <w:tcPr>
            <w:tcW w:type="dxa" w:w="3024"/>
            <w:vAlign w:val="center"/>
          </w:tcPr>
          <w:p>
            <w:r/>
            <w:r>
              <w:rPr>
                <w:b w:val="0"/>
                <w:sz w:val="15"/>
              </w:rPr>
              <w:t>Store → rule set</w:t>
            </w:r>
          </w:p>
        </w:tc>
      </w:tr>
      <w:tr>
        <w:tc>
          <w:tcPr>
            <w:tcW w:type="dxa" w:w="2304"/>
            <w:vAlign w:val="center"/>
          </w:tcPr>
          <w:p>
            <w:r/>
            <w:r>
              <w:rPr>
                <w:b w:val="0"/>
                <w:sz w:val="15"/>
              </w:rPr>
              <w:t>marketing_spend</w:t>
            </w:r>
          </w:p>
        </w:tc>
        <w:tc>
          <w:tcPr>
            <w:tcW w:type="dxa" w:w="4032"/>
            <w:vAlign w:val="center"/>
          </w:tcPr>
          <w:p>
            <w:r/>
            <w:r>
              <w:rPr>
                <w:b w:val="0"/>
                <w:sz w:val="15"/>
              </w:rPr>
              <w:t>Channel spend by period</w:t>
            </w:r>
          </w:p>
        </w:tc>
        <w:tc>
          <w:tcPr>
            <w:tcW w:type="dxa" w:w="3024"/>
            <w:vAlign w:val="center"/>
          </w:tcPr>
          <w:p>
            <w:r/>
            <w:r>
              <w:rPr>
                <w:b w:val="0"/>
                <w:sz w:val="15"/>
              </w:rPr>
              <w:t>Store → spend</w:t>
            </w:r>
          </w:p>
        </w:tc>
      </w:tr>
      <w:tr>
        <w:tc>
          <w:tcPr>
            <w:tcW w:type="dxa" w:w="2304"/>
            <w:vAlign w:val="center"/>
          </w:tcPr>
          <w:p>
            <w:r/>
            <w:r>
              <w:rPr>
                <w:b w:val="0"/>
                <w:sz w:val="15"/>
              </w:rPr>
              <w:t>audit_logs</w:t>
            </w:r>
          </w:p>
        </w:tc>
        <w:tc>
          <w:tcPr>
            <w:tcW w:type="dxa" w:w="4032"/>
            <w:vAlign w:val="center"/>
          </w:tcPr>
          <w:p>
            <w:r/>
            <w:r>
              <w:rPr>
                <w:b w:val="0"/>
                <w:sz w:val="15"/>
              </w:rPr>
              <w:t>Security and write history</w:t>
            </w:r>
          </w:p>
        </w:tc>
        <w:tc>
          <w:tcPr>
            <w:tcW w:type="dxa" w:w="3024"/>
            <w:vAlign w:val="center"/>
          </w:tcPr>
          <w:p>
            <w:r/>
            <w:r>
              <w:rPr>
                <w:b w:val="0"/>
                <w:sz w:val="15"/>
              </w:rPr>
              <w:t>Store/user/action</w:t>
            </w:r>
          </w:p>
        </w:tc>
      </w:tr>
    </w:tbl>
    <w:p/>
    <w:p>
      <w:pPr>
        <w:pStyle w:val="Heading2"/>
        <w:keepNext/>
      </w:pPr>
      <w:r>
        <w:t>11.1 Important Integrity Constraints</w:t>
      </w:r>
    </w:p>
    <w:p>
      <w:pPr>
        <w:pStyle w:val="ListBullet"/>
        <w:spacing w:after="40"/>
      </w:pPr>
      <w:r>
        <w:t>Unique event key: (store_id, event_id) for webhook idempotency.</w:t>
      </w:r>
    </w:p>
    <w:p>
      <w:pPr>
        <w:pStyle w:val="ListBullet"/>
        <w:spacing w:after="40"/>
      </w:pPr>
      <w:r>
        <w:t>Unique outcome key for each order/customer outcome.</w:t>
      </w:r>
    </w:p>
    <w:p>
      <w:pPr>
        <w:pStyle w:val="ListBullet"/>
        <w:spacing w:after="40"/>
      </w:pPr>
      <w:r>
        <w:t>Foreign keys preserve store ownership relationships.</w:t>
      </w:r>
    </w:p>
    <w:p>
      <w:pPr>
        <w:pStyle w:val="ListBullet"/>
        <w:spacing w:after="40"/>
      </w:pPr>
      <w:r>
        <w:t>Every prediction references a model_version.</w:t>
      </w:r>
    </w:p>
    <w:p>
      <w:pPr>
        <w:pStyle w:val="ListBullet"/>
        <w:spacing w:after="40"/>
      </w:pPr>
      <w:r>
        <w:t>Every recommendation references a rule_version.</w:t>
      </w:r>
    </w:p>
    <w:p>
      <w:pPr>
        <w:pStyle w:val="ListBullet"/>
        <w:spacing w:after="40"/>
      </w:pPr>
      <w:r>
        <w:t>Every impact record stores the formula/version used.</w:t>
      </w:r>
    </w:p>
    <w:p>
      <w:pPr>
        <w:pStyle w:val="ListBullet"/>
        <w:spacing w:after="40"/>
      </w:pPr>
      <w:r>
        <w:t>Audit records capture important writes and security-sensitive actions.</w:t>
      </w:r>
    </w:p>
    <w:p>
      <w:pPr>
        <w:pStyle w:val="Heading1"/>
        <w:keepNext/>
      </w:pPr>
      <w:r>
        <w:t>12. MACHINE LEARNING DESIGN</w:t>
      </w:r>
    </w:p>
    <w:p>
      <w:pPr>
        <w:pStyle w:val="Heading2"/>
        <w:keepNext/>
      </w:pPr>
      <w:r>
        <w:t>12.1 Model Choice</w:t>
      </w:r>
    </w:p>
    <w:p>
      <w:pPr>
        <w:spacing w:after="100" w:line="259" w:lineRule="auto"/>
      </w:pPr>
      <w:r>
        <w:t>The project specifies two independently trained Logistic Regression classifiers. The technical design uses scikit-learn SGDClassifier with log-loss and balanced class weighting because this supports incremental updates while remaining compatible with probability-based classification.</w:t>
      </w:r>
    </w:p>
    <w:p>
      <w:pPr>
        <w:pStyle w:val="Heading2"/>
        <w:keepNext/>
      </w:pPr>
      <w:r>
        <w:t>12.2 RTO Prediction Contract</w:t>
      </w:r>
    </w:p>
    <w:p>
      <w:pPr>
        <w:spacing w:after="100" w:line="259" w:lineRule="auto"/>
      </w:pPr>
      <w:r>
        <w:t>The synopsis specifies a five-field feature vector but does not name all five fields. The technical document proposes the following provisional vector: order_value, cod_flag, customer_order_count, previous_rto_rate, and purchase_recency_days. These five fields must be validated against the real dataset before being treated as final.</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7365D"/>
          </w:tcPr>
          <w:p>
            <w:r/>
            <w:r>
              <w:rPr>
                <w:b/>
                <w:color w:val="FFFFFF"/>
                <w:sz w:val="16"/>
              </w:rPr>
              <w:t>Feature</w:t>
            </w:r>
          </w:p>
        </w:tc>
        <w:tc>
          <w:tcPr>
            <w:tcW w:type="dxa" w:w="4320"/>
            <w:vAlign w:val="center"/>
            <w:shd w:fill="17365D"/>
          </w:tcPr>
          <w:p>
            <w:r/>
            <w:r>
              <w:rPr>
                <w:b/>
                <w:color w:val="FFFFFF"/>
                <w:sz w:val="16"/>
              </w:rPr>
              <w:t>Meaning</w:t>
            </w:r>
          </w:p>
        </w:tc>
        <w:tc>
          <w:tcPr>
            <w:tcW w:type="dxa" w:w="2592"/>
            <w:vAlign w:val="center"/>
            <w:shd w:fill="17365D"/>
          </w:tcPr>
          <w:p>
            <w:r/>
            <w:r>
              <w:rPr>
                <w:b/>
                <w:color w:val="FFFFFF"/>
                <w:sz w:val="16"/>
              </w:rPr>
              <w:t>Availability constraint</w:t>
            </w:r>
          </w:p>
        </w:tc>
      </w:tr>
      <w:tr>
        <w:tc>
          <w:tcPr>
            <w:tcW w:type="dxa" w:w="2448"/>
            <w:vAlign w:val="center"/>
          </w:tcPr>
          <w:p>
            <w:r/>
            <w:r>
              <w:rPr>
                <w:b w:val="0"/>
                <w:sz w:val="16"/>
              </w:rPr>
              <w:t>order_value</w:t>
            </w:r>
          </w:p>
        </w:tc>
        <w:tc>
          <w:tcPr>
            <w:tcW w:type="dxa" w:w="4320"/>
            <w:vAlign w:val="center"/>
          </w:tcPr>
          <w:p>
            <w:r/>
            <w:r>
              <w:rPr>
                <w:b w:val="0"/>
                <w:sz w:val="16"/>
              </w:rPr>
              <w:t>Order monetary value</w:t>
            </w:r>
          </w:p>
        </w:tc>
        <w:tc>
          <w:tcPr>
            <w:tcW w:type="dxa" w:w="2592"/>
            <w:vAlign w:val="center"/>
          </w:tcPr>
          <w:p>
            <w:r/>
            <w:r>
              <w:rPr>
                <w:b w:val="0"/>
                <w:sz w:val="16"/>
              </w:rPr>
              <w:t>Known by Shipped</w:t>
            </w:r>
          </w:p>
        </w:tc>
      </w:tr>
      <w:tr>
        <w:tc>
          <w:tcPr>
            <w:tcW w:type="dxa" w:w="2448"/>
            <w:vAlign w:val="center"/>
          </w:tcPr>
          <w:p>
            <w:r/>
            <w:r>
              <w:rPr>
                <w:b w:val="0"/>
                <w:sz w:val="16"/>
              </w:rPr>
              <w:t>cod_flag</w:t>
            </w:r>
          </w:p>
        </w:tc>
        <w:tc>
          <w:tcPr>
            <w:tcW w:type="dxa" w:w="4320"/>
            <w:vAlign w:val="center"/>
          </w:tcPr>
          <w:p>
            <w:r/>
            <w:r>
              <w:rPr>
                <w:b w:val="0"/>
                <w:sz w:val="16"/>
              </w:rPr>
              <w:t>Whether order uses COD</w:t>
            </w:r>
          </w:p>
        </w:tc>
        <w:tc>
          <w:tcPr>
            <w:tcW w:type="dxa" w:w="2592"/>
            <w:vAlign w:val="center"/>
          </w:tcPr>
          <w:p>
            <w:r/>
            <w:r>
              <w:rPr>
                <w:b w:val="0"/>
                <w:sz w:val="16"/>
              </w:rPr>
              <w:t>Known by Shipped</w:t>
            </w:r>
          </w:p>
        </w:tc>
      </w:tr>
      <w:tr>
        <w:tc>
          <w:tcPr>
            <w:tcW w:type="dxa" w:w="2448"/>
            <w:vAlign w:val="center"/>
          </w:tcPr>
          <w:p>
            <w:r/>
            <w:r>
              <w:rPr>
                <w:b w:val="0"/>
                <w:sz w:val="16"/>
              </w:rPr>
              <w:t>customer_order_count</w:t>
            </w:r>
          </w:p>
        </w:tc>
        <w:tc>
          <w:tcPr>
            <w:tcW w:type="dxa" w:w="4320"/>
            <w:vAlign w:val="center"/>
          </w:tcPr>
          <w:p>
            <w:r/>
            <w:r>
              <w:rPr>
                <w:b w:val="0"/>
                <w:sz w:val="16"/>
              </w:rPr>
              <w:t>Prior order count</w:t>
            </w:r>
          </w:p>
        </w:tc>
        <w:tc>
          <w:tcPr>
            <w:tcW w:type="dxa" w:w="2592"/>
            <w:vAlign w:val="center"/>
          </w:tcPr>
          <w:p>
            <w:r/>
            <w:r>
              <w:rPr>
                <w:b w:val="0"/>
                <w:sz w:val="16"/>
              </w:rPr>
              <w:t>Must exclude current/future orders</w:t>
            </w:r>
          </w:p>
        </w:tc>
      </w:tr>
      <w:tr>
        <w:tc>
          <w:tcPr>
            <w:tcW w:type="dxa" w:w="2448"/>
            <w:vAlign w:val="center"/>
          </w:tcPr>
          <w:p>
            <w:r/>
            <w:r>
              <w:rPr>
                <w:b w:val="0"/>
                <w:sz w:val="16"/>
              </w:rPr>
              <w:t>previous_rto_rate</w:t>
            </w:r>
          </w:p>
        </w:tc>
        <w:tc>
          <w:tcPr>
            <w:tcW w:type="dxa" w:w="4320"/>
            <w:vAlign w:val="center"/>
          </w:tcPr>
          <w:p>
            <w:r/>
            <w:r>
              <w:rPr>
                <w:b w:val="0"/>
                <w:sz w:val="16"/>
              </w:rPr>
              <w:t>Historical RTO rate for relevant customer/store context</w:t>
            </w:r>
          </w:p>
        </w:tc>
        <w:tc>
          <w:tcPr>
            <w:tcW w:type="dxa" w:w="2592"/>
            <w:vAlign w:val="center"/>
          </w:tcPr>
          <w:p>
            <w:r/>
            <w:r>
              <w:rPr>
                <w:b w:val="0"/>
                <w:sz w:val="16"/>
              </w:rPr>
              <w:t>Must use only prior outcomes</w:t>
            </w:r>
          </w:p>
        </w:tc>
      </w:tr>
      <w:tr>
        <w:tc>
          <w:tcPr>
            <w:tcW w:type="dxa" w:w="2448"/>
            <w:vAlign w:val="center"/>
          </w:tcPr>
          <w:p>
            <w:r/>
            <w:r>
              <w:rPr>
                <w:b w:val="0"/>
                <w:sz w:val="16"/>
              </w:rPr>
              <w:t>purchase_recency_days</w:t>
            </w:r>
          </w:p>
        </w:tc>
        <w:tc>
          <w:tcPr>
            <w:tcW w:type="dxa" w:w="4320"/>
            <w:vAlign w:val="center"/>
          </w:tcPr>
          <w:p>
            <w:r/>
            <w:r>
              <w:rPr>
                <w:b w:val="0"/>
                <w:sz w:val="16"/>
              </w:rPr>
              <w:t>Time since relevant prior purchase</w:t>
            </w:r>
          </w:p>
        </w:tc>
        <w:tc>
          <w:tcPr>
            <w:tcW w:type="dxa" w:w="2592"/>
            <w:vAlign w:val="center"/>
          </w:tcPr>
          <w:p>
            <w:r/>
            <w:r>
              <w:rPr>
                <w:b w:val="0"/>
                <w:sz w:val="16"/>
              </w:rPr>
              <w:t>Must be calculated as-of Shipped</w:t>
            </w:r>
          </w:p>
        </w:tc>
      </w:tr>
    </w:tbl>
    <w:p/>
    <w:p>
      <w:pPr>
        <w:pStyle w:val="Heading2"/>
        <w:keepNext/>
      </w:pPr>
      <w:r>
        <w:t>12.3 Churn Prediction Contract</w:t>
      </w:r>
    </w:p>
    <w:p>
      <w:pPr>
        <w:spacing w:after="100" w:line="259" w:lineRule="auto"/>
      </w:pPr>
      <w:r>
        <w:t>The source specifies Recency, Frequency, Monetary value and purchase-interval deviation plus a fifth RFM-derived field. The technical document proposes customer_tenure_days as that fifth feature, but explicitly marks it as provisional. The churn label must also define an observation window and a forward-looking inactivity window before training.</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7365D"/>
          </w:tcPr>
          <w:p>
            <w:r/>
            <w:r>
              <w:rPr>
                <w:b/>
                <w:color w:val="FFFFFF"/>
                <w:sz w:val="16"/>
              </w:rPr>
              <w:t>Feature</w:t>
            </w:r>
          </w:p>
        </w:tc>
        <w:tc>
          <w:tcPr>
            <w:tcW w:type="dxa" w:w="6336"/>
            <w:vAlign w:val="center"/>
            <w:shd w:fill="17365D"/>
          </w:tcPr>
          <w:p>
            <w:r/>
            <w:r>
              <w:rPr>
                <w:b/>
                <w:color w:val="FFFFFF"/>
                <w:sz w:val="16"/>
              </w:rPr>
              <w:t>Definition</w:t>
            </w:r>
          </w:p>
        </w:tc>
      </w:tr>
      <w:tr>
        <w:tc>
          <w:tcPr>
            <w:tcW w:type="dxa" w:w="3024"/>
            <w:vAlign w:val="center"/>
          </w:tcPr>
          <w:p>
            <w:r/>
            <w:r>
              <w:rPr>
                <w:b w:val="0"/>
                <w:sz w:val="16"/>
              </w:rPr>
              <w:t>recency_days</w:t>
            </w:r>
          </w:p>
        </w:tc>
        <w:tc>
          <w:tcPr>
            <w:tcW w:type="dxa" w:w="6336"/>
            <w:vAlign w:val="center"/>
          </w:tcPr>
          <w:p>
            <w:r/>
            <w:r>
              <w:rPr>
                <w:b w:val="0"/>
                <w:sz w:val="16"/>
              </w:rPr>
              <w:t>Days since customer's latest qualifying purchase at the scoring point</w:t>
            </w:r>
          </w:p>
        </w:tc>
      </w:tr>
      <w:tr>
        <w:tc>
          <w:tcPr>
            <w:tcW w:type="dxa" w:w="3024"/>
            <w:vAlign w:val="center"/>
          </w:tcPr>
          <w:p>
            <w:r/>
            <w:r>
              <w:rPr>
                <w:b w:val="0"/>
                <w:sz w:val="16"/>
              </w:rPr>
              <w:t>frequency</w:t>
            </w:r>
          </w:p>
        </w:tc>
        <w:tc>
          <w:tcPr>
            <w:tcW w:type="dxa" w:w="6336"/>
            <w:vAlign w:val="center"/>
          </w:tcPr>
          <w:p>
            <w:r/>
            <w:r>
              <w:rPr>
                <w:b w:val="0"/>
                <w:sz w:val="16"/>
              </w:rPr>
              <w:t>Number of qualifying purchases in the observation window</w:t>
            </w:r>
          </w:p>
        </w:tc>
      </w:tr>
      <w:tr>
        <w:tc>
          <w:tcPr>
            <w:tcW w:type="dxa" w:w="3024"/>
            <w:vAlign w:val="center"/>
          </w:tcPr>
          <w:p>
            <w:r/>
            <w:r>
              <w:rPr>
                <w:b w:val="0"/>
                <w:sz w:val="16"/>
              </w:rPr>
              <w:t>monetary_value</w:t>
            </w:r>
          </w:p>
        </w:tc>
        <w:tc>
          <w:tcPr>
            <w:tcW w:type="dxa" w:w="6336"/>
            <w:vAlign w:val="center"/>
          </w:tcPr>
          <w:p>
            <w:r/>
            <w:r>
              <w:rPr>
                <w:b w:val="0"/>
                <w:sz w:val="16"/>
              </w:rPr>
              <w:t>Qualifying purchase value in the observation window</w:t>
            </w:r>
          </w:p>
        </w:tc>
      </w:tr>
      <w:tr>
        <w:tc>
          <w:tcPr>
            <w:tcW w:type="dxa" w:w="3024"/>
            <w:vAlign w:val="center"/>
          </w:tcPr>
          <w:p>
            <w:r/>
            <w:r>
              <w:rPr>
                <w:b w:val="0"/>
                <w:sz w:val="16"/>
              </w:rPr>
              <w:t>purchase_interval_deviation</w:t>
            </w:r>
          </w:p>
        </w:tc>
        <w:tc>
          <w:tcPr>
            <w:tcW w:type="dxa" w:w="6336"/>
            <w:vAlign w:val="center"/>
          </w:tcPr>
          <w:p>
            <w:r/>
            <w:r>
              <w:rPr>
                <w:b w:val="0"/>
                <w:sz w:val="16"/>
              </w:rPr>
              <w:t>Deviation of purchase intervals from the customer's historical pattern</w:t>
            </w:r>
          </w:p>
        </w:tc>
      </w:tr>
      <w:tr>
        <w:tc>
          <w:tcPr>
            <w:tcW w:type="dxa" w:w="3024"/>
            <w:vAlign w:val="center"/>
          </w:tcPr>
          <w:p>
            <w:r/>
            <w:r>
              <w:rPr>
                <w:b w:val="0"/>
                <w:sz w:val="16"/>
              </w:rPr>
              <w:t>customer_tenure_days (proposed)</w:t>
            </w:r>
          </w:p>
        </w:tc>
        <w:tc>
          <w:tcPr>
            <w:tcW w:type="dxa" w:w="6336"/>
            <w:vAlign w:val="center"/>
          </w:tcPr>
          <w:p>
            <w:r/>
            <w:r>
              <w:rPr>
                <w:b w:val="0"/>
                <w:sz w:val="16"/>
              </w:rPr>
              <w:t>Days since customer became active/first qualifying purchase; requires final dataset definition</w:t>
            </w:r>
          </w:p>
        </w:tc>
      </w:tr>
    </w:tbl>
    <w:p/>
    <w:p>
      <w:pPr>
        <w:pStyle w:val="Heading2"/>
        <w:keepNext/>
      </w:pPr>
      <w:r>
        <w:t>12.4 Leakage Prevention</w:t>
      </w:r>
    </w:p>
    <w:p>
      <w:pPr>
        <w:spacing w:after="100" w:line="259" w:lineRule="auto"/>
      </w:pPr>
      <w:r>
        <w:t>At RTO prediction time, future delivery status, final RTO outcome, later tracking events, future orders and future refunds must be excluded. The same principle applies to churn: features must be computed only from information available at the scoring timestamp. The technical plan recommends an as-of timestamp pattern and automated leakage tests.</w:t>
      </w:r>
    </w:p>
    <w:p>
      <w:pPr>
        <w:pStyle w:val="Heading2"/>
        <w:keepNext/>
      </w:pPr>
      <w:r>
        <w:t>12.5 Temporal Split</w:t>
      </w:r>
    </w:p>
    <w:p>
      <w:pPr>
        <w:spacing w:after="120"/>
        <w:ind w:left="360" w:right="360"/>
        <w:shd w:fill="F2F2F2"/>
      </w:pPr>
      <w:r>
        <w:rPr>
          <w:rFonts w:ascii="Consolas" w:hAnsi="Consolas"/>
          <w:sz w:val="16"/>
        </w:rPr>
        <w:t>Older observations       -&gt; Training</w:t>
        <w:br/>
        <w:t>Middle time period        -&gt; Validation</w:t>
        <w:br/>
        <w:t>Newest observations       -&gt; Test</w:t>
        <w:br/>
        <w:br/>
        <w:t>Do not randomly mix future and past observations.</w:t>
      </w:r>
    </w:p>
    <w:p>
      <w:pPr>
        <w:pStyle w:val="Heading2"/>
        <w:keepNext/>
      </w:pPr>
      <w:r>
        <w:t>12.6 Class Imbalance</w:t>
      </w:r>
    </w:p>
    <w:p>
      <w:pPr>
        <w:spacing w:after="100" w:line="259" w:lineRule="auto"/>
      </w:pPr>
      <w:r>
        <w:t>The technical design proposes class-weighted Logistic Regression as the baseline and recommends evaluating resampling methods such as SMOTE or undersampling as alternatives. The project should report minority-class metrics rather than relying on accuracy.</w:t>
      </w:r>
    </w:p>
    <w:p>
      <w:pPr>
        <w:pStyle w:val="Heading2"/>
        <w:keepNext/>
      </w:pPr>
      <w:r>
        <w:t>12.7 Probability Calibration</w:t>
      </w:r>
    </w:p>
    <w:p>
      <w:pPr>
        <w:spacing w:after="100" w:line="259" w:lineRule="auto"/>
      </w:pPr>
      <w:r>
        <w:t>Because class weighting can affect probability interpretation, the technical review recommends probability calibration on a held-out validation set, such as Platt scaling or isotonic regression, before probabilities are used directly in financial-impact calculations. This is an implementation recommendation, not a reported experiment result.</w:t>
      </w:r>
    </w:p>
    <w:p>
      <w:pPr>
        <w:pStyle w:val="Heading2"/>
        <w:keepNext/>
      </w:pPr>
      <w:r>
        <w:t>12.8 Evaluation Metrics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365D"/>
          </w:tcPr>
          <w:p>
            <w:r/>
            <w:r>
              <w:rPr>
                <w:b/>
                <w:color w:val="FFFFFF"/>
                <w:sz w:val="17"/>
              </w:rPr>
              <w:t>Metric</w:t>
            </w:r>
          </w:p>
        </w:tc>
        <w:tc>
          <w:tcPr>
            <w:tcW w:type="dxa" w:w="7056"/>
            <w:vAlign w:val="center"/>
            <w:shd w:fill="17365D"/>
          </w:tcPr>
          <w:p>
            <w:r/>
            <w:r>
              <w:rPr>
                <w:b/>
                <w:color w:val="FFFFFF"/>
                <w:sz w:val="17"/>
              </w:rPr>
              <w:t>Why it matters</w:t>
            </w:r>
          </w:p>
        </w:tc>
      </w:tr>
      <w:tr>
        <w:tc>
          <w:tcPr>
            <w:tcW w:type="dxa" w:w="2304"/>
            <w:vAlign w:val="center"/>
          </w:tcPr>
          <w:p>
            <w:r/>
            <w:r>
              <w:rPr>
                <w:b w:val="0"/>
                <w:sz w:val="17"/>
              </w:rPr>
              <w:t>Precision</w:t>
            </w:r>
          </w:p>
        </w:tc>
        <w:tc>
          <w:tcPr>
            <w:tcW w:type="dxa" w:w="7056"/>
            <w:vAlign w:val="center"/>
          </w:tcPr>
          <w:p>
            <w:r/>
            <w:r>
              <w:rPr>
                <w:b w:val="0"/>
                <w:sz w:val="17"/>
              </w:rPr>
              <w:t>How many predicted positive cases are actually positive</w:t>
            </w:r>
          </w:p>
        </w:tc>
      </w:tr>
      <w:tr>
        <w:tc>
          <w:tcPr>
            <w:tcW w:type="dxa" w:w="2304"/>
            <w:vAlign w:val="center"/>
          </w:tcPr>
          <w:p>
            <w:r/>
            <w:r>
              <w:rPr>
                <w:b w:val="0"/>
                <w:sz w:val="17"/>
              </w:rPr>
              <w:t>Recall</w:t>
            </w:r>
          </w:p>
        </w:tc>
        <w:tc>
          <w:tcPr>
            <w:tcW w:type="dxa" w:w="7056"/>
            <w:vAlign w:val="center"/>
          </w:tcPr>
          <w:p>
            <w:r/>
            <w:r>
              <w:rPr>
                <w:b w:val="0"/>
                <w:sz w:val="17"/>
              </w:rPr>
              <w:t>How many actual positive cases are detected</w:t>
            </w:r>
          </w:p>
        </w:tc>
      </w:tr>
      <w:tr>
        <w:tc>
          <w:tcPr>
            <w:tcW w:type="dxa" w:w="2304"/>
            <w:vAlign w:val="center"/>
          </w:tcPr>
          <w:p>
            <w:r/>
            <w:r>
              <w:rPr>
                <w:b w:val="0"/>
                <w:sz w:val="17"/>
              </w:rPr>
              <w:t>F1</w:t>
            </w:r>
          </w:p>
        </w:tc>
        <w:tc>
          <w:tcPr>
            <w:tcW w:type="dxa" w:w="7056"/>
            <w:vAlign w:val="center"/>
          </w:tcPr>
          <w:p>
            <w:r/>
            <w:r>
              <w:rPr>
                <w:b w:val="0"/>
                <w:sz w:val="17"/>
              </w:rPr>
              <w:t>Balance of precision and recall</w:t>
            </w:r>
          </w:p>
        </w:tc>
      </w:tr>
      <w:tr>
        <w:tc>
          <w:tcPr>
            <w:tcW w:type="dxa" w:w="2304"/>
            <w:vAlign w:val="center"/>
          </w:tcPr>
          <w:p>
            <w:r/>
            <w:r>
              <w:rPr>
                <w:b w:val="0"/>
                <w:sz w:val="17"/>
              </w:rPr>
              <w:t>ROC-AUC</w:t>
            </w:r>
          </w:p>
        </w:tc>
        <w:tc>
          <w:tcPr>
            <w:tcW w:type="dxa" w:w="7056"/>
            <w:vAlign w:val="center"/>
          </w:tcPr>
          <w:p>
            <w:r/>
            <w:r>
              <w:rPr>
                <w:b w:val="0"/>
                <w:sz w:val="17"/>
              </w:rPr>
              <w:t>Ranking discrimination across thresholds</w:t>
            </w:r>
          </w:p>
        </w:tc>
      </w:tr>
      <w:tr>
        <w:tc>
          <w:tcPr>
            <w:tcW w:type="dxa" w:w="2304"/>
            <w:vAlign w:val="center"/>
          </w:tcPr>
          <w:p>
            <w:r/>
            <w:r>
              <w:rPr>
                <w:b w:val="0"/>
                <w:sz w:val="17"/>
              </w:rPr>
              <w:t>PR-AUC</w:t>
            </w:r>
          </w:p>
        </w:tc>
        <w:tc>
          <w:tcPr>
            <w:tcW w:type="dxa" w:w="7056"/>
            <w:vAlign w:val="center"/>
          </w:tcPr>
          <w:p>
            <w:r/>
            <w:r>
              <w:rPr>
                <w:b w:val="0"/>
                <w:sz w:val="17"/>
              </w:rPr>
              <w:t>Especially informative for rare positive classes</w:t>
            </w:r>
          </w:p>
        </w:tc>
      </w:tr>
      <w:tr>
        <w:tc>
          <w:tcPr>
            <w:tcW w:type="dxa" w:w="2304"/>
            <w:vAlign w:val="center"/>
          </w:tcPr>
          <w:p>
            <w:r/>
            <w:r>
              <w:rPr>
                <w:b w:val="0"/>
                <w:sz w:val="17"/>
              </w:rPr>
              <w:t>Confusion matrix</w:t>
            </w:r>
          </w:p>
        </w:tc>
        <w:tc>
          <w:tcPr>
            <w:tcW w:type="dxa" w:w="7056"/>
            <w:vAlign w:val="center"/>
          </w:tcPr>
          <w:p>
            <w:r/>
            <w:r>
              <w:rPr>
                <w:b w:val="0"/>
                <w:sz w:val="17"/>
              </w:rPr>
              <w:t>Shows TP, FP, TN and FN counts directly</w:t>
            </w:r>
          </w:p>
        </w:tc>
      </w:tr>
    </w:tbl>
    <w:p/>
    <w:p>
      <w:pPr>
        <w:pStyle w:val="Heading1"/>
        <w:keepNext/>
      </w:pPr>
      <w:r>
        <w:t>13. EXPLAINABILITY, ₹ IMPACT AND RECOMMENDATION LOGIC</w:t>
      </w:r>
    </w:p>
    <w:p>
      <w:pPr>
        <w:pStyle w:val="Heading2"/>
        <w:keepNext/>
      </w:pPr>
      <w:r>
        <w:t>13.1 Explainability</w:t>
      </w:r>
    </w:p>
    <w:p>
      <w:pPr>
        <w:spacing w:after="100" w:line="259" w:lineRule="auto"/>
      </w:pPr>
      <w:r>
        <w:t>For Logistic Regression, the technical document proposes ranking features using the absolute standardized contribution |coefficient × feature value|. This avoids comparing raw coefficients across features with very different scales. Each feature is then mapped to a merchant-friendly sentence template.</w:t>
      </w:r>
    </w:p>
    <w:p>
      <w:pPr>
        <w:spacing w:after="120"/>
        <w:ind w:left="360" w:right="360"/>
        <w:shd w:fill="F2F2F2"/>
      </w:pPr>
      <w:r>
        <w:rPr>
          <w:rFonts w:ascii="Consolas" w:hAnsi="Consolas"/>
          <w:sz w:val="16"/>
        </w:rPr>
        <w:t>Example logic:</w:t>
        <w:br/>
        <w:t>contribution_i = |coefficient_i × standardized_feature_i|</w:t>
        <w:br/>
        <w:t>rank features by contribution</w:t>
        <w:br/>
        <w:t>select top 2–3</w:t>
        <w:br/>
        <w:t>map each to a plain-language reason template</w:t>
        <w:br/>
        <w:t>store explanation with prediction_id</w:t>
      </w:r>
    </w:p>
    <w:p>
      <w:pPr>
        <w:pStyle w:val="Heading2"/>
        <w:keepNext/>
      </w:pPr>
      <w:r>
        <w:t>13.2 ₹ Impact Estimation</w:t>
      </w:r>
    </w:p>
    <w:p>
      <w:pPr>
        <w:spacing w:after="100" w:line="259" w:lineRule="auto"/>
      </w:pPr>
      <w:r>
        <w:t>The synopsis requires a range rather than a single fixed estimate and states that store-configured ₹ cost values should be used. The technical document gives an illustrative formula for RTO: order_value × RTO_probability × logistics_cost_rate, with a configurable uncertainty margin. This formula is a proposed implementation pattern and must be finalized, documented and versioned before being treated as the production formula.</w:t>
      </w:r>
    </w:p>
    <w:p>
      <w:pPr>
        <w:pStyle w:val="Heading2"/>
        <w:keepNext/>
      </w:pPr>
      <w:r>
        <w:t>13.3 Recommendation Engine</w:t>
      </w:r>
    </w:p>
    <w:p>
      <w:pPr>
        <w:spacing w:after="100" w:line="259" w:lineRule="auto"/>
      </w:pPr>
      <w:r>
        <w:t>Recommendations are deterministic and versioned. Rules should be represented as data rather than embedded directly in code. The engine evaluates rules in priority order and stops at the first match. To make the “exactly one” guarantee mathematically deterministic, a tie-break policy must be defined for equal-priority rules.</w:t>
      </w:r>
    </w:p>
    <w:p>
      <w:pPr>
        <w:spacing w:after="120"/>
        <w:ind w:left="360" w:right="360"/>
        <w:shd w:fill="F2F2F2"/>
      </w:pPr>
      <w:r>
        <w:rPr>
          <w:rFonts w:ascii="Consolas" w:hAnsi="Consolas"/>
          <w:sz w:val="16"/>
        </w:rPr>
        <w:t>Rule evaluation:</w:t>
        <w:br/>
        <w:t>1. Load active rule_version for store.</w:t>
        <w:br/>
        <w:t>2. Filter rules applicable to prediction type.</w:t>
        <w:br/>
        <w:t>3. Sort by priority.</w:t>
        <w:br/>
        <w:t>4. Resolve equal-priority ties using documented specificity/order.</w:t>
        <w:br/>
        <w:t>5. Select first matching rule.</w:t>
        <w:br/>
        <w:t>6. Store rule_version_id + rule_id with recommendation.</w:t>
      </w:r>
    </w:p>
    <w:p>
      <w:pPr>
        <w:pStyle w:val="Heading1"/>
        <w:keepNext/>
      </w:pPr>
      <w:r>
        <w:t>14. INCREMENTAL AND COLLECTIVE LEARNING</w:t>
      </w:r>
    </w:p>
    <w:p>
      <w:pPr>
        <w:pStyle w:val="Heading2"/>
        <w:keepNext/>
      </w:pPr>
      <w:r>
        <w:t>14.1 Incremental SGD</w:t>
      </w:r>
    </w:p>
    <w:p>
      <w:pPr>
        <w:spacing w:after="100" w:line="259" w:lineRule="auto"/>
      </w:pPr>
      <w:r>
        <w:t>When a verified order or customer outcome arrives, the relevant model receives one incremental SGD update. The technical plan recommends validation before promotion and retaining the previous model version for rollback. This is necessary because a single incorrect or unusual outcome should not permanently degrade the production model.</w:t>
      </w:r>
    </w:p>
    <w:p>
      <w:pPr>
        <w:pStyle w:val="Heading2"/>
        <w:keepNext/>
      </w:pPr>
      <w:r>
        <w:t>14.2 Collective Learning / Simulated FedAvg</w:t>
      </w:r>
    </w:p>
    <w:p>
      <w:pPr>
        <w:spacing w:after="100" w:line="259" w:lineRule="auto"/>
      </w:pPr>
      <w:r>
        <w:t>Stores within the same category contribute model weights rather than raw order/customer records. The proposed aggregation is sample-weighted so that a very small store does not receive the same statistical influence as a much larger store. A minimum participating-store count should be required before publishing a category aggregate.</w:t>
      </w:r>
    </w:p>
    <w:p>
      <w:pPr>
        <w:spacing w:after="100" w:line="259" w:lineRule="auto"/>
      </w:pPr>
      <w:r>
        <w:t>The project documentation correctly treats weight sharing as a residual privacy risk rather than a formal privacy guarantee. Model weights can, in principle, reveal information. If the system later operates in highly sensitive verticals, formal privacy mechanisms would need separate design and validation.</w:t>
      </w:r>
    </w:p>
    <w:p>
      <w:pPr>
        <w:pStyle w:val="Heading2"/>
        <w:keepNext/>
      </w:pPr>
      <w:r>
        <w:t>14.3 Cold Start</w:t>
      </w:r>
    </w:p>
    <w:p>
      <w:pPr>
        <w:spacing w:after="100" w:line="259" w:lineRule="auto"/>
      </w:pPr>
      <w:r>
        <w:t>A new store with fewer than a configured minimum number of labelled outcomes can initialize from its category-level collective model rather than random initialization. Once sufficient local outcomes accumulate, the store can transition to a local model according to the final promotion policy.</w:t>
      </w:r>
    </w:p>
    <w:p>
      <w:pPr>
        <w:pStyle w:val="Heading1"/>
        <w:keepNext/>
      </w:pPr>
      <w:r>
        <w:t>15. SECURITY, PRIVACY AND MULTI-TENANT ISOLATION</w:t>
      </w:r>
    </w:p>
    <w:p>
      <w:pPr>
        <w:pStyle w:val="Heading2"/>
        <w:keepNext/>
      </w:pPr>
      <w:r>
        <w:t>15.1 Security Controls</w:t>
      </w:r>
    </w:p>
    <w:p>
      <w:pPr>
        <w:pStyle w:val="ListBullet"/>
        <w:spacing w:after="40"/>
      </w:pPr>
      <w:r>
        <w:t>Password hashing using bcrypt or Argon2.</w:t>
      </w:r>
    </w:p>
    <w:p>
      <w:pPr>
        <w:pStyle w:val="ListBullet"/>
        <w:spacing w:after="40"/>
      </w:pPr>
      <w:r>
        <w:t>JWT-based access and refresh tokens.</w:t>
      </w:r>
    </w:p>
    <w:p>
      <w:pPr>
        <w:pStyle w:val="ListBullet"/>
        <w:spacing w:after="40"/>
      </w:pPr>
      <w:r>
        <w:t>Encrypted Shopify/WooCommerce platform credentials at rest.</w:t>
      </w:r>
    </w:p>
    <w:p>
      <w:pPr>
        <w:pStyle w:val="ListBullet"/>
        <w:spacing w:after="40"/>
      </w:pPr>
      <w:r>
        <w:t>HTTPS/TLS for network communication.</w:t>
      </w:r>
    </w:p>
    <w:p>
      <w:pPr>
        <w:pStyle w:val="ListBullet"/>
        <w:spacing w:after="40"/>
      </w:pPr>
      <w:r>
        <w:t>Webhook signature verification before payload processing.</w:t>
      </w:r>
    </w:p>
    <w:p>
      <w:pPr>
        <w:pStyle w:val="ListBullet"/>
        <w:spacing w:after="40"/>
      </w:pPr>
      <w:r>
        <w:t>Rate limiting and body-size limits on public endpoints.</w:t>
      </w:r>
    </w:p>
    <w:p>
      <w:pPr>
        <w:pStyle w:val="ListBullet"/>
        <w:spacing w:after="40"/>
      </w:pPr>
      <w:r>
        <w:t>Centralized store_id authorization.</w:t>
      </w:r>
    </w:p>
    <w:p>
      <w:pPr>
        <w:pStyle w:val="ListBullet"/>
        <w:spacing w:after="40"/>
      </w:pPr>
      <w:r>
        <w:t>Database constraints and PostgreSQL row-level security as a second line of defence.</w:t>
      </w:r>
    </w:p>
    <w:p>
      <w:pPr>
        <w:pStyle w:val="ListBullet"/>
        <w:spacing w:after="40"/>
      </w:pPr>
      <w:r>
        <w:t>Audit logs for security-sensitive writes.</w:t>
      </w:r>
    </w:p>
    <w:p>
      <w:pPr>
        <w:pStyle w:val="ListBullet"/>
        <w:spacing w:after="40"/>
      </w:pPr>
      <w:r>
        <w:t>Automated cross-tenant security tests in CI.</w:t>
      </w:r>
    </w:p>
    <w:p>
      <w:pPr>
        <w:pStyle w:val="Heading2"/>
        <w:keepNext/>
      </w:pPr>
      <w:r>
        <w:t>15.2 Tenant Isolation Model</w:t>
      </w:r>
    </w:p>
    <w:p>
      <w:pPr>
        <w:spacing w:after="120"/>
        <w:ind w:left="360" w:right="360"/>
        <w:shd w:fill="F2F2F2"/>
      </w:pPr>
      <w:r>
        <w:rPr>
          <w:rFonts w:ascii="Consolas" w:hAnsi="Consolas"/>
          <w:sz w:val="16"/>
        </w:rPr>
        <w:t>Authenticated session</w:t>
        <w:br/>
        <w:t xml:space="preserve">       |</w:t>
        <w:br/>
        <w:t xml:space="preserve">       v</w:t>
        <w:br/>
        <w:t>resolved store_id</w:t>
        <w:br/>
        <w:t xml:space="preserve">       |</w:t>
        <w:br/>
        <w:t xml:space="preserve">       v</w:t>
        <w:br/>
        <w:t>authorization guard</w:t>
        <w:br/>
        <w:t xml:space="preserve">       |</w:t>
        <w:br/>
        <w:t xml:space="preserve">       v</w:t>
        <w:br/>
        <w:t>database query constrained by store_id</w:t>
        <w:br/>
        <w:t xml:space="preserve">       |</w:t>
        <w:br/>
        <w:t xml:space="preserve">       v</w:t>
        <w:br/>
        <w:t>store-owned result only</w:t>
      </w:r>
    </w:p>
    <w:p>
      <w:pPr>
        <w:spacing w:after="100" w:line="259" w:lineRule="auto"/>
      </w:pPr>
      <w:r>
        <w:t>The system should never trust a client-supplied store_id as proof of ownership. The technical design recommends injecting store_id from the authenticated session and enforcing it centrally.</w:t>
      </w:r>
    </w:p>
    <w:p>
      <w:pPr>
        <w:pStyle w:val="Heading2"/>
        <w:keepNext/>
      </w:pPr>
      <w:r>
        <w:t>15.3 Privacy and Retention</w:t>
      </w:r>
    </w:p>
    <w:p>
      <w:pPr>
        <w:spacing w:after="100" w:line="259" w:lineRule="auto"/>
      </w:pPr>
      <w:r>
        <w:t>The technical review identifies the absence of a PII retention/deletion policy as a gap. Because customer names, phone numbers and order history may be stored, the final implementation should define retention, deletion, access logging and credential lifecycle policies before production use. The source specifically notes relevance to India's DPDP Act 2023; this report does not constitute legal advice.</w:t>
      </w:r>
    </w:p>
    <w:p>
      <w:pPr>
        <w:pStyle w:val="Heading1"/>
        <w:keepNext/>
      </w:pPr>
      <w:r>
        <w:t>16. API AND INTEGRATION DESIGN</w:t>
      </w:r>
    </w:p>
    <w:p>
      <w:pPr>
        <w:pStyle w:val="Heading2"/>
        <w:keepNext/>
      </w:pPr>
      <w:r>
        <w:t>16.1 External Integration Endpoints / Events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365D"/>
          </w:tcPr>
          <w:p>
            <w:r/>
            <w:r>
              <w:rPr>
                <w:b/>
                <w:color w:val="FFFFFF"/>
                <w:sz w:val="16"/>
              </w:rPr>
              <w:t>Interface</w:t>
            </w:r>
          </w:p>
        </w:tc>
        <w:tc>
          <w:tcPr>
            <w:tcW w:type="dxa" w:w="4320"/>
            <w:vAlign w:val="center"/>
            <w:shd w:fill="17365D"/>
          </w:tcPr>
          <w:p>
            <w:r/>
            <w:r>
              <w:rPr>
                <w:b/>
                <w:color w:val="FFFFFF"/>
                <w:sz w:val="16"/>
              </w:rPr>
              <w:t>Purpose</w:t>
            </w:r>
          </w:p>
        </w:tc>
        <w:tc>
          <w:tcPr>
            <w:tcW w:type="dxa" w:w="2880"/>
            <w:vAlign w:val="center"/>
            <w:shd w:fill="17365D"/>
          </w:tcPr>
          <w:p>
            <w:r/>
            <w:r>
              <w:rPr>
                <w:b/>
                <w:color w:val="FFFFFF"/>
                <w:sz w:val="16"/>
              </w:rPr>
              <w:t>Security / reliability</w:t>
            </w:r>
          </w:p>
        </w:tc>
      </w:tr>
      <w:tr>
        <w:tc>
          <w:tcPr>
            <w:tcW w:type="dxa" w:w="2160"/>
            <w:vAlign w:val="center"/>
          </w:tcPr>
          <w:p>
            <w:r/>
            <w:r>
              <w:rPr>
                <w:b w:val="0"/>
                <w:sz w:val="16"/>
              </w:rPr>
              <w:t>Shopify webhooks</w:t>
            </w:r>
          </w:p>
        </w:tc>
        <w:tc>
          <w:tcPr>
            <w:tcW w:type="dxa" w:w="4320"/>
            <w:vAlign w:val="center"/>
          </w:tcPr>
          <w:p>
            <w:r/>
            <w:r>
              <w:rPr>
                <w:b w:val="0"/>
                <w:sz w:val="16"/>
              </w:rPr>
              <w:t>Receive order/customer/fulfilment events</w:t>
            </w:r>
          </w:p>
        </w:tc>
        <w:tc>
          <w:tcPr>
            <w:tcW w:type="dxa" w:w="2880"/>
            <w:vAlign w:val="center"/>
          </w:tcPr>
          <w:p>
            <w:r/>
            <w:r>
              <w:rPr>
                <w:b w:val="0"/>
                <w:sz w:val="16"/>
              </w:rPr>
              <w:t>HMAC verification + event idempotency</w:t>
            </w:r>
          </w:p>
        </w:tc>
      </w:tr>
      <w:tr>
        <w:tc>
          <w:tcPr>
            <w:tcW w:type="dxa" w:w="2160"/>
            <w:vAlign w:val="center"/>
          </w:tcPr>
          <w:p>
            <w:r/>
            <w:r>
              <w:rPr>
                <w:b w:val="0"/>
                <w:sz w:val="16"/>
              </w:rPr>
              <w:t>WooCommerce webhooks</w:t>
            </w:r>
          </w:p>
        </w:tc>
        <w:tc>
          <w:tcPr>
            <w:tcW w:type="dxa" w:w="4320"/>
            <w:vAlign w:val="center"/>
          </w:tcPr>
          <w:p>
            <w:r/>
            <w:r>
              <w:rPr>
                <w:b w:val="0"/>
                <w:sz w:val="16"/>
              </w:rPr>
              <w:t>Receive commerce events</w:t>
            </w:r>
          </w:p>
        </w:tc>
        <w:tc>
          <w:tcPr>
            <w:tcW w:type="dxa" w:w="2880"/>
            <w:vAlign w:val="center"/>
          </w:tcPr>
          <w:p>
            <w:r/>
            <w:r>
              <w:rPr>
                <w:b w:val="0"/>
                <w:sz w:val="16"/>
              </w:rPr>
              <w:t>Webhook secret + event idempotency</w:t>
            </w:r>
          </w:p>
        </w:tc>
      </w:tr>
      <w:tr>
        <w:tc>
          <w:tcPr>
            <w:tcW w:type="dxa" w:w="2160"/>
            <w:vAlign w:val="center"/>
          </w:tcPr>
          <w:p>
            <w:r/>
            <w:r>
              <w:rPr>
                <w:b w:val="0"/>
                <w:sz w:val="16"/>
              </w:rPr>
              <w:t>Historical sync</w:t>
            </w:r>
          </w:p>
        </w:tc>
        <w:tc>
          <w:tcPr>
            <w:tcW w:type="dxa" w:w="4320"/>
            <w:vAlign w:val="center"/>
          </w:tcPr>
          <w:p>
            <w:r/>
            <w:r>
              <w:rPr>
                <w:b w:val="0"/>
                <w:sz w:val="16"/>
              </w:rPr>
              <w:t>Backfill existing data</w:t>
            </w:r>
          </w:p>
        </w:tc>
        <w:tc>
          <w:tcPr>
            <w:tcW w:type="dxa" w:w="2880"/>
            <w:vAlign w:val="center"/>
          </w:tcPr>
          <w:p>
            <w:r/>
            <w:r>
              <w:rPr>
                <w:b w:val="0"/>
                <w:sz w:val="16"/>
              </w:rPr>
              <w:t>Pagination + rate-limit backoff + retries</w:t>
            </w:r>
          </w:p>
        </w:tc>
      </w:tr>
    </w:tbl>
    <w:p/>
    <w:p>
      <w:pPr>
        <w:pStyle w:val="Heading2"/>
        <w:keepNext/>
      </w:pPr>
      <w:r>
        <w:t>16.2 Internal ML Interfaces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7365D"/>
          </w:tcPr>
          <w:p>
            <w:r/>
            <w:r>
              <w:rPr>
                <w:b/>
                <w:color w:val="FFFFFF"/>
                <w:sz w:val="16"/>
              </w:rPr>
              <w:t>Endpoint / job</w:t>
            </w:r>
          </w:p>
        </w:tc>
        <w:tc>
          <w:tcPr>
            <w:tcW w:type="dxa" w:w="6192"/>
            <w:vAlign w:val="center"/>
            <w:shd w:fill="17365D"/>
          </w:tcPr>
          <w:p>
            <w:r/>
            <w:r>
              <w:rPr>
                <w:b/>
                <w:color w:val="FFFFFF"/>
                <w:sz w:val="16"/>
              </w:rPr>
              <w:t>Purpose</w:t>
            </w:r>
          </w:p>
        </w:tc>
      </w:tr>
      <w:tr>
        <w:tc>
          <w:tcPr>
            <w:tcW w:type="dxa" w:w="3168"/>
            <w:vAlign w:val="center"/>
          </w:tcPr>
          <w:p>
            <w:r/>
            <w:r>
              <w:rPr>
                <w:b w:val="0"/>
                <w:sz w:val="16"/>
              </w:rPr>
              <w:t>/features/rto</w:t>
            </w:r>
          </w:p>
        </w:tc>
        <w:tc>
          <w:tcPr>
            <w:tcW w:type="dxa" w:w="6192"/>
            <w:vAlign w:val="center"/>
          </w:tcPr>
          <w:p>
            <w:r/>
            <w:r>
              <w:rPr>
                <w:b w:val="0"/>
                <w:sz w:val="16"/>
              </w:rPr>
              <w:t>Generate point-in-time RTO feature vector</w:t>
            </w:r>
          </w:p>
        </w:tc>
      </w:tr>
      <w:tr>
        <w:tc>
          <w:tcPr>
            <w:tcW w:type="dxa" w:w="3168"/>
            <w:vAlign w:val="center"/>
          </w:tcPr>
          <w:p>
            <w:r/>
            <w:r>
              <w:rPr>
                <w:b w:val="0"/>
                <w:sz w:val="16"/>
              </w:rPr>
              <w:t>/features/churn</w:t>
            </w:r>
          </w:p>
        </w:tc>
        <w:tc>
          <w:tcPr>
            <w:tcW w:type="dxa" w:w="6192"/>
            <w:vAlign w:val="center"/>
          </w:tcPr>
          <w:p>
            <w:r/>
            <w:r>
              <w:rPr>
                <w:b w:val="0"/>
                <w:sz w:val="16"/>
              </w:rPr>
              <w:t>Generate churn feature vector</w:t>
            </w:r>
          </w:p>
        </w:tc>
      </w:tr>
      <w:tr>
        <w:tc>
          <w:tcPr>
            <w:tcW w:type="dxa" w:w="3168"/>
            <w:vAlign w:val="center"/>
          </w:tcPr>
          <w:p>
            <w:r/>
            <w:r>
              <w:rPr>
                <w:b w:val="0"/>
                <w:sz w:val="16"/>
              </w:rPr>
              <w:t>/predict/rto</w:t>
            </w:r>
          </w:p>
        </w:tc>
        <w:tc>
          <w:tcPr>
            <w:tcW w:type="dxa" w:w="6192"/>
            <w:vAlign w:val="center"/>
          </w:tcPr>
          <w:p>
            <w:r/>
            <w:r>
              <w:rPr>
                <w:b w:val="0"/>
                <w:sz w:val="16"/>
              </w:rPr>
              <w:t>Return RTO probability and risk band</w:t>
            </w:r>
          </w:p>
        </w:tc>
      </w:tr>
      <w:tr>
        <w:tc>
          <w:tcPr>
            <w:tcW w:type="dxa" w:w="3168"/>
            <w:vAlign w:val="center"/>
          </w:tcPr>
          <w:p>
            <w:r/>
            <w:r>
              <w:rPr>
                <w:b w:val="0"/>
                <w:sz w:val="16"/>
              </w:rPr>
              <w:t>/internal/outcomes/order</w:t>
            </w:r>
          </w:p>
        </w:tc>
        <w:tc>
          <w:tcPr>
            <w:tcW w:type="dxa" w:w="6192"/>
            <w:vAlign w:val="center"/>
          </w:tcPr>
          <w:p>
            <w:r/>
            <w:r>
              <w:rPr>
                <w:b w:val="0"/>
                <w:sz w:val="16"/>
              </w:rPr>
              <w:t>Apply one incremental order-model update</w:t>
            </w:r>
          </w:p>
        </w:tc>
      </w:tr>
      <w:tr>
        <w:tc>
          <w:tcPr>
            <w:tcW w:type="dxa" w:w="3168"/>
            <w:vAlign w:val="center"/>
          </w:tcPr>
          <w:p>
            <w:r/>
            <w:r>
              <w:rPr>
                <w:b w:val="0"/>
                <w:sz w:val="16"/>
              </w:rPr>
              <w:t>/internal/outcomes/customer</w:t>
            </w:r>
          </w:p>
        </w:tc>
        <w:tc>
          <w:tcPr>
            <w:tcW w:type="dxa" w:w="6192"/>
            <w:vAlign w:val="center"/>
          </w:tcPr>
          <w:p>
            <w:r/>
            <w:r>
              <w:rPr>
                <w:b w:val="0"/>
                <w:sz w:val="16"/>
              </w:rPr>
              <w:t>Apply one incremental churn-model update</w:t>
            </w:r>
          </w:p>
        </w:tc>
      </w:tr>
      <w:tr>
        <w:tc>
          <w:tcPr>
            <w:tcW w:type="dxa" w:w="3168"/>
            <w:vAlign w:val="center"/>
          </w:tcPr>
          <w:p>
            <w:r/>
            <w:r>
              <w:rPr>
                <w:b w:val="0"/>
                <w:sz w:val="16"/>
              </w:rPr>
              <w:t>Scheduled churn job</w:t>
            </w:r>
          </w:p>
        </w:tc>
        <w:tc>
          <w:tcPr>
            <w:tcW w:type="dxa" w:w="6192"/>
            <w:vAlign w:val="center"/>
          </w:tcPr>
          <w:p>
            <w:r/>
            <w:r>
              <w:rPr>
                <w:b w:val="0"/>
                <w:sz w:val="16"/>
              </w:rPr>
              <w:t>Score eligible customers</w:t>
            </w:r>
          </w:p>
        </w:tc>
      </w:tr>
      <w:tr>
        <w:tc>
          <w:tcPr>
            <w:tcW w:type="dxa" w:w="3168"/>
            <w:vAlign w:val="center"/>
          </w:tcPr>
          <w:p>
            <w:r/>
            <w:r>
              <w:rPr>
                <w:b w:val="0"/>
                <w:sz w:val="16"/>
              </w:rPr>
              <w:t>Weekly FedAvg job</w:t>
            </w:r>
          </w:p>
        </w:tc>
        <w:tc>
          <w:tcPr>
            <w:tcW w:type="dxa" w:w="6192"/>
            <w:vAlign w:val="center"/>
          </w:tcPr>
          <w:p>
            <w:r/>
            <w:r>
              <w:rPr>
                <w:b w:val="0"/>
                <w:sz w:val="16"/>
              </w:rPr>
              <w:t>Aggregate category model weights</w:t>
            </w:r>
          </w:p>
        </w:tc>
      </w:tr>
    </w:tbl>
    <w:p/>
    <w:p>
      <w:pPr>
        <w:pStyle w:val="Heading2"/>
        <w:keepNext/>
      </w:pPr>
      <w:r>
        <w:t>16.3 Idempotency</w:t>
      </w:r>
    </w:p>
    <w:p>
      <w:pPr>
        <w:spacing w:after="100" w:line="259" w:lineRule="auto"/>
      </w:pPr>
      <w:r>
        <w:t>Webhook events should be persisted using (store_id, event_id). Outcome updates should similarly be idempotent on (store_id, order_id) or (store_id, customer_id), as specified by the technical design. This prevents duplicate delivery of the same event from creating duplicate processing or multiple SGD updates.</w:t>
      </w:r>
    </w:p>
    <w:p>
      <w:pPr>
        <w:pStyle w:val="Heading1"/>
        <w:keepNext/>
      </w:pPr>
      <w:r>
        <w:t>17. USER INTERFACE AND DASHBOARD DESIGN</w:t>
      </w:r>
    </w:p>
    <w:p>
      <w:pPr>
        <w:pStyle w:val="Heading2"/>
        <w:keepNext/>
      </w:pPr>
      <w:r>
        <w:t>17.1 Dashboard Sections</w:t>
      </w:r>
    </w:p>
    <w:p>
      <w:pPr>
        <w:pStyle w:val="ListBullet"/>
        <w:spacing w:after="40"/>
      </w:pPr>
      <w:r>
        <w:t>Overview: risk counts, recent alerts and store-level trends.</w:t>
      </w:r>
    </w:p>
    <w:p>
      <w:pPr>
        <w:pStyle w:val="ListBullet"/>
        <w:spacing w:after="40"/>
      </w:pPr>
      <w:r>
        <w:t>RTO Monitor: COD orders, probability, risk band, reasons, impact and recommendation.</w:t>
      </w:r>
    </w:p>
    <w:p>
      <w:pPr>
        <w:pStyle w:val="ListBullet"/>
        <w:spacing w:after="40"/>
      </w:pPr>
      <w:r>
        <w:t>Customer Churn: customer risk list, RFM signals, reasons and recommended action.</w:t>
      </w:r>
    </w:p>
    <w:p>
      <w:pPr>
        <w:pStyle w:val="ListBullet"/>
        <w:spacing w:after="40"/>
      </w:pPr>
      <w:r>
        <w:t>Marketing Efficiency: channel spend versus observed cohort lifetime value.</w:t>
      </w:r>
    </w:p>
    <w:p>
      <w:pPr>
        <w:pStyle w:val="ListBullet"/>
        <w:spacing w:after="40"/>
      </w:pPr>
      <w:r>
        <w:t>Model Health: version, evaluation metrics, update status and last calibration.</w:t>
      </w:r>
    </w:p>
    <w:p>
      <w:pPr>
        <w:pStyle w:val="ListBullet"/>
        <w:spacing w:after="40"/>
      </w:pPr>
      <w:r>
        <w:t>Store Settings: thresholds, cost assumptions, platform connection and rule configuration.</w:t>
      </w:r>
    </w:p>
    <w:p>
      <w:pPr>
        <w:pStyle w:val="ListBullet"/>
        <w:spacing w:after="40"/>
      </w:pPr>
      <w:r>
        <w:t>Audit / Activity: important changes, model updates and security events.</w:t>
      </w:r>
    </w:p>
    <w:p>
      <w:pPr>
        <w:pStyle w:val="Heading2"/>
        <w:keepNext/>
      </w:pPr>
      <w:r>
        <w:t>17.2 Example Risk Card</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365D"/>
          </w:tcPr>
          <w:p>
            <w:r/>
            <w:r>
              <w:rPr>
                <w:b/>
                <w:color w:val="FFFFFF"/>
                <w:sz w:val="16"/>
              </w:rPr>
              <w:t>Field</w:t>
            </w:r>
          </w:p>
        </w:tc>
        <w:tc>
          <w:tcPr>
            <w:tcW w:type="dxa" w:w="7200"/>
            <w:vAlign w:val="center"/>
            <w:shd w:fill="17365D"/>
          </w:tcPr>
          <w:p>
            <w:r/>
            <w:r>
              <w:rPr>
                <w:b/>
                <w:color w:val="FFFFFF"/>
                <w:sz w:val="16"/>
              </w:rPr>
              <w:t>Example display structure</w:t>
            </w:r>
          </w:p>
        </w:tc>
      </w:tr>
      <w:tr>
        <w:tc>
          <w:tcPr>
            <w:tcW w:type="dxa" w:w="2160"/>
            <w:vAlign w:val="center"/>
          </w:tcPr>
          <w:p>
            <w:r/>
            <w:r>
              <w:rPr>
                <w:b w:val="0"/>
                <w:sz w:val="16"/>
              </w:rPr>
              <w:t>Entity</w:t>
            </w:r>
          </w:p>
        </w:tc>
        <w:tc>
          <w:tcPr>
            <w:tcW w:type="dxa" w:w="7200"/>
            <w:vAlign w:val="center"/>
          </w:tcPr>
          <w:p>
            <w:r/>
            <w:r>
              <w:rPr>
                <w:b w:val="0"/>
                <w:sz w:val="16"/>
              </w:rPr>
              <w:t>Order #12345 / Customer #C123</w:t>
            </w:r>
          </w:p>
        </w:tc>
      </w:tr>
      <w:tr>
        <w:tc>
          <w:tcPr>
            <w:tcW w:type="dxa" w:w="2160"/>
            <w:vAlign w:val="center"/>
          </w:tcPr>
          <w:p>
            <w:r/>
            <w:r>
              <w:rPr>
                <w:b w:val="0"/>
                <w:sz w:val="16"/>
              </w:rPr>
              <w:t>Risk</w:t>
            </w:r>
          </w:p>
        </w:tc>
        <w:tc>
          <w:tcPr>
            <w:tcW w:type="dxa" w:w="7200"/>
            <w:vAlign w:val="center"/>
          </w:tcPr>
          <w:p>
            <w:r/>
            <w:r>
              <w:rPr>
                <w:b w:val="0"/>
                <w:sz w:val="16"/>
              </w:rPr>
              <w:t>High — probability shown as a percentage</w:t>
            </w:r>
          </w:p>
        </w:tc>
      </w:tr>
      <w:tr>
        <w:tc>
          <w:tcPr>
            <w:tcW w:type="dxa" w:w="2160"/>
            <w:vAlign w:val="center"/>
          </w:tcPr>
          <w:p>
            <w:r/>
            <w:r>
              <w:rPr>
                <w:b w:val="0"/>
                <w:sz w:val="16"/>
              </w:rPr>
              <w:t>Reasons</w:t>
            </w:r>
          </w:p>
        </w:tc>
        <w:tc>
          <w:tcPr>
            <w:tcW w:type="dxa" w:w="7200"/>
            <w:vAlign w:val="center"/>
          </w:tcPr>
          <w:p>
            <w:r/>
            <w:r>
              <w:rPr>
                <w:b w:val="0"/>
                <w:sz w:val="16"/>
              </w:rPr>
              <w:t>Reason 1; Reason 2; Reason 3</w:t>
            </w:r>
          </w:p>
        </w:tc>
      </w:tr>
      <w:tr>
        <w:tc>
          <w:tcPr>
            <w:tcW w:type="dxa" w:w="2160"/>
            <w:vAlign w:val="center"/>
          </w:tcPr>
          <w:p>
            <w:r/>
            <w:r>
              <w:rPr>
                <w:b w:val="0"/>
                <w:sz w:val="16"/>
              </w:rPr>
              <w:t>Impact</w:t>
            </w:r>
          </w:p>
        </w:tc>
        <w:tc>
          <w:tcPr>
            <w:tcW w:type="dxa" w:w="7200"/>
            <w:vAlign w:val="center"/>
          </w:tcPr>
          <w:p>
            <w:r/>
            <w:r>
              <w:rPr>
                <w:b w:val="0"/>
                <w:sz w:val="16"/>
              </w:rPr>
              <w:t>₹ low estimate – ₹ high estimate</w:t>
            </w:r>
          </w:p>
        </w:tc>
      </w:tr>
      <w:tr>
        <w:tc>
          <w:tcPr>
            <w:tcW w:type="dxa" w:w="2160"/>
            <w:vAlign w:val="center"/>
          </w:tcPr>
          <w:p>
            <w:r/>
            <w:r>
              <w:rPr>
                <w:b w:val="0"/>
                <w:sz w:val="16"/>
              </w:rPr>
              <w:t>Recommendation</w:t>
            </w:r>
          </w:p>
        </w:tc>
        <w:tc>
          <w:tcPr>
            <w:tcW w:type="dxa" w:w="7200"/>
            <w:vAlign w:val="center"/>
          </w:tcPr>
          <w:p>
            <w:r/>
            <w:r>
              <w:rPr>
                <w:b w:val="0"/>
                <w:sz w:val="16"/>
              </w:rPr>
              <w:t>One action from active rule version</w:t>
            </w:r>
          </w:p>
        </w:tc>
      </w:tr>
      <w:tr>
        <w:tc>
          <w:tcPr>
            <w:tcW w:type="dxa" w:w="2160"/>
            <w:vAlign w:val="center"/>
          </w:tcPr>
          <w:p>
            <w:r/>
            <w:r>
              <w:rPr>
                <w:b w:val="0"/>
                <w:sz w:val="16"/>
              </w:rPr>
              <w:t>Traceability</w:t>
            </w:r>
          </w:p>
        </w:tc>
        <w:tc>
          <w:tcPr>
            <w:tcW w:type="dxa" w:w="7200"/>
            <w:vAlign w:val="center"/>
          </w:tcPr>
          <w:p>
            <w:r/>
            <w:r>
              <w:rPr>
                <w:b w:val="0"/>
                <w:sz w:val="16"/>
              </w:rPr>
              <w:t>Model version / rule version / timestamp</w:t>
            </w:r>
          </w:p>
        </w:tc>
      </w:tr>
    </w:tbl>
    <w:p/>
    <w:p>
      <w:pPr>
        <w:spacing w:after="100" w:line="259" w:lineRule="auto"/>
      </w:pPr>
      <w:r>
        <w:t>The example is a UI structure only; no numerical production prediction is claimed.</w:t>
      </w:r>
    </w:p>
    <w:p>
      <w:pPr>
        <w:pStyle w:val="Heading1"/>
        <w:keepNext/>
      </w:pPr>
      <w:r>
        <w:t>18. TESTING AND QUALITY ASSURANCE</w:t>
      </w:r>
    </w:p>
    <w:p>
      <w:pPr>
        <w:pStyle w:val="Heading2"/>
        <w:keepNext/>
      </w:pPr>
      <w:r>
        <w:t>18.1 Test Levels</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17365D"/>
          </w:tcPr>
          <w:p>
            <w:r/>
            <w:r>
              <w:rPr>
                <w:b/>
                <w:color w:val="FFFFFF"/>
                <w:sz w:val="16"/>
              </w:rPr>
              <w:t>Test type</w:t>
            </w:r>
          </w:p>
        </w:tc>
        <w:tc>
          <w:tcPr>
            <w:tcW w:type="dxa" w:w="7344"/>
            <w:vAlign w:val="center"/>
            <w:shd w:fill="17365D"/>
          </w:tcPr>
          <w:p>
            <w:r/>
            <w:r>
              <w:rPr>
                <w:b/>
                <w:color w:val="FFFFFF"/>
                <w:sz w:val="16"/>
              </w:rPr>
              <w:t>Representative tests</w:t>
            </w:r>
          </w:p>
        </w:tc>
      </w:tr>
      <w:tr>
        <w:tc>
          <w:tcPr>
            <w:tcW w:type="dxa" w:w="2016"/>
            <w:vAlign w:val="center"/>
          </w:tcPr>
          <w:p>
            <w:r/>
            <w:r>
              <w:rPr>
                <w:b w:val="0"/>
                <w:sz w:val="16"/>
              </w:rPr>
              <w:t>Unit</w:t>
            </w:r>
          </w:p>
        </w:tc>
        <w:tc>
          <w:tcPr>
            <w:tcW w:type="dxa" w:w="7344"/>
            <w:vAlign w:val="center"/>
          </w:tcPr>
          <w:p>
            <w:r/>
            <w:r>
              <w:rPr>
                <w:b w:val="0"/>
                <w:sz w:val="16"/>
              </w:rPr>
              <w:t>Feature calculations, risk classification, explanation ranking, impact calculation, recommendation rules</w:t>
            </w:r>
          </w:p>
        </w:tc>
      </w:tr>
      <w:tr>
        <w:tc>
          <w:tcPr>
            <w:tcW w:type="dxa" w:w="2016"/>
            <w:vAlign w:val="center"/>
          </w:tcPr>
          <w:p>
            <w:r/>
            <w:r>
              <w:rPr>
                <w:b w:val="0"/>
                <w:sz w:val="16"/>
              </w:rPr>
              <w:t>Integration</w:t>
            </w:r>
          </w:p>
        </w:tc>
        <w:tc>
          <w:tcPr>
            <w:tcW w:type="dxa" w:w="7344"/>
            <w:vAlign w:val="center"/>
          </w:tcPr>
          <w:p>
            <w:r/>
            <w:r>
              <w:rPr>
                <w:b w:val="0"/>
                <w:sz w:val="16"/>
              </w:rPr>
              <w:t>Shopify/WooCommerce adapters, PostgreSQL, FastAPI, Redis/BullMQ</w:t>
            </w:r>
          </w:p>
        </w:tc>
      </w:tr>
      <w:tr>
        <w:tc>
          <w:tcPr>
            <w:tcW w:type="dxa" w:w="2016"/>
            <w:vAlign w:val="center"/>
          </w:tcPr>
          <w:p>
            <w:r/>
            <w:r>
              <w:rPr>
                <w:b w:val="0"/>
                <w:sz w:val="16"/>
              </w:rPr>
              <w:t>Security</w:t>
            </w:r>
          </w:p>
        </w:tc>
        <w:tc>
          <w:tcPr>
            <w:tcW w:type="dxa" w:w="7344"/>
            <w:vAlign w:val="center"/>
          </w:tcPr>
          <w:p>
            <w:r/>
            <w:r>
              <w:rPr>
                <w:b w:val="0"/>
                <w:sz w:val="16"/>
              </w:rPr>
              <w:t>Invalid signatures, unauthorized store access, cross-store read/update/delete</w:t>
            </w:r>
          </w:p>
        </w:tc>
      </w:tr>
      <w:tr>
        <w:tc>
          <w:tcPr>
            <w:tcW w:type="dxa" w:w="2016"/>
            <w:vAlign w:val="center"/>
          </w:tcPr>
          <w:p>
            <w:r/>
            <w:r>
              <w:rPr>
                <w:b w:val="0"/>
                <w:sz w:val="16"/>
              </w:rPr>
              <w:t>ML</w:t>
            </w:r>
          </w:p>
        </w:tc>
        <w:tc>
          <w:tcPr>
            <w:tcW w:type="dxa" w:w="7344"/>
            <w:vAlign w:val="center"/>
          </w:tcPr>
          <w:p>
            <w:r/>
            <w:r>
              <w:rPr>
                <w:b w:val="0"/>
                <w:sz w:val="16"/>
              </w:rPr>
              <w:t>Class imbalance handling, leakage, temporal split, minority metrics, baseline comparison</w:t>
            </w:r>
          </w:p>
        </w:tc>
      </w:tr>
      <w:tr>
        <w:tc>
          <w:tcPr>
            <w:tcW w:type="dxa" w:w="2016"/>
            <w:vAlign w:val="center"/>
          </w:tcPr>
          <w:p>
            <w:r/>
            <w:r>
              <w:rPr>
                <w:b w:val="0"/>
                <w:sz w:val="16"/>
              </w:rPr>
              <w:t>End-to-end</w:t>
            </w:r>
          </w:p>
        </w:tc>
        <w:tc>
          <w:tcPr>
            <w:tcW w:type="dxa" w:w="7344"/>
            <w:vAlign w:val="center"/>
          </w:tcPr>
          <w:p>
            <w:r/>
            <w:r>
              <w:rPr>
                <w:b w:val="0"/>
                <w:sz w:val="16"/>
              </w:rPr>
              <w:t>Webhook → normalization → features → prediction → explanation → impact → recommendation → dashboard</w:t>
            </w:r>
          </w:p>
        </w:tc>
      </w:tr>
    </w:tbl>
    <w:p/>
    <w:p>
      <w:pPr>
        <w:pStyle w:val="Heading2"/>
        <w:keepNext/>
      </w:pPr>
      <w:r>
        <w:t>18.2 Critical Acceptance Tests</w:t>
      </w:r>
    </w:p>
    <w:p>
      <w:pPr>
        <w:pStyle w:val="ListNumber"/>
        <w:spacing w:after="40"/>
      </w:pPr>
      <w:r>
        <w:t>An invalid Shopify webhook signature is rejected.</w:t>
      </w:r>
    </w:p>
    <w:p>
      <w:pPr>
        <w:pStyle w:val="ListNumber"/>
        <w:spacing w:after="40"/>
      </w:pPr>
      <w:r>
        <w:t>An invalid WooCommerce webhook secret is rejected.</w:t>
      </w:r>
    </w:p>
    <w:p>
      <w:pPr>
        <w:pStyle w:val="ListNumber"/>
        <w:spacing w:after="40"/>
      </w:pPr>
      <w:r>
        <w:t>Duplicate webhook events do not create duplicate processing.</w:t>
      </w:r>
    </w:p>
    <w:p>
      <w:pPr>
        <w:pStyle w:val="ListNumber"/>
        <w:spacing w:after="40"/>
      </w:pPr>
      <w:r>
        <w:t>A user cannot read another store's customer or order data.</w:t>
      </w:r>
    </w:p>
    <w:p>
      <w:pPr>
        <w:pStyle w:val="ListNumber"/>
        <w:spacing w:after="40"/>
      </w:pPr>
      <w:r>
        <w:t>A user cannot update another store's prediction/configuration.</w:t>
      </w:r>
    </w:p>
    <w:p>
      <w:pPr>
        <w:pStyle w:val="ListNumber"/>
        <w:spacing w:after="40"/>
      </w:pPr>
      <w:r>
        <w:t>RTO prediction uses only data available at Shipped.</w:t>
      </w:r>
    </w:p>
    <w:p>
      <w:pPr>
        <w:pStyle w:val="ListNumber"/>
        <w:spacing w:after="40"/>
      </w:pPr>
      <w:r>
        <w:t>Temporal train/validation/test periods do not overlap.</w:t>
      </w:r>
    </w:p>
    <w:p>
      <w:pPr>
        <w:pStyle w:val="ListNumber"/>
        <w:spacing w:after="40"/>
      </w:pPr>
      <w:r>
        <w:t>High/Medium predictions contain the required explanation and impact output.</w:t>
      </w:r>
    </w:p>
    <w:p>
      <w:pPr>
        <w:pStyle w:val="ListNumber"/>
        <w:spacing w:after="40"/>
      </w:pPr>
      <w:r>
        <w:t>Recommendation engine always emits exactly one result when a qualifying rule exists.</w:t>
      </w:r>
    </w:p>
    <w:p>
      <w:pPr>
        <w:pStyle w:val="ListNumber"/>
        <w:spacing w:after="40"/>
      </w:pPr>
      <w:r>
        <w:t>Incremental update occurs at most once for a verified outcome.</w:t>
      </w:r>
    </w:p>
    <w:p>
      <w:pPr>
        <w:pStyle w:val="ListNumber"/>
        <w:spacing w:after="40"/>
      </w:pPr>
      <w:r>
        <w:t>Failed incremental validation keeps the previous model active.</w:t>
      </w:r>
    </w:p>
    <w:p>
      <w:pPr>
        <w:pStyle w:val="ListNumber"/>
        <w:spacing w:after="40"/>
      </w:pPr>
      <w:r>
        <w:t>FedAvg aggregation uses the documented sample-weighting policy.</w:t>
      </w:r>
    </w:p>
    <w:p>
      <w:pPr>
        <w:pStyle w:val="ListNumber"/>
        <w:spacing w:after="40"/>
      </w:pPr>
      <w:r>
        <w:t>Cross-tenant automated tests pass in CI.</w:t>
      </w:r>
    </w:p>
    <w:p>
      <w:pPr>
        <w:pStyle w:val="Heading2"/>
        <w:keepNext/>
      </w:pPr>
      <w:r>
        <w:t>18.3 Test Result Reporting Template</w:t>
      </w:r>
    </w:p>
    <w:p>
      <w:pPr>
        <w:spacing w:after="100" w:line="259" w:lineRule="auto"/>
      </w:pPr>
      <w:r>
        <w:t>The following table should be populated after implementation. It is intentionally blank rather than filled with invented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152"/>
            <w:vAlign w:val="center"/>
            <w:shd w:fill="17365D"/>
          </w:tcPr>
          <w:p>
            <w:r/>
            <w:r>
              <w:rPr>
                <w:b/>
                <w:color w:val="FFFFFF"/>
                <w:sz w:val="15"/>
              </w:rPr>
              <w:t>Test ID</w:t>
            </w:r>
          </w:p>
        </w:tc>
        <w:tc>
          <w:tcPr>
            <w:tcW w:type="dxa" w:w="3024"/>
            <w:vAlign w:val="center"/>
            <w:shd w:fill="17365D"/>
          </w:tcPr>
          <w:p>
            <w:r/>
            <w:r>
              <w:rPr>
                <w:b/>
                <w:color w:val="FFFFFF"/>
                <w:sz w:val="15"/>
              </w:rPr>
              <w:t>Test</w:t>
            </w:r>
          </w:p>
        </w:tc>
        <w:tc>
          <w:tcPr>
            <w:tcW w:type="dxa" w:w="2880"/>
            <w:vAlign w:val="center"/>
            <w:shd w:fill="17365D"/>
          </w:tcPr>
          <w:p>
            <w:r/>
            <w:r>
              <w:rPr>
                <w:b/>
                <w:color w:val="FFFFFF"/>
                <w:sz w:val="15"/>
              </w:rPr>
              <w:t>Expected</w:t>
            </w:r>
          </w:p>
        </w:tc>
        <w:tc>
          <w:tcPr>
            <w:tcW w:type="dxa" w:w="1440"/>
            <w:vAlign w:val="center"/>
            <w:shd w:fill="17365D"/>
          </w:tcPr>
          <w:p>
            <w:r/>
            <w:r>
              <w:rPr>
                <w:b/>
                <w:color w:val="FFFFFF"/>
                <w:sz w:val="15"/>
              </w:rPr>
              <w:t>Actual</w:t>
            </w:r>
          </w:p>
        </w:tc>
        <w:tc>
          <w:tcPr>
            <w:tcW w:type="dxa" w:w="864"/>
            <w:vAlign w:val="center"/>
            <w:shd w:fill="17365D"/>
          </w:tcPr>
          <w:p>
            <w:r/>
            <w:r>
              <w:rPr>
                <w:b/>
                <w:color w:val="FFFFFF"/>
                <w:sz w:val="15"/>
              </w:rPr>
              <w:t>Status</w:t>
            </w:r>
          </w:p>
        </w:tc>
      </w:tr>
      <w:tr>
        <w:tc>
          <w:tcPr>
            <w:tcW w:type="dxa" w:w="1152"/>
            <w:vAlign w:val="center"/>
          </w:tcPr>
          <w:p>
            <w:r/>
            <w:r>
              <w:rPr>
                <w:b w:val="0"/>
                <w:sz w:val="15"/>
              </w:rPr>
              <w:t>T-01</w:t>
            </w:r>
          </w:p>
        </w:tc>
        <w:tc>
          <w:tcPr>
            <w:tcW w:type="dxa" w:w="3024"/>
            <w:vAlign w:val="center"/>
          </w:tcPr>
          <w:p>
            <w:r/>
            <w:r>
              <w:rPr>
                <w:b w:val="0"/>
                <w:sz w:val="15"/>
              </w:rPr>
              <w:t>Webhook signature verification</w:t>
            </w:r>
          </w:p>
        </w:tc>
        <w:tc>
          <w:tcPr>
            <w:tcW w:type="dxa" w:w="2880"/>
            <w:vAlign w:val="center"/>
          </w:tcPr>
          <w:p>
            <w:r/>
            <w:r>
              <w:rPr>
                <w:b w:val="0"/>
                <w:sz w:val="15"/>
              </w:rPr>
              <w:t>Invalid request rejected</w:t>
            </w:r>
          </w:p>
        </w:tc>
        <w:tc>
          <w:tcPr>
            <w:tcW w:type="dxa" w:w="1440"/>
            <w:vAlign w:val="center"/>
          </w:tcPr>
          <w:p>
            <w:r/>
            <w:r>
              <w:rPr>
                <w:b w:val="0"/>
                <w:sz w:val="15"/>
              </w:rPr>
              <w:t>________________</w:t>
            </w:r>
          </w:p>
        </w:tc>
        <w:tc>
          <w:tcPr>
            <w:tcW w:type="dxa" w:w="864"/>
            <w:vAlign w:val="center"/>
          </w:tcPr>
          <w:p>
            <w:r/>
            <w:r>
              <w:rPr>
                <w:b w:val="0"/>
                <w:sz w:val="15"/>
              </w:rPr>
              <w:t>____</w:t>
            </w:r>
          </w:p>
        </w:tc>
      </w:tr>
      <w:tr>
        <w:tc>
          <w:tcPr>
            <w:tcW w:type="dxa" w:w="1152"/>
            <w:vAlign w:val="center"/>
          </w:tcPr>
          <w:p>
            <w:r/>
            <w:r>
              <w:rPr>
                <w:b w:val="0"/>
                <w:sz w:val="15"/>
              </w:rPr>
              <w:t>T-02</w:t>
            </w:r>
          </w:p>
        </w:tc>
        <w:tc>
          <w:tcPr>
            <w:tcW w:type="dxa" w:w="3024"/>
            <w:vAlign w:val="center"/>
          </w:tcPr>
          <w:p>
            <w:r/>
            <w:r>
              <w:rPr>
                <w:b w:val="0"/>
                <w:sz w:val="15"/>
              </w:rPr>
              <w:t>Webhook idempotency</w:t>
            </w:r>
          </w:p>
        </w:tc>
        <w:tc>
          <w:tcPr>
            <w:tcW w:type="dxa" w:w="2880"/>
            <w:vAlign w:val="center"/>
          </w:tcPr>
          <w:p>
            <w:r/>
            <w:r>
              <w:rPr>
                <w:b w:val="0"/>
                <w:sz w:val="15"/>
              </w:rPr>
              <w:t>Duplicate ignored</w:t>
            </w:r>
          </w:p>
        </w:tc>
        <w:tc>
          <w:tcPr>
            <w:tcW w:type="dxa" w:w="1440"/>
            <w:vAlign w:val="center"/>
          </w:tcPr>
          <w:p>
            <w:r/>
            <w:r>
              <w:rPr>
                <w:b w:val="0"/>
                <w:sz w:val="15"/>
              </w:rPr>
              <w:t>________________</w:t>
            </w:r>
          </w:p>
        </w:tc>
        <w:tc>
          <w:tcPr>
            <w:tcW w:type="dxa" w:w="864"/>
            <w:vAlign w:val="center"/>
          </w:tcPr>
          <w:p>
            <w:r/>
            <w:r>
              <w:rPr>
                <w:b w:val="0"/>
                <w:sz w:val="15"/>
              </w:rPr>
              <w:t>____</w:t>
            </w:r>
          </w:p>
        </w:tc>
      </w:tr>
      <w:tr>
        <w:tc>
          <w:tcPr>
            <w:tcW w:type="dxa" w:w="1152"/>
            <w:vAlign w:val="center"/>
          </w:tcPr>
          <w:p>
            <w:r/>
            <w:r>
              <w:rPr>
                <w:b w:val="0"/>
                <w:sz w:val="15"/>
              </w:rPr>
              <w:t>T-03</w:t>
            </w:r>
          </w:p>
        </w:tc>
        <w:tc>
          <w:tcPr>
            <w:tcW w:type="dxa" w:w="3024"/>
            <w:vAlign w:val="center"/>
          </w:tcPr>
          <w:p>
            <w:r/>
            <w:r>
              <w:rPr>
                <w:b w:val="0"/>
                <w:sz w:val="15"/>
              </w:rPr>
              <w:t>RTO temporal leakage</w:t>
            </w:r>
          </w:p>
        </w:tc>
        <w:tc>
          <w:tcPr>
            <w:tcW w:type="dxa" w:w="2880"/>
            <w:vAlign w:val="center"/>
          </w:tcPr>
          <w:p>
            <w:r/>
            <w:r>
              <w:rPr>
                <w:b w:val="0"/>
                <w:sz w:val="15"/>
              </w:rPr>
              <w:t>No post-Shipped feature</w:t>
            </w:r>
          </w:p>
        </w:tc>
        <w:tc>
          <w:tcPr>
            <w:tcW w:type="dxa" w:w="1440"/>
            <w:vAlign w:val="center"/>
          </w:tcPr>
          <w:p>
            <w:r/>
            <w:r>
              <w:rPr>
                <w:b w:val="0"/>
                <w:sz w:val="15"/>
              </w:rPr>
              <w:t>________________</w:t>
            </w:r>
          </w:p>
        </w:tc>
        <w:tc>
          <w:tcPr>
            <w:tcW w:type="dxa" w:w="864"/>
            <w:vAlign w:val="center"/>
          </w:tcPr>
          <w:p>
            <w:r/>
            <w:r>
              <w:rPr>
                <w:b w:val="0"/>
                <w:sz w:val="15"/>
              </w:rPr>
              <w:t>____</w:t>
            </w:r>
          </w:p>
        </w:tc>
      </w:tr>
      <w:tr>
        <w:tc>
          <w:tcPr>
            <w:tcW w:type="dxa" w:w="1152"/>
            <w:vAlign w:val="center"/>
          </w:tcPr>
          <w:p>
            <w:r/>
            <w:r>
              <w:rPr>
                <w:b w:val="0"/>
                <w:sz w:val="15"/>
              </w:rPr>
              <w:t>T-04</w:t>
            </w:r>
          </w:p>
        </w:tc>
        <w:tc>
          <w:tcPr>
            <w:tcW w:type="dxa" w:w="3024"/>
            <w:vAlign w:val="center"/>
          </w:tcPr>
          <w:p>
            <w:r/>
            <w:r>
              <w:rPr>
                <w:b w:val="0"/>
                <w:sz w:val="15"/>
              </w:rPr>
              <w:t>Tenant isolation</w:t>
            </w:r>
          </w:p>
        </w:tc>
        <w:tc>
          <w:tcPr>
            <w:tcW w:type="dxa" w:w="2880"/>
            <w:vAlign w:val="center"/>
          </w:tcPr>
          <w:p>
            <w:r/>
            <w:r>
              <w:rPr>
                <w:b w:val="0"/>
                <w:sz w:val="15"/>
              </w:rPr>
              <w:t>Cross-store access denied</w:t>
            </w:r>
          </w:p>
        </w:tc>
        <w:tc>
          <w:tcPr>
            <w:tcW w:type="dxa" w:w="1440"/>
            <w:vAlign w:val="center"/>
          </w:tcPr>
          <w:p>
            <w:r/>
            <w:r>
              <w:rPr>
                <w:b w:val="0"/>
                <w:sz w:val="15"/>
              </w:rPr>
              <w:t>________________</w:t>
            </w:r>
          </w:p>
        </w:tc>
        <w:tc>
          <w:tcPr>
            <w:tcW w:type="dxa" w:w="864"/>
            <w:vAlign w:val="center"/>
          </w:tcPr>
          <w:p>
            <w:r/>
            <w:r>
              <w:rPr>
                <w:b w:val="0"/>
                <w:sz w:val="15"/>
              </w:rPr>
              <w:t>____</w:t>
            </w:r>
          </w:p>
        </w:tc>
      </w:tr>
      <w:tr>
        <w:tc>
          <w:tcPr>
            <w:tcW w:type="dxa" w:w="1152"/>
            <w:vAlign w:val="center"/>
          </w:tcPr>
          <w:p>
            <w:r/>
            <w:r>
              <w:rPr>
                <w:b w:val="0"/>
                <w:sz w:val="15"/>
              </w:rPr>
              <w:t>T-05</w:t>
            </w:r>
          </w:p>
        </w:tc>
        <w:tc>
          <w:tcPr>
            <w:tcW w:type="dxa" w:w="3024"/>
            <w:vAlign w:val="center"/>
          </w:tcPr>
          <w:p>
            <w:r/>
            <w:r>
              <w:rPr>
                <w:b w:val="0"/>
                <w:sz w:val="15"/>
              </w:rPr>
              <w:t>Recommendation uniqueness</w:t>
            </w:r>
          </w:p>
        </w:tc>
        <w:tc>
          <w:tcPr>
            <w:tcW w:type="dxa" w:w="2880"/>
            <w:vAlign w:val="center"/>
          </w:tcPr>
          <w:p>
            <w:r/>
            <w:r>
              <w:rPr>
                <w:b w:val="0"/>
                <w:sz w:val="15"/>
              </w:rPr>
              <w:t>Exactly one action</w:t>
            </w:r>
          </w:p>
        </w:tc>
        <w:tc>
          <w:tcPr>
            <w:tcW w:type="dxa" w:w="1440"/>
            <w:vAlign w:val="center"/>
          </w:tcPr>
          <w:p>
            <w:r/>
            <w:r>
              <w:rPr>
                <w:b w:val="0"/>
                <w:sz w:val="15"/>
              </w:rPr>
              <w:t>________________</w:t>
            </w:r>
          </w:p>
        </w:tc>
        <w:tc>
          <w:tcPr>
            <w:tcW w:type="dxa" w:w="864"/>
            <w:vAlign w:val="center"/>
          </w:tcPr>
          <w:p>
            <w:r/>
            <w:r>
              <w:rPr>
                <w:b w:val="0"/>
                <w:sz w:val="15"/>
              </w:rPr>
              <w:t>____</w:t>
            </w:r>
          </w:p>
        </w:tc>
      </w:tr>
      <w:tr>
        <w:tc>
          <w:tcPr>
            <w:tcW w:type="dxa" w:w="1152"/>
            <w:vAlign w:val="center"/>
          </w:tcPr>
          <w:p>
            <w:r/>
            <w:r>
              <w:rPr>
                <w:b w:val="0"/>
                <w:sz w:val="15"/>
              </w:rPr>
              <w:t>T-06</w:t>
            </w:r>
          </w:p>
        </w:tc>
        <w:tc>
          <w:tcPr>
            <w:tcW w:type="dxa" w:w="3024"/>
            <w:vAlign w:val="center"/>
          </w:tcPr>
          <w:p>
            <w:r/>
            <w:r>
              <w:rPr>
                <w:b w:val="0"/>
                <w:sz w:val="15"/>
              </w:rPr>
              <w:t>Incremental rollback</w:t>
            </w:r>
          </w:p>
        </w:tc>
        <w:tc>
          <w:tcPr>
            <w:tcW w:type="dxa" w:w="2880"/>
            <w:vAlign w:val="center"/>
          </w:tcPr>
          <w:p>
            <w:r/>
            <w:r>
              <w:rPr>
                <w:b w:val="0"/>
                <w:sz w:val="15"/>
              </w:rPr>
              <w:t>Bad update not promoted</w:t>
            </w:r>
          </w:p>
        </w:tc>
        <w:tc>
          <w:tcPr>
            <w:tcW w:type="dxa" w:w="1440"/>
            <w:vAlign w:val="center"/>
          </w:tcPr>
          <w:p>
            <w:r/>
            <w:r>
              <w:rPr>
                <w:b w:val="0"/>
                <w:sz w:val="15"/>
              </w:rPr>
              <w:t>________________</w:t>
            </w:r>
          </w:p>
        </w:tc>
        <w:tc>
          <w:tcPr>
            <w:tcW w:type="dxa" w:w="864"/>
            <w:vAlign w:val="center"/>
          </w:tcPr>
          <w:p>
            <w:r/>
            <w:r>
              <w:rPr>
                <w:b w:val="0"/>
                <w:sz w:val="15"/>
              </w:rPr>
              <w:t>____</w:t>
            </w:r>
          </w:p>
        </w:tc>
      </w:tr>
      <w:tr>
        <w:tc>
          <w:tcPr>
            <w:tcW w:type="dxa" w:w="1152"/>
            <w:vAlign w:val="center"/>
          </w:tcPr>
          <w:p>
            <w:r/>
            <w:r>
              <w:rPr>
                <w:b w:val="0"/>
                <w:sz w:val="15"/>
              </w:rPr>
              <w:t>T-07</w:t>
            </w:r>
          </w:p>
        </w:tc>
        <w:tc>
          <w:tcPr>
            <w:tcW w:type="dxa" w:w="3024"/>
            <w:vAlign w:val="center"/>
          </w:tcPr>
          <w:p>
            <w:r/>
            <w:r>
              <w:rPr>
                <w:b w:val="0"/>
                <w:sz w:val="15"/>
              </w:rPr>
              <w:t>FedAvg weighting</w:t>
            </w:r>
          </w:p>
        </w:tc>
        <w:tc>
          <w:tcPr>
            <w:tcW w:type="dxa" w:w="2880"/>
            <w:vAlign w:val="center"/>
          </w:tcPr>
          <w:p>
            <w:r/>
            <w:r>
              <w:rPr>
                <w:b w:val="0"/>
                <w:sz w:val="15"/>
              </w:rPr>
              <w:t>Sample-weighted aggregation</w:t>
            </w:r>
          </w:p>
        </w:tc>
        <w:tc>
          <w:tcPr>
            <w:tcW w:type="dxa" w:w="1440"/>
            <w:vAlign w:val="center"/>
          </w:tcPr>
          <w:p>
            <w:r/>
            <w:r>
              <w:rPr>
                <w:b w:val="0"/>
                <w:sz w:val="15"/>
              </w:rPr>
              <w:t>________________</w:t>
            </w:r>
          </w:p>
        </w:tc>
        <w:tc>
          <w:tcPr>
            <w:tcW w:type="dxa" w:w="864"/>
            <w:vAlign w:val="center"/>
          </w:tcPr>
          <w:p>
            <w:r/>
            <w:r>
              <w:rPr>
                <w:b w:val="0"/>
                <w:sz w:val="15"/>
              </w:rPr>
              <w:t>____</w:t>
            </w:r>
          </w:p>
        </w:tc>
      </w:tr>
      <w:tr>
        <w:tc>
          <w:tcPr>
            <w:tcW w:type="dxa" w:w="1152"/>
            <w:vAlign w:val="center"/>
          </w:tcPr>
          <w:p>
            <w:r/>
            <w:r>
              <w:rPr>
                <w:b w:val="0"/>
                <w:sz w:val="15"/>
              </w:rPr>
              <w:t>T-08</w:t>
            </w:r>
          </w:p>
        </w:tc>
        <w:tc>
          <w:tcPr>
            <w:tcW w:type="dxa" w:w="3024"/>
            <w:vAlign w:val="center"/>
          </w:tcPr>
          <w:p>
            <w:r/>
            <w:r>
              <w:rPr>
                <w:b w:val="0"/>
                <w:sz w:val="15"/>
              </w:rPr>
              <w:t>End-to-end flow</w:t>
            </w:r>
          </w:p>
        </w:tc>
        <w:tc>
          <w:tcPr>
            <w:tcW w:type="dxa" w:w="2880"/>
            <w:vAlign w:val="center"/>
          </w:tcPr>
          <w:p>
            <w:r/>
            <w:r>
              <w:rPr>
                <w:b w:val="0"/>
                <w:sz w:val="15"/>
              </w:rPr>
              <w:t>Dashboard receives complete output</w:t>
            </w:r>
          </w:p>
        </w:tc>
        <w:tc>
          <w:tcPr>
            <w:tcW w:type="dxa" w:w="1440"/>
            <w:vAlign w:val="center"/>
          </w:tcPr>
          <w:p>
            <w:r/>
            <w:r>
              <w:rPr>
                <w:b w:val="0"/>
                <w:sz w:val="15"/>
              </w:rPr>
              <w:t>________________</w:t>
            </w:r>
          </w:p>
        </w:tc>
        <w:tc>
          <w:tcPr>
            <w:tcW w:type="dxa" w:w="864"/>
            <w:vAlign w:val="center"/>
          </w:tcPr>
          <w:p>
            <w:r/>
            <w:r>
              <w:rPr>
                <w:b w:val="0"/>
                <w:sz w:val="15"/>
              </w:rPr>
              <w:t>____</w:t>
            </w:r>
          </w:p>
        </w:tc>
      </w:tr>
    </w:tbl>
    <w:p/>
    <w:p>
      <w:pPr>
        <w:pStyle w:val="Heading1"/>
        <w:keepNext/>
      </w:pPr>
      <w:r>
        <w:t>19. DEPLOYMENT AND MONITORING</w:t>
      </w:r>
    </w:p>
    <w:p>
      <w:pPr>
        <w:pStyle w:val="Heading2"/>
        <w:keepNext/>
      </w:pPr>
      <w:r>
        <w:t>19.1 Deployment Topology</w:t>
      </w:r>
    </w:p>
    <w:p>
      <w:pPr>
        <w:spacing w:after="120"/>
        <w:ind w:left="360" w:right="360"/>
        <w:shd w:fill="F2F2F2"/>
      </w:pPr>
      <w:r>
        <w:rPr>
          <w:rFonts w:ascii="Consolas" w:hAnsi="Consolas"/>
          <w:sz w:val="16"/>
        </w:rPr>
        <w:t>Internet</w:t>
        <w:br/>
        <w:t xml:space="preserve">   |</w:t>
        <w:br/>
        <w:t xml:space="preserve"> HTTPS / TLS</w:t>
        <w:br/>
        <w:t xml:space="preserve">   |</w:t>
        <w:br/>
        <w:t xml:space="preserve"> Nginx</w:t>
        <w:br/>
        <w:t xml:space="preserve">   |</w:t>
        <w:br/>
        <w:t xml:space="preserve">   +--&gt; Next.js</w:t>
        <w:br/>
        <w:t xml:space="preserve">   |</w:t>
        <w:br/>
        <w:t xml:space="preserve">   +--&gt; NestJS API</w:t>
        <w:br/>
        <w:t xml:space="preserve">           |</w:t>
        <w:br/>
        <w:t xml:space="preserve">           +--&gt; PostgreSQL</w:t>
        <w:br/>
        <w:t xml:space="preserve">           +--&gt; Redis / BullMQ</w:t>
        <w:br/>
        <w:t xml:space="preserve">           +--&gt; FastAPI ML Service</w:t>
        <w:br/>
        <w:t xml:space="preserve">                     |</w:t>
        <w:br/>
        <w:t xml:space="preserve">                     +--&gt; model artifacts / versions</w:t>
        <w:br/>
        <w:br/>
        <w:t>Monitoring: Prometheus + Grafana</w:t>
        <w:br/>
        <w:t>Security: firewall + encrypted secrets + audit logs</w:t>
      </w:r>
    </w:p>
    <w:p>
      <w:pPr>
        <w:pStyle w:val="Heading2"/>
        <w:keepNext/>
      </w:pPr>
      <w:r>
        <w:t>19.2 Monitoring Areas</w:t>
      </w:r>
    </w:p>
    <w:p>
      <w:pPr>
        <w:pStyle w:val="ListBullet"/>
        <w:spacing w:after="40"/>
      </w:pPr>
      <w:r>
        <w:t>API latency and error rate.</w:t>
      </w:r>
    </w:p>
    <w:p>
      <w:pPr>
        <w:pStyle w:val="ListBullet"/>
        <w:spacing w:after="40"/>
      </w:pPr>
      <w:r>
        <w:t>Webhook rejection rate and duplicate-event rate.</w:t>
      </w:r>
    </w:p>
    <w:p>
      <w:pPr>
        <w:pStyle w:val="ListBullet"/>
        <w:spacing w:after="40"/>
      </w:pPr>
      <w:r>
        <w:t>Queue depth, retry count and dead-letter queue size.</w:t>
      </w:r>
    </w:p>
    <w:p>
      <w:pPr>
        <w:pStyle w:val="ListBullet"/>
        <w:spacing w:after="40"/>
      </w:pPr>
      <w:r>
        <w:t>Database health and storage.</w:t>
      </w:r>
    </w:p>
    <w:p>
      <w:pPr>
        <w:pStyle w:val="ListBullet"/>
        <w:spacing w:after="40"/>
      </w:pPr>
      <w:r>
        <w:t>Model prediction volume and class distribution.</w:t>
      </w:r>
    </w:p>
    <w:p>
      <w:pPr>
        <w:pStyle w:val="ListBullet"/>
        <w:spacing w:after="40"/>
      </w:pPr>
      <w:r>
        <w:t>Model precision/recall/F1/ROC-AUC/PR-AUC on scheduled evaluation windows.</w:t>
      </w:r>
    </w:p>
    <w:p>
      <w:pPr>
        <w:pStyle w:val="ListBullet"/>
        <w:spacing w:after="40"/>
      </w:pPr>
      <w:r>
        <w:t>Incremental update acceptance/rejection rate.</w:t>
      </w:r>
    </w:p>
    <w:p>
      <w:pPr>
        <w:pStyle w:val="ListBullet"/>
        <w:spacing w:after="40"/>
      </w:pPr>
      <w:r>
        <w:t>Model drift and feature distribution changes.</w:t>
      </w:r>
    </w:p>
    <w:p>
      <w:pPr>
        <w:pStyle w:val="ListBullet"/>
        <w:spacing w:after="40"/>
      </w:pPr>
      <w:r>
        <w:t>Cross-tenant security test status.</w:t>
      </w:r>
    </w:p>
    <w:p>
      <w:pPr>
        <w:pStyle w:val="Heading1"/>
        <w:keepNext/>
      </w:pPr>
      <w:r>
        <w:t>20. PROJECT SCHEDULE AND TEAM RESPONSIBILITIES</w:t>
      </w:r>
    </w:p>
    <w:p>
      <w:pPr>
        <w:pStyle w:val="Heading2"/>
        <w:keepNext/>
      </w:pPr>
      <w:r>
        <w:t>20.1 Implementation Phases</w:t>
      </w:r>
    </w:p>
    <w:tbl>
      <w:tblPr>
        <w:tblStyle w:val="TableGrid"/>
        <w:tblW w:type="auto" w:w="0"/>
        <w:jc w:val="center"/>
        <w:tblLook w:firstColumn="1" w:firstRow="1" w:lastColumn="0" w:lastRow="0" w:noHBand="0" w:noVBand="1" w:val="04A0"/>
      </w:tblPr>
      <w:tblGrid>
        <w:gridCol w:w="4968"/>
        <w:gridCol w:w="4968"/>
      </w:tblGrid>
      <w:tr>
        <w:tc>
          <w:tcPr>
            <w:tcW w:type="dxa" w:w="1440"/>
            <w:vAlign w:val="center"/>
            <w:shd w:fill="17365D"/>
          </w:tcPr>
          <w:p>
            <w:r/>
            <w:r>
              <w:rPr>
                <w:b/>
                <w:color w:val="FFFFFF"/>
                <w:sz w:val="17"/>
              </w:rPr>
              <w:t>Phase</w:t>
            </w:r>
          </w:p>
        </w:tc>
        <w:tc>
          <w:tcPr>
            <w:tcW w:type="dxa" w:w="7920"/>
            <w:vAlign w:val="center"/>
            <w:shd w:fill="17365D"/>
          </w:tcPr>
          <w:p>
            <w:r/>
            <w:r>
              <w:rPr>
                <w:b/>
                <w:color w:val="FFFFFF"/>
                <w:sz w:val="17"/>
              </w:rPr>
              <w:t>Work</w:t>
            </w:r>
          </w:p>
        </w:tc>
      </w:tr>
      <w:tr>
        <w:tc>
          <w:tcPr>
            <w:tcW w:type="dxa" w:w="1440"/>
            <w:vAlign w:val="center"/>
          </w:tcPr>
          <w:p>
            <w:r/>
            <w:r>
              <w:rPr>
                <w:b w:val="0"/>
                <w:sz w:val="17"/>
              </w:rPr>
              <w:t>1</w:t>
            </w:r>
          </w:p>
        </w:tc>
        <w:tc>
          <w:tcPr>
            <w:tcW w:type="dxa" w:w="7920"/>
            <w:vAlign w:val="center"/>
          </w:tcPr>
          <w:p>
            <w:r/>
            <w:r>
              <w:rPr>
                <w:b w:val="0"/>
                <w:sz w:val="17"/>
              </w:rPr>
              <w:t>Requirements + dataset analysis</w:t>
            </w:r>
          </w:p>
        </w:tc>
      </w:tr>
      <w:tr>
        <w:tc>
          <w:tcPr>
            <w:tcW w:type="dxa" w:w="1440"/>
            <w:vAlign w:val="center"/>
          </w:tcPr>
          <w:p>
            <w:r/>
            <w:r>
              <w:rPr>
                <w:b w:val="0"/>
                <w:sz w:val="17"/>
              </w:rPr>
              <w:t>2</w:t>
            </w:r>
          </w:p>
        </w:tc>
        <w:tc>
          <w:tcPr>
            <w:tcW w:type="dxa" w:w="7920"/>
            <w:vAlign w:val="center"/>
          </w:tcPr>
          <w:p>
            <w:r/>
            <w:r>
              <w:rPr>
                <w:b w:val="0"/>
                <w:sz w:val="17"/>
              </w:rPr>
              <w:t>Architecture + database design</w:t>
            </w:r>
          </w:p>
        </w:tc>
      </w:tr>
      <w:tr>
        <w:tc>
          <w:tcPr>
            <w:tcW w:type="dxa" w:w="1440"/>
            <w:vAlign w:val="center"/>
          </w:tcPr>
          <w:p>
            <w:r/>
            <w:r>
              <w:rPr>
                <w:b w:val="0"/>
                <w:sz w:val="17"/>
              </w:rPr>
              <w:t>3</w:t>
            </w:r>
          </w:p>
        </w:tc>
        <w:tc>
          <w:tcPr>
            <w:tcW w:type="dxa" w:w="7920"/>
            <w:vAlign w:val="center"/>
          </w:tcPr>
          <w:p>
            <w:r/>
            <w:r>
              <w:rPr>
                <w:b w:val="0"/>
                <w:sz w:val="17"/>
              </w:rPr>
              <w:t>Backend foundation</w:t>
            </w:r>
          </w:p>
        </w:tc>
      </w:tr>
      <w:tr>
        <w:tc>
          <w:tcPr>
            <w:tcW w:type="dxa" w:w="1440"/>
            <w:vAlign w:val="center"/>
          </w:tcPr>
          <w:p>
            <w:r/>
            <w:r>
              <w:rPr>
                <w:b w:val="0"/>
                <w:sz w:val="17"/>
              </w:rPr>
              <w:t>4</w:t>
            </w:r>
          </w:p>
        </w:tc>
        <w:tc>
          <w:tcPr>
            <w:tcW w:type="dxa" w:w="7920"/>
            <w:vAlign w:val="center"/>
          </w:tcPr>
          <w:p>
            <w:r/>
            <w:r>
              <w:rPr>
                <w:b w:val="0"/>
                <w:sz w:val="17"/>
              </w:rPr>
              <w:t>Shopify/WooCommerce integration</w:t>
            </w:r>
          </w:p>
        </w:tc>
      </w:tr>
      <w:tr>
        <w:tc>
          <w:tcPr>
            <w:tcW w:type="dxa" w:w="1440"/>
            <w:vAlign w:val="center"/>
          </w:tcPr>
          <w:p>
            <w:r/>
            <w:r>
              <w:rPr>
                <w:b w:val="0"/>
                <w:sz w:val="17"/>
              </w:rPr>
              <w:t>5</w:t>
            </w:r>
          </w:p>
        </w:tc>
        <w:tc>
          <w:tcPr>
            <w:tcW w:type="dxa" w:w="7920"/>
            <w:vAlign w:val="center"/>
          </w:tcPr>
          <w:p>
            <w:r/>
            <w:r>
              <w:rPr>
                <w:b w:val="0"/>
                <w:sz w:val="17"/>
              </w:rPr>
              <w:t>Feature engineering</w:t>
            </w:r>
          </w:p>
        </w:tc>
      </w:tr>
      <w:tr>
        <w:tc>
          <w:tcPr>
            <w:tcW w:type="dxa" w:w="1440"/>
            <w:vAlign w:val="center"/>
          </w:tcPr>
          <w:p>
            <w:r/>
            <w:r>
              <w:rPr>
                <w:b w:val="0"/>
                <w:sz w:val="17"/>
              </w:rPr>
              <w:t>6</w:t>
            </w:r>
          </w:p>
        </w:tc>
        <w:tc>
          <w:tcPr>
            <w:tcW w:type="dxa" w:w="7920"/>
            <w:vAlign w:val="center"/>
          </w:tcPr>
          <w:p>
            <w:r/>
            <w:r>
              <w:rPr>
                <w:b w:val="0"/>
                <w:sz w:val="17"/>
              </w:rPr>
              <w:t>RTO ML</w:t>
            </w:r>
          </w:p>
        </w:tc>
      </w:tr>
      <w:tr>
        <w:tc>
          <w:tcPr>
            <w:tcW w:type="dxa" w:w="1440"/>
            <w:vAlign w:val="center"/>
          </w:tcPr>
          <w:p>
            <w:r/>
            <w:r>
              <w:rPr>
                <w:b w:val="0"/>
                <w:sz w:val="17"/>
              </w:rPr>
              <w:t>7</w:t>
            </w:r>
          </w:p>
        </w:tc>
        <w:tc>
          <w:tcPr>
            <w:tcW w:type="dxa" w:w="7920"/>
            <w:vAlign w:val="center"/>
          </w:tcPr>
          <w:p>
            <w:r/>
            <w:r>
              <w:rPr>
                <w:b w:val="0"/>
                <w:sz w:val="17"/>
              </w:rPr>
              <w:t>Churn ML</w:t>
            </w:r>
          </w:p>
        </w:tc>
      </w:tr>
      <w:tr>
        <w:tc>
          <w:tcPr>
            <w:tcW w:type="dxa" w:w="1440"/>
            <w:vAlign w:val="center"/>
          </w:tcPr>
          <w:p>
            <w:r/>
            <w:r>
              <w:rPr>
                <w:b w:val="0"/>
                <w:sz w:val="17"/>
              </w:rPr>
              <w:t>8</w:t>
            </w:r>
          </w:p>
        </w:tc>
        <w:tc>
          <w:tcPr>
            <w:tcW w:type="dxa" w:w="7920"/>
            <w:vAlign w:val="center"/>
          </w:tcPr>
          <w:p>
            <w:r/>
            <w:r>
              <w:rPr>
                <w:b w:val="0"/>
                <w:sz w:val="17"/>
              </w:rPr>
              <w:t>Decision-support layer</w:t>
            </w:r>
          </w:p>
        </w:tc>
      </w:tr>
      <w:tr>
        <w:tc>
          <w:tcPr>
            <w:tcW w:type="dxa" w:w="1440"/>
            <w:vAlign w:val="center"/>
          </w:tcPr>
          <w:p>
            <w:r/>
            <w:r>
              <w:rPr>
                <w:b w:val="0"/>
                <w:sz w:val="17"/>
              </w:rPr>
              <w:t>9</w:t>
            </w:r>
          </w:p>
        </w:tc>
        <w:tc>
          <w:tcPr>
            <w:tcW w:type="dxa" w:w="7920"/>
            <w:vAlign w:val="center"/>
          </w:tcPr>
          <w:p>
            <w:r/>
            <w:r>
              <w:rPr>
                <w:b w:val="0"/>
                <w:sz w:val="17"/>
              </w:rPr>
              <w:t>Incremental + collective learning</w:t>
            </w:r>
          </w:p>
        </w:tc>
      </w:tr>
      <w:tr>
        <w:tc>
          <w:tcPr>
            <w:tcW w:type="dxa" w:w="1440"/>
            <w:vAlign w:val="center"/>
          </w:tcPr>
          <w:p>
            <w:r/>
            <w:r>
              <w:rPr>
                <w:b w:val="0"/>
                <w:sz w:val="17"/>
              </w:rPr>
              <w:t>10</w:t>
            </w:r>
          </w:p>
        </w:tc>
        <w:tc>
          <w:tcPr>
            <w:tcW w:type="dxa" w:w="7920"/>
            <w:vAlign w:val="center"/>
          </w:tcPr>
          <w:p>
            <w:r/>
            <w:r>
              <w:rPr>
                <w:b w:val="0"/>
                <w:sz w:val="17"/>
              </w:rPr>
              <w:t>Dashboard</w:t>
            </w:r>
          </w:p>
        </w:tc>
      </w:tr>
      <w:tr>
        <w:tc>
          <w:tcPr>
            <w:tcW w:type="dxa" w:w="1440"/>
            <w:vAlign w:val="center"/>
          </w:tcPr>
          <w:p>
            <w:r/>
            <w:r>
              <w:rPr>
                <w:b w:val="0"/>
                <w:sz w:val="17"/>
              </w:rPr>
              <w:t>11</w:t>
            </w:r>
          </w:p>
        </w:tc>
        <w:tc>
          <w:tcPr>
            <w:tcW w:type="dxa" w:w="7920"/>
            <w:vAlign w:val="center"/>
          </w:tcPr>
          <w:p>
            <w:r/>
            <w:r>
              <w:rPr>
                <w:b w:val="0"/>
                <w:sz w:val="17"/>
              </w:rPr>
              <w:t>Security + integration testing</w:t>
            </w:r>
          </w:p>
        </w:tc>
      </w:tr>
      <w:tr>
        <w:tc>
          <w:tcPr>
            <w:tcW w:type="dxa" w:w="1440"/>
            <w:vAlign w:val="center"/>
          </w:tcPr>
          <w:p>
            <w:r/>
            <w:r>
              <w:rPr>
                <w:b w:val="0"/>
                <w:sz w:val="17"/>
              </w:rPr>
              <w:t>12</w:t>
            </w:r>
          </w:p>
        </w:tc>
        <w:tc>
          <w:tcPr>
            <w:tcW w:type="dxa" w:w="7920"/>
            <w:vAlign w:val="center"/>
          </w:tcPr>
          <w:p>
            <w:r/>
            <w:r>
              <w:rPr>
                <w:b w:val="0"/>
                <w:sz w:val="17"/>
              </w:rPr>
              <w:t>Deployment + documentation</w:t>
            </w:r>
          </w:p>
        </w:tc>
      </w:tr>
    </w:tbl>
    <w:p/>
    <w:p>
      <w:pPr>
        <w:pStyle w:val="Heading2"/>
        <w:keepNext/>
      </w:pPr>
      <w:r>
        <w:t>20.2 Team Division</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r/>
            <w:r>
              <w:rPr>
                <w:b/>
                <w:color w:val="FFFFFF"/>
                <w:sz w:val="16"/>
              </w:rPr>
              <w:t>Student</w:t>
            </w:r>
          </w:p>
        </w:tc>
        <w:tc>
          <w:tcPr>
            <w:tcW w:type="dxa" w:w="6480"/>
            <w:vAlign w:val="center"/>
            <w:shd w:fill="17365D"/>
          </w:tcPr>
          <w:p>
            <w:r/>
            <w:r>
              <w:rPr>
                <w:b/>
                <w:color w:val="FFFFFF"/>
                <w:sz w:val="16"/>
              </w:rPr>
              <w:t>Assigned modules</w:t>
            </w:r>
          </w:p>
        </w:tc>
      </w:tr>
      <w:tr>
        <w:tc>
          <w:tcPr>
            <w:tcW w:type="dxa" w:w="2880"/>
            <w:vAlign w:val="center"/>
          </w:tcPr>
          <w:p>
            <w:r/>
            <w:r>
              <w:rPr>
                <w:b w:val="0"/>
                <w:sz w:val="16"/>
              </w:rPr>
              <w:t>Anushka Vishwakarma</w:t>
            </w:r>
          </w:p>
        </w:tc>
        <w:tc>
          <w:tcPr>
            <w:tcW w:type="dxa" w:w="6480"/>
            <w:vAlign w:val="center"/>
          </w:tcPr>
          <w:p>
            <w:r/>
            <w:r>
              <w:rPr>
                <w:b w:val="0"/>
                <w:sz w:val="16"/>
              </w:rPr>
              <w:t>Merchant &amp; Store Management; E-Commerce Data Integration; Data Processing &amp; Feature Engineering; COD/RTO Prediction; Collective Learning / Simulated FedAvg; Privacy &amp; Security</w:t>
            </w:r>
          </w:p>
        </w:tc>
      </w:tr>
      <w:tr>
        <w:tc>
          <w:tcPr>
            <w:tcW w:type="dxa" w:w="2880"/>
            <w:vAlign w:val="center"/>
          </w:tcPr>
          <w:p>
            <w:r/>
            <w:r>
              <w:rPr>
                <w:b w:val="0"/>
                <w:sz w:val="16"/>
              </w:rPr>
              <w:t>Riya Arya</w:t>
            </w:r>
          </w:p>
        </w:tc>
        <w:tc>
          <w:tcPr>
            <w:tcW w:type="dxa" w:w="6480"/>
            <w:vAlign w:val="center"/>
          </w:tcPr>
          <w:p>
            <w:r/>
            <w:r>
              <w:rPr>
                <w:b w:val="0"/>
                <w:sz w:val="16"/>
              </w:rPr>
              <w:t>Customer Churn Prediction; Marketing Spend Efficiency; Explainability Engine; ₹ Impact Estimation; Recommendation / Decision Engine; Incremental Learning</w:t>
            </w:r>
          </w:p>
        </w:tc>
      </w:tr>
    </w:tbl>
    <w:p/>
    <w:p>
      <w:pPr>
        <w:pStyle w:val="Heading1"/>
        <w:keepNext/>
      </w:pPr>
      <w:r>
        <w:t>21. RISKS, LIMITATIONS AND OPEN DECISIONS</w:t>
      </w:r>
    </w:p>
    <w:p>
      <w:pPr>
        <w:spacing w:after="100" w:line="259" w:lineRule="auto"/>
      </w:pPr>
      <w:r>
        <w:t>A deep review of the supplied materials reveals several items that should not be hidden inside implementation code. They are listed below because they directly affect validity, reproducibility or auditability.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936"/>
            <w:vAlign w:val="center"/>
            <w:shd w:fill="17365D"/>
          </w:tcPr>
          <w:p>
            <w:r/>
            <w:r>
              <w:rPr>
                <w:b/>
                <w:color w:val="FFFFFF"/>
                <w:sz w:val="13"/>
              </w:rPr>
              <w:t>Priority</w:t>
            </w:r>
          </w:p>
        </w:tc>
        <w:tc>
          <w:tcPr>
            <w:tcW w:type="dxa" w:w="2232"/>
            <w:vAlign w:val="center"/>
            <w:shd w:fill="17365D"/>
          </w:tcPr>
          <w:p>
            <w:r/>
            <w:r>
              <w:rPr>
                <w:b/>
                <w:color w:val="FFFFFF"/>
                <w:sz w:val="13"/>
              </w:rPr>
              <w:t>Open item</w:t>
            </w:r>
          </w:p>
        </w:tc>
        <w:tc>
          <w:tcPr>
            <w:tcW w:type="dxa" w:w="3312"/>
            <w:vAlign w:val="center"/>
            <w:shd w:fill="17365D"/>
          </w:tcPr>
          <w:p>
            <w:r/>
            <w:r>
              <w:rPr>
                <w:b/>
                <w:color w:val="FFFFFF"/>
                <w:sz w:val="13"/>
              </w:rPr>
              <w:t>Why it matters</w:t>
            </w:r>
          </w:p>
        </w:tc>
        <w:tc>
          <w:tcPr>
            <w:tcW w:type="dxa" w:w="2880"/>
            <w:vAlign w:val="center"/>
            <w:shd w:fill="17365D"/>
          </w:tcPr>
          <w:p>
            <w:r/>
            <w:r>
              <w:rPr>
                <w:b/>
                <w:color w:val="FFFFFF"/>
                <w:sz w:val="13"/>
              </w:rPr>
              <w:t>Required decision</w:t>
            </w:r>
          </w:p>
        </w:tc>
      </w:tr>
      <w:tr>
        <w:tc>
          <w:tcPr>
            <w:tcW w:type="dxa" w:w="936"/>
            <w:vAlign w:val="center"/>
          </w:tcPr>
          <w:p>
            <w:r/>
            <w:r>
              <w:rPr>
                <w:b w:val="0"/>
                <w:sz w:val="13"/>
              </w:rPr>
              <w:t>P0</w:t>
            </w:r>
          </w:p>
        </w:tc>
        <w:tc>
          <w:tcPr>
            <w:tcW w:type="dxa" w:w="2232"/>
            <w:vAlign w:val="center"/>
          </w:tcPr>
          <w:p>
            <w:r/>
            <w:r>
              <w:rPr>
                <w:b w:val="0"/>
                <w:sz w:val="13"/>
              </w:rPr>
              <w:t>Exact 5 RTO fields</w:t>
            </w:r>
          </w:p>
        </w:tc>
        <w:tc>
          <w:tcPr>
            <w:tcW w:type="dxa" w:w="3312"/>
            <w:vAlign w:val="center"/>
          </w:tcPr>
          <w:p>
            <w:r/>
            <w:r>
              <w:rPr>
                <w:b w:val="0"/>
                <w:sz w:val="13"/>
              </w:rPr>
              <w:t>Model contract is incomplete</w:t>
            </w:r>
          </w:p>
        </w:tc>
        <w:tc>
          <w:tcPr>
            <w:tcW w:type="dxa" w:w="2880"/>
            <w:vAlign w:val="center"/>
          </w:tcPr>
          <w:p>
            <w:r/>
            <w:r>
              <w:rPr>
                <w:b w:val="0"/>
                <w:sz w:val="13"/>
              </w:rPr>
              <w:t>Validate against final dataset and freeze schema</w:t>
            </w:r>
          </w:p>
        </w:tc>
      </w:tr>
      <w:tr>
        <w:tc>
          <w:tcPr>
            <w:tcW w:type="dxa" w:w="936"/>
            <w:vAlign w:val="center"/>
          </w:tcPr>
          <w:p>
            <w:r/>
            <w:r>
              <w:rPr>
                <w:b w:val="0"/>
                <w:sz w:val="13"/>
              </w:rPr>
              <w:t>P0</w:t>
            </w:r>
          </w:p>
        </w:tc>
        <w:tc>
          <w:tcPr>
            <w:tcW w:type="dxa" w:w="2232"/>
            <w:vAlign w:val="center"/>
          </w:tcPr>
          <w:p>
            <w:r/>
            <w:r>
              <w:rPr>
                <w:b w:val="0"/>
                <w:sz w:val="13"/>
              </w:rPr>
              <w:t>Exact 5th churn feature</w:t>
            </w:r>
          </w:p>
        </w:tc>
        <w:tc>
          <w:tcPr>
            <w:tcW w:type="dxa" w:w="3312"/>
            <w:vAlign w:val="center"/>
          </w:tcPr>
          <w:p>
            <w:r/>
            <w:r>
              <w:rPr>
                <w:b w:val="0"/>
                <w:sz w:val="13"/>
              </w:rPr>
              <w:t>Model contract is incomplete</w:t>
            </w:r>
          </w:p>
        </w:tc>
        <w:tc>
          <w:tcPr>
            <w:tcW w:type="dxa" w:w="2880"/>
            <w:vAlign w:val="center"/>
          </w:tcPr>
          <w:p>
            <w:r/>
            <w:r>
              <w:rPr>
                <w:b w:val="0"/>
                <w:sz w:val="13"/>
              </w:rPr>
              <w:t>Validate proposed customer_tenure_days or replace</w:t>
            </w:r>
          </w:p>
        </w:tc>
      </w:tr>
      <w:tr>
        <w:tc>
          <w:tcPr>
            <w:tcW w:type="dxa" w:w="936"/>
            <w:vAlign w:val="center"/>
          </w:tcPr>
          <w:p>
            <w:r/>
            <w:r>
              <w:rPr>
                <w:b w:val="0"/>
                <w:sz w:val="13"/>
              </w:rPr>
              <w:t>P0</w:t>
            </w:r>
          </w:p>
        </w:tc>
        <w:tc>
          <w:tcPr>
            <w:tcW w:type="dxa" w:w="2232"/>
            <w:vAlign w:val="center"/>
          </w:tcPr>
          <w:p>
            <w:r/>
            <w:r>
              <w:rPr>
                <w:b w:val="0"/>
                <w:sz w:val="13"/>
              </w:rPr>
              <w:t>Churn label window</w:t>
            </w:r>
          </w:p>
        </w:tc>
        <w:tc>
          <w:tcPr>
            <w:tcW w:type="dxa" w:w="3312"/>
            <w:vAlign w:val="center"/>
          </w:tcPr>
          <w:p>
            <w:r/>
            <w:r>
              <w:rPr>
                <w:b w:val="0"/>
                <w:sz w:val="13"/>
              </w:rPr>
              <w:t>Positive label is not testable without a time definition</w:t>
            </w:r>
          </w:p>
        </w:tc>
        <w:tc>
          <w:tcPr>
            <w:tcW w:type="dxa" w:w="2880"/>
            <w:vAlign w:val="center"/>
          </w:tcPr>
          <w:p>
            <w:r/>
            <w:r>
              <w:rPr>
                <w:b w:val="0"/>
                <w:sz w:val="13"/>
              </w:rPr>
              <w:t>Freeze observation + inactivity windows</w:t>
            </w:r>
          </w:p>
        </w:tc>
      </w:tr>
      <w:tr>
        <w:tc>
          <w:tcPr>
            <w:tcW w:type="dxa" w:w="936"/>
            <w:vAlign w:val="center"/>
          </w:tcPr>
          <w:p>
            <w:r/>
            <w:r>
              <w:rPr>
                <w:b w:val="0"/>
                <w:sz w:val="13"/>
              </w:rPr>
              <w:t>P0</w:t>
            </w:r>
          </w:p>
        </w:tc>
        <w:tc>
          <w:tcPr>
            <w:tcW w:type="dxa" w:w="2232"/>
            <w:vAlign w:val="center"/>
          </w:tcPr>
          <w:p>
            <w:r/>
            <w:r>
              <w:rPr>
                <w:b w:val="0"/>
                <w:sz w:val="13"/>
              </w:rPr>
              <w:t>Point-in-time leakage</w:t>
            </w:r>
          </w:p>
        </w:tc>
        <w:tc>
          <w:tcPr>
            <w:tcW w:type="dxa" w:w="3312"/>
            <w:vAlign w:val="center"/>
          </w:tcPr>
          <w:p>
            <w:r/>
            <w:r>
              <w:rPr>
                <w:b w:val="0"/>
                <w:sz w:val="13"/>
              </w:rPr>
              <w:t>Future information can inflate scores</w:t>
            </w:r>
          </w:p>
        </w:tc>
        <w:tc>
          <w:tcPr>
            <w:tcW w:type="dxa" w:w="2880"/>
            <w:vAlign w:val="center"/>
          </w:tcPr>
          <w:p>
            <w:r/>
            <w:r>
              <w:rPr>
                <w:b w:val="0"/>
                <w:sz w:val="13"/>
              </w:rPr>
              <w:t>Implement as-of feature queries and leakage tests</w:t>
            </w:r>
          </w:p>
        </w:tc>
      </w:tr>
      <w:tr>
        <w:tc>
          <w:tcPr>
            <w:tcW w:type="dxa" w:w="936"/>
            <w:vAlign w:val="center"/>
          </w:tcPr>
          <w:p>
            <w:r/>
            <w:r>
              <w:rPr>
                <w:b w:val="0"/>
                <w:sz w:val="13"/>
              </w:rPr>
              <w:t>P0</w:t>
            </w:r>
          </w:p>
        </w:tc>
        <w:tc>
          <w:tcPr>
            <w:tcW w:type="dxa" w:w="2232"/>
            <w:vAlign w:val="center"/>
          </w:tcPr>
          <w:p>
            <w:r/>
            <w:r>
              <w:rPr>
                <w:b w:val="0"/>
                <w:sz w:val="13"/>
              </w:rPr>
              <w:t>RTO imbalance policy</w:t>
            </w:r>
          </w:p>
        </w:tc>
        <w:tc>
          <w:tcPr>
            <w:tcW w:type="dxa" w:w="3312"/>
            <w:vAlign w:val="center"/>
          </w:tcPr>
          <w:p>
            <w:r/>
            <w:r>
              <w:rPr>
                <w:b w:val="0"/>
                <w:sz w:val="13"/>
              </w:rPr>
              <w:t>Accuracy can be misleading</w:t>
            </w:r>
          </w:p>
        </w:tc>
        <w:tc>
          <w:tcPr>
            <w:tcW w:type="dxa" w:w="2880"/>
            <w:vAlign w:val="center"/>
          </w:tcPr>
          <w:p>
            <w:r/>
            <w:r>
              <w:rPr>
                <w:b w:val="0"/>
                <w:sz w:val="13"/>
              </w:rPr>
              <w:t>Compare class weighting and resampling using minority metrics</w:t>
            </w:r>
          </w:p>
        </w:tc>
      </w:tr>
      <w:tr>
        <w:tc>
          <w:tcPr>
            <w:tcW w:type="dxa" w:w="936"/>
            <w:vAlign w:val="center"/>
          </w:tcPr>
          <w:p>
            <w:r/>
            <w:r>
              <w:rPr>
                <w:b w:val="0"/>
                <w:sz w:val="13"/>
              </w:rPr>
              <w:t>P1</w:t>
            </w:r>
          </w:p>
        </w:tc>
        <w:tc>
          <w:tcPr>
            <w:tcW w:type="dxa" w:w="2232"/>
            <w:vAlign w:val="center"/>
          </w:tcPr>
          <w:p>
            <w:r/>
            <w:r>
              <w:rPr>
                <w:b w:val="0"/>
                <w:sz w:val="13"/>
              </w:rPr>
              <w:t>Probability calibration</w:t>
            </w:r>
          </w:p>
        </w:tc>
        <w:tc>
          <w:tcPr>
            <w:tcW w:type="dxa" w:w="3312"/>
            <w:vAlign w:val="center"/>
          </w:tcPr>
          <w:p>
            <w:r/>
            <w:r>
              <w:rPr>
                <w:b w:val="0"/>
                <w:sz w:val="13"/>
              </w:rPr>
              <w:t>Risk probability feeds financial estimates</w:t>
            </w:r>
          </w:p>
        </w:tc>
        <w:tc>
          <w:tcPr>
            <w:tcW w:type="dxa" w:w="2880"/>
            <w:vAlign w:val="center"/>
          </w:tcPr>
          <w:p>
            <w:r/>
            <w:r>
              <w:rPr>
                <w:b w:val="0"/>
                <w:sz w:val="13"/>
              </w:rPr>
              <w:t>Calibrate on held-out validation data</w:t>
            </w:r>
          </w:p>
        </w:tc>
      </w:tr>
      <w:tr>
        <w:tc>
          <w:tcPr>
            <w:tcW w:type="dxa" w:w="936"/>
            <w:vAlign w:val="center"/>
          </w:tcPr>
          <w:p>
            <w:r/>
            <w:r>
              <w:rPr>
                <w:b w:val="0"/>
                <w:sz w:val="13"/>
              </w:rPr>
              <w:t>P1</w:t>
            </w:r>
          </w:p>
        </w:tc>
        <w:tc>
          <w:tcPr>
            <w:tcW w:type="dxa" w:w="2232"/>
            <w:vAlign w:val="center"/>
          </w:tcPr>
          <w:p>
            <w:r/>
            <w:r>
              <w:rPr>
                <w:b w:val="0"/>
                <w:sz w:val="13"/>
              </w:rPr>
              <w:t>₹ impact formula</w:t>
            </w:r>
          </w:p>
        </w:tc>
        <w:tc>
          <w:tcPr>
            <w:tcW w:type="dxa" w:w="3312"/>
            <w:vAlign w:val="center"/>
          </w:tcPr>
          <w:p>
            <w:r/>
            <w:r>
              <w:rPr>
                <w:b w:val="0"/>
                <w:sz w:val="13"/>
              </w:rPr>
              <w:t>Range cannot be reproduced without formula/version</w:t>
            </w:r>
          </w:p>
        </w:tc>
        <w:tc>
          <w:tcPr>
            <w:tcW w:type="dxa" w:w="2880"/>
            <w:vAlign w:val="center"/>
          </w:tcPr>
          <w:p>
            <w:r/>
            <w:r>
              <w:rPr>
                <w:b w:val="0"/>
                <w:sz w:val="13"/>
              </w:rPr>
              <w:t>Freeze formula, costs and uncertainty margin</w:t>
            </w:r>
          </w:p>
        </w:tc>
      </w:tr>
      <w:tr>
        <w:tc>
          <w:tcPr>
            <w:tcW w:type="dxa" w:w="936"/>
            <w:vAlign w:val="center"/>
          </w:tcPr>
          <w:p>
            <w:r/>
            <w:r>
              <w:rPr>
                <w:b w:val="0"/>
                <w:sz w:val="13"/>
              </w:rPr>
              <w:t>P1</w:t>
            </w:r>
          </w:p>
        </w:tc>
        <w:tc>
          <w:tcPr>
            <w:tcW w:type="dxa" w:w="2232"/>
            <w:vAlign w:val="center"/>
          </w:tcPr>
          <w:p>
            <w:r/>
            <w:r>
              <w:rPr>
                <w:b w:val="0"/>
                <w:sz w:val="13"/>
              </w:rPr>
              <w:t>Recommendation tie-break</w:t>
            </w:r>
          </w:p>
        </w:tc>
        <w:tc>
          <w:tcPr>
            <w:tcW w:type="dxa" w:w="3312"/>
            <w:vAlign w:val="center"/>
          </w:tcPr>
          <w:p>
            <w:r/>
            <w:r>
              <w:rPr>
                <w:b w:val="0"/>
                <w:sz w:val="13"/>
              </w:rPr>
              <w:t>Equal-priority rules could violate exactly-one guarantee</w:t>
            </w:r>
          </w:p>
        </w:tc>
        <w:tc>
          <w:tcPr>
            <w:tcW w:type="dxa" w:w="2880"/>
            <w:vAlign w:val="center"/>
          </w:tcPr>
          <w:p>
            <w:r/>
            <w:r>
              <w:rPr>
                <w:b w:val="0"/>
                <w:sz w:val="13"/>
              </w:rPr>
              <w:t>Define deterministic tie-break</w:t>
            </w:r>
          </w:p>
        </w:tc>
      </w:tr>
      <w:tr>
        <w:tc>
          <w:tcPr>
            <w:tcW w:type="dxa" w:w="936"/>
            <w:vAlign w:val="center"/>
          </w:tcPr>
          <w:p>
            <w:r/>
            <w:r>
              <w:rPr>
                <w:b w:val="0"/>
                <w:sz w:val="13"/>
              </w:rPr>
              <w:t>P1</w:t>
            </w:r>
          </w:p>
        </w:tc>
        <w:tc>
          <w:tcPr>
            <w:tcW w:type="dxa" w:w="2232"/>
            <w:vAlign w:val="center"/>
          </w:tcPr>
          <w:p>
            <w:r/>
            <w:r>
              <w:rPr>
                <w:b w:val="0"/>
                <w:sz w:val="13"/>
              </w:rPr>
              <w:t>Incremental promotion gate</w:t>
            </w:r>
          </w:p>
        </w:tc>
        <w:tc>
          <w:tcPr>
            <w:tcW w:type="dxa" w:w="3312"/>
            <w:vAlign w:val="center"/>
          </w:tcPr>
          <w:p>
            <w:r/>
            <w:r>
              <w:rPr>
                <w:b w:val="0"/>
                <w:sz w:val="13"/>
              </w:rPr>
              <w:t>Bad updates can degrade production model</w:t>
            </w:r>
          </w:p>
        </w:tc>
        <w:tc>
          <w:tcPr>
            <w:tcW w:type="dxa" w:w="2880"/>
            <w:vAlign w:val="center"/>
          </w:tcPr>
          <w:p>
            <w:r/>
            <w:r>
              <w:rPr>
                <w:b w:val="0"/>
                <w:sz w:val="13"/>
              </w:rPr>
              <w:t>Validate and rollback</w:t>
            </w:r>
          </w:p>
        </w:tc>
      </w:tr>
      <w:tr>
        <w:tc>
          <w:tcPr>
            <w:tcW w:type="dxa" w:w="936"/>
            <w:vAlign w:val="center"/>
          </w:tcPr>
          <w:p>
            <w:r/>
            <w:r>
              <w:rPr>
                <w:b w:val="0"/>
                <w:sz w:val="13"/>
              </w:rPr>
              <w:t>P1</w:t>
            </w:r>
          </w:p>
        </w:tc>
        <w:tc>
          <w:tcPr>
            <w:tcW w:type="dxa" w:w="2232"/>
            <w:vAlign w:val="center"/>
          </w:tcPr>
          <w:p>
            <w:r/>
            <w:r>
              <w:rPr>
                <w:b w:val="0"/>
                <w:sz w:val="13"/>
              </w:rPr>
              <w:t>FedAvg privacy wording</w:t>
            </w:r>
          </w:p>
        </w:tc>
        <w:tc>
          <w:tcPr>
            <w:tcW w:type="dxa" w:w="3312"/>
            <w:vAlign w:val="center"/>
          </w:tcPr>
          <w:p>
            <w:r/>
            <w:r>
              <w:rPr>
                <w:b w:val="0"/>
                <w:sz w:val="13"/>
              </w:rPr>
              <w:t>Weights are not a formal privacy guarantee</w:t>
            </w:r>
          </w:p>
        </w:tc>
        <w:tc>
          <w:tcPr>
            <w:tcW w:type="dxa" w:w="2880"/>
            <w:vAlign w:val="center"/>
          </w:tcPr>
          <w:p>
            <w:r/>
            <w:r>
              <w:rPr>
                <w:b w:val="0"/>
                <w:sz w:val="13"/>
              </w:rPr>
              <w:t>Document residual risk and future privacy options</w:t>
            </w:r>
          </w:p>
        </w:tc>
      </w:tr>
      <w:tr>
        <w:tc>
          <w:tcPr>
            <w:tcW w:type="dxa" w:w="936"/>
            <w:vAlign w:val="center"/>
          </w:tcPr>
          <w:p>
            <w:r/>
            <w:r>
              <w:rPr>
                <w:b w:val="0"/>
                <w:sz w:val="13"/>
              </w:rPr>
              <w:t>P1</w:t>
            </w:r>
          </w:p>
        </w:tc>
        <w:tc>
          <w:tcPr>
            <w:tcW w:type="dxa" w:w="2232"/>
            <w:vAlign w:val="center"/>
          </w:tcPr>
          <w:p>
            <w:r/>
            <w:r>
              <w:rPr>
                <w:b w:val="0"/>
                <w:sz w:val="13"/>
              </w:rPr>
              <w:t>Connector lifecycle</w:t>
            </w:r>
          </w:p>
        </w:tc>
        <w:tc>
          <w:tcPr>
            <w:tcW w:type="dxa" w:w="3312"/>
            <w:vAlign w:val="center"/>
          </w:tcPr>
          <w:p>
            <w:r/>
            <w:r>
              <w:rPr>
                <w:b w:val="0"/>
                <w:sz w:val="13"/>
              </w:rPr>
              <w:t>Tokens, reconnects and revocation need exact policy</w:t>
            </w:r>
          </w:p>
        </w:tc>
        <w:tc>
          <w:tcPr>
            <w:tcW w:type="dxa" w:w="2880"/>
            <w:vAlign w:val="center"/>
          </w:tcPr>
          <w:p>
            <w:r/>
            <w:r>
              <w:rPr>
                <w:b w:val="0"/>
                <w:sz w:val="13"/>
              </w:rPr>
              <w:t>Define credential lifecycle and failure handling</w:t>
            </w:r>
          </w:p>
        </w:tc>
      </w:tr>
      <w:tr>
        <w:tc>
          <w:tcPr>
            <w:tcW w:type="dxa" w:w="936"/>
            <w:vAlign w:val="center"/>
          </w:tcPr>
          <w:p>
            <w:r/>
            <w:r>
              <w:rPr>
                <w:b w:val="0"/>
                <w:sz w:val="13"/>
              </w:rPr>
              <w:t>P2</w:t>
            </w:r>
          </w:p>
        </w:tc>
        <w:tc>
          <w:tcPr>
            <w:tcW w:type="dxa" w:w="2232"/>
            <w:vAlign w:val="center"/>
          </w:tcPr>
          <w:p>
            <w:r/>
            <w:r>
              <w:rPr>
                <w:b w:val="0"/>
                <w:sz w:val="13"/>
              </w:rPr>
              <w:t>Marketing attribution</w:t>
            </w:r>
          </w:p>
        </w:tc>
        <w:tc>
          <w:tcPr>
            <w:tcW w:type="dxa" w:w="3312"/>
            <w:vAlign w:val="center"/>
          </w:tcPr>
          <w:p>
            <w:r/>
            <w:r>
              <w:rPr>
                <w:b w:val="0"/>
                <w:sz w:val="13"/>
              </w:rPr>
              <w:t>Channel efficiency depends on attribution rules</w:t>
            </w:r>
          </w:p>
        </w:tc>
        <w:tc>
          <w:tcPr>
            <w:tcW w:type="dxa" w:w="2880"/>
            <w:vAlign w:val="center"/>
          </w:tcPr>
          <w:p>
            <w:r/>
            <w:r>
              <w:rPr>
                <w:b w:val="0"/>
                <w:sz w:val="13"/>
              </w:rPr>
              <w:t>Define attribution and cohort-LTV windows</w:t>
            </w:r>
          </w:p>
        </w:tc>
      </w:tr>
    </w:tbl>
    <w:p/>
    <w:p>
      <w:pPr>
        <w:pStyle w:val="Heading2"/>
        <w:keepNext/>
      </w:pPr>
      <w:r>
        <w:t>21.1 Important Limitation</w:t>
      </w:r>
    </w:p>
    <w:p>
      <w:pPr>
        <w:spacing w:after="100" w:line="259" w:lineRule="auto"/>
      </w:pPr>
      <w:r>
        <w:t>The project materials do not include final source code, a verified production dataset, measured model metrics, deployment logs, or user-acceptance results. Accordingly, this report describes the final proposed architecture and evaluation plan rather than claiming that every component has already been implemented and experimentally validated.</w:t>
      </w:r>
    </w:p>
    <w:p>
      <w:pPr>
        <w:pStyle w:val="Heading1"/>
        <w:keepNext/>
      </w:pPr>
      <w:r>
        <w:t>22. EXPECTED OUTCOMES AND ACCEPTANCE CRITERIA</w:t>
      </w:r>
    </w:p>
    <w:p>
      <w:pPr>
        <w:pStyle w:val="Heading2"/>
        <w:keepNext/>
      </w:pPr>
      <w:r>
        <w:t>22.1 Expected Outcomes</w:t>
      </w:r>
    </w:p>
    <w:p>
      <w:pPr>
        <w:pStyle w:val="ListBullet"/>
        <w:spacing w:after="40"/>
      </w:pPr>
      <w:r>
        <w:t>A connected merchant can synchronize store data from Shopify or WooCommerce.</w:t>
      </w:r>
    </w:p>
    <w:p>
      <w:pPr>
        <w:pStyle w:val="ListBullet"/>
        <w:spacing w:after="40"/>
      </w:pPr>
      <w:r>
        <w:t>Webhook events are verified and processed idempotently.</w:t>
      </w:r>
    </w:p>
    <w:p>
      <w:pPr>
        <w:pStyle w:val="ListBullet"/>
        <w:spacing w:after="40"/>
      </w:pPr>
      <w:r>
        <w:t>Normalized data reaches a shared feature-generation path.</w:t>
      </w:r>
    </w:p>
    <w:p>
      <w:pPr>
        <w:pStyle w:val="ListBullet"/>
        <w:spacing w:after="40"/>
      </w:pPr>
      <w:r>
        <w:t>RTO scoring occurs at the Shipped transition for COD orders.</w:t>
      </w:r>
    </w:p>
    <w:p>
      <w:pPr>
        <w:pStyle w:val="ListBullet"/>
        <w:spacing w:after="40"/>
      </w:pPr>
      <w:r>
        <w:t>Churn scoring runs on the defined schedule.</w:t>
      </w:r>
    </w:p>
    <w:p>
      <w:pPr>
        <w:pStyle w:val="ListBullet"/>
        <w:spacing w:after="40"/>
      </w:pPr>
      <w:r>
        <w:t>Qualifying predictions contain reasons, impact range and one recommendation.</w:t>
      </w:r>
    </w:p>
    <w:p>
      <w:pPr>
        <w:pStyle w:val="ListBullet"/>
        <w:spacing w:after="40"/>
      </w:pPr>
      <w:r>
        <w:t>Model updates occur incrementally after verified outcomes.</w:t>
      </w:r>
    </w:p>
    <w:p>
      <w:pPr>
        <w:pStyle w:val="ListBullet"/>
        <w:spacing w:after="40"/>
      </w:pPr>
      <w:r>
        <w:t>New stores can receive a category-level warm-start model.</w:t>
      </w:r>
    </w:p>
    <w:p>
      <w:pPr>
        <w:pStyle w:val="ListBullet"/>
        <w:spacing w:after="40"/>
      </w:pPr>
      <w:r>
        <w:t>Cross-store data access is prevented and automatically tested.</w:t>
      </w:r>
    </w:p>
    <w:p>
      <w:pPr>
        <w:pStyle w:val="Heading2"/>
        <w:keepNext/>
      </w:pPr>
      <w:r>
        <w:t>22.2 Acceptance Criteria</w:t>
      </w:r>
    </w:p>
    <w:p>
      <w:pPr>
        <w:pStyle w:val="ListBullet"/>
        <w:spacing w:after="40"/>
      </w:pPr>
      <w:r>
        <w:t>Shopify and WooCommerce connections work end to end.</w:t>
      </w:r>
    </w:p>
    <w:p>
      <w:pPr>
        <w:pStyle w:val="ListBullet"/>
        <w:spacing w:after="40"/>
      </w:pPr>
      <w:r>
        <w:t>Webhooks are verified and idempotent.</w:t>
      </w:r>
    </w:p>
    <w:p>
      <w:pPr>
        <w:pStyle w:val="ListBullet"/>
        <w:spacing w:after="40"/>
      </w:pPr>
      <w:r>
        <w:t>Data is normalized before features or models consume it.</w:t>
      </w:r>
    </w:p>
    <w:p>
      <w:pPr>
        <w:pStyle w:val="ListBullet"/>
        <w:spacing w:after="40"/>
      </w:pPr>
      <w:r>
        <w:t>RTO prediction fires at Shipped.</w:t>
      </w:r>
    </w:p>
    <w:p>
      <w:pPr>
        <w:pStyle w:val="ListBullet"/>
        <w:spacing w:after="40"/>
      </w:pPr>
      <w:r>
        <w:t>Churn prediction runs according to the configured schedule.</w:t>
      </w:r>
    </w:p>
    <w:p>
      <w:pPr>
        <w:pStyle w:val="ListBullet"/>
        <w:spacing w:after="40"/>
      </w:pPr>
      <w:r>
        <w:t>RTO evaluation reports Precision, Recall, F1, ROC-AUC and PR-AUC on a temporal holdout.</w:t>
      </w:r>
    </w:p>
    <w:p>
      <w:pPr>
        <w:pStyle w:val="ListBullet"/>
        <w:spacing w:after="40"/>
      </w:pPr>
      <w:r>
        <w:t>Every qualifying prediction has 2–3 explanations and a ₹ impact range.</w:t>
      </w:r>
    </w:p>
    <w:p>
      <w:pPr>
        <w:pStyle w:val="ListBullet"/>
        <w:spacing w:after="40"/>
      </w:pPr>
      <w:r>
        <w:t>Exactly one recommendation is generated when the rule contract is satisfied.</w:t>
      </w:r>
    </w:p>
    <w:p>
      <w:pPr>
        <w:pStyle w:val="ListBullet"/>
        <w:spacing w:after="40"/>
      </w:pPr>
      <w:r>
        <w:t>Incremental updates are validation-gated.</w:t>
      </w:r>
    </w:p>
    <w:p>
      <w:pPr>
        <w:pStyle w:val="ListBullet"/>
        <w:spacing w:after="40"/>
      </w:pPr>
      <w:r>
        <w:t>Collective learning is sample-weighted.</w:t>
      </w:r>
    </w:p>
    <w:p>
      <w:pPr>
        <w:pStyle w:val="ListBullet"/>
        <w:spacing w:after="40"/>
      </w:pPr>
      <w:r>
        <w:t>Tenant-isolation tests pass in CI.</w:t>
      </w:r>
    </w:p>
    <w:p>
      <w:pPr>
        <w:pStyle w:val="ListBullet"/>
        <w:spacing w:after="40"/>
      </w:pPr>
      <w:r>
        <w:t>Dashboard surfaces prediction and decision-support artifacts per store.</w:t>
      </w:r>
    </w:p>
    <w:p>
      <w:pPr>
        <w:pStyle w:val="Heading1"/>
        <w:keepNext/>
      </w:pPr>
      <w:r>
        <w:t>23. FUTURE ENHANCEMENTS</w:t>
      </w:r>
    </w:p>
    <w:p>
      <w:pPr>
        <w:pStyle w:val="ListNumber"/>
        <w:spacing w:after="40"/>
      </w:pPr>
      <w:r>
        <w:t>Event-driven churn scoring whenever customer order history changes.</w:t>
      </w:r>
    </w:p>
    <w:p>
      <w:pPr>
        <w:pStyle w:val="ListNumber"/>
        <w:spacing w:after="40"/>
      </w:pPr>
      <w:r>
        <w:t>Additional RTO signals such as delivery-partner return rates and product-category return rates, expanding the proposed feature vector from five to seven fields.</w:t>
      </w:r>
    </w:p>
    <w:p>
      <w:pPr>
        <w:pStyle w:val="ListNumber"/>
        <w:spacing w:after="40"/>
      </w:pPr>
      <w:r>
        <w:t>Additional platform connectors such as Magento and custom storefronts.</w:t>
      </w:r>
    </w:p>
    <w:p>
      <w:pPr>
        <w:pStyle w:val="ListNumber"/>
        <w:spacing w:after="40"/>
      </w:pPr>
      <w:r>
        <w:t>Vertical expansion into grocery and subscription commerce with separate category-level models.</w:t>
      </w:r>
    </w:p>
    <w:p>
      <w:pPr>
        <w:pStyle w:val="ListNumber"/>
        <w:spacing w:after="40"/>
      </w:pPr>
      <w:r>
        <w:t>Formal privacy-preserving aggregation mechanisms if sensitive use cases require stronger guarantees.</w:t>
      </w:r>
    </w:p>
    <w:p>
      <w:pPr>
        <w:pStyle w:val="ListNumber"/>
        <w:spacing w:after="40"/>
      </w:pPr>
      <w:r>
        <w:t>More robust model monitoring, calibration and drift detection.</w:t>
      </w:r>
    </w:p>
    <w:p>
      <w:pPr>
        <w:pStyle w:val="ListNumber"/>
        <w:spacing w:after="40"/>
      </w:pPr>
      <w:r>
        <w:t>Expanded marketing attribution using ad-platform APIs once data access and attribution rules are defined.</w:t>
      </w:r>
    </w:p>
    <w:p>
      <w:pPr>
        <w:pStyle w:val="Heading1"/>
        <w:keepNext/>
      </w:pPr>
      <w:r>
        <w:t>24. CONCLUSION</w:t>
      </w:r>
    </w:p>
    <w:p>
      <w:pPr>
        <w:spacing w:after="100" w:line="259" w:lineRule="auto"/>
      </w:pPr>
      <w:r>
        <w:t>Merchant Co-Pilot presents a bounded, explainable architecture for applying machine learning to two practical e-commerce risks: COD/RTO and customer churn. The project combines two Logistic Regression classifiers with deterministic business logic, rather than allowing a machine-learning model to directly produce an opaque merchant action. This design supports traceability from input data to prediction, explanation, financial impact and recommendation.</w:t>
      </w:r>
    </w:p>
    <w:p>
      <w:pPr>
        <w:spacing w:after="100" w:line="259" w:lineRule="auto"/>
      </w:pPr>
      <w:r>
        <w:t>The technical review shows that the project's success depends less on adding model complexity and more on establishing rigorous data contracts, temporal leakage prevention, calibrated probabilities, deterministic rule versioning, safe incremental updates, tenant isolation and meaningful evaluation. In particular, the exact feature schemas and churn label definition must be frozen against the real dataset before final model training.</w:t>
      </w:r>
    </w:p>
    <w:p>
      <w:pPr>
        <w:spacing w:after="100" w:line="259" w:lineRule="auto"/>
      </w:pPr>
      <w:r>
        <w:t>The resulting system is intended to remain a decision-support tool: it informs the merchant, quantifies risk and suggests one action, while leaving final business decisions with the merchant. With the open decisions resolved and the acceptance tests completed, the architecture provides a clear foundation for implementation, demonstration and future expansion.</w:t>
      </w:r>
    </w:p>
    <w:p>
      <w:pPr>
        <w:pStyle w:val="Heading1"/>
        <w:keepNext/>
      </w:pPr>
      <w:r>
        <w:t>25. BIBLIOGRAPHY</w:t>
      </w:r>
    </w:p>
    <w:p>
      <w:pPr>
        <w:pStyle w:val="ListNumber"/>
      </w:pPr>
      <w:r>
        <w:t>National Post Graduate College / Department of Computer Science. “MERCHANT CO-PILOT” project synopsis, Academic Session 2024–27.</w:t>
      </w:r>
    </w:p>
    <w:p>
      <w:pPr>
        <w:pStyle w:val="ListNumber"/>
      </w:pPr>
      <w:r>
        <w:t>Merchant Co-Pilot — Project Documentation: Planning, Module-wise Design &amp; Implementation, Technical Review.</w:t>
      </w:r>
    </w:p>
    <w:p>
      <w:pPr>
        <w:pStyle w:val="ListNumber"/>
      </w:pPr>
      <w:r>
        <w:t>NestJS Documentation. https://docs.nestjs.com/</w:t>
      </w:r>
    </w:p>
    <w:p>
      <w:pPr>
        <w:pStyle w:val="ListNumber"/>
      </w:pPr>
      <w:r>
        <w:t>FastAPI Documentation. https://fastapi.tiangolo.com/</w:t>
      </w:r>
    </w:p>
    <w:p>
      <w:pPr>
        <w:pStyle w:val="ListNumber"/>
      </w:pPr>
      <w:r>
        <w:t>Next.js Documentation. https://nextjs.org/docs</w:t>
      </w:r>
    </w:p>
    <w:p>
      <w:pPr>
        <w:pStyle w:val="ListNumber"/>
      </w:pPr>
      <w:r>
        <w:t>Prisma Documentation. https://www.prisma.io/docs</w:t>
      </w:r>
    </w:p>
    <w:p>
      <w:pPr>
        <w:pStyle w:val="ListNumber"/>
      </w:pPr>
      <w:r>
        <w:t>Shopify Developer Documentation. https://shopify.dev/docs/</w:t>
      </w:r>
    </w:p>
    <w:p>
      <w:pPr>
        <w:pStyle w:val="ListNumber"/>
      </w:pPr>
      <w:r>
        <w:t>WooCommerce REST API Documentation. https://woocommerce.github.io/woocommerce-rest-api-docs/</w:t>
      </w:r>
    </w:p>
    <w:p>
      <w:pPr>
        <w:pStyle w:val="ListNumber"/>
      </w:pPr>
      <w:r>
        <w:t>NumPy Documentation. https://numpy.org/doc/</w:t>
      </w:r>
    </w:p>
    <w:p>
      <w:pPr>
        <w:pStyle w:val="ListNumber"/>
      </w:pPr>
      <w:r>
        <w:t>PostgreSQL Documentation. https://www.postgresql.org/docs/</w:t>
      </w:r>
    </w:p>
    <w:p>
      <w:pPr>
        <w:pStyle w:val="Heading1"/>
        <w:keepNext/>
      </w:pPr>
      <w:r>
        <w:t>APPENDIX A — PROPOSED END-TO-END WORKFLOW</w:t>
      </w:r>
    </w:p>
    <w:p>
      <w:pPr>
        <w:spacing w:after="120"/>
        <w:ind w:left="360" w:right="360"/>
        <w:shd w:fill="F2F2F2"/>
      </w:pPr>
      <w:r>
        <w:rPr>
          <w:rFonts w:ascii="Consolas" w:hAnsi="Consolas"/>
          <w:sz w:val="16"/>
        </w:rPr>
        <w:t>1. Merchant registers and creates store</w:t>
        <w:br/>
        <w:t>2. Merchant connects Shopify/WooCommerce</w:t>
        <w:br/>
        <w:t>3. Historical data is synchronized</w:t>
        <w:br/>
        <w:t>4. Incoming webhooks are signature-verified</w:t>
        <w:br/>
        <w:t>5. Event is stored idempotently</w:t>
        <w:br/>
        <w:t>6. Data is normalized</w:t>
        <w:br/>
        <w:t>7. Point-in-time features are computed</w:t>
        <w:br/>
        <w:t>8. RTO/churn model scores the entity</w:t>
        <w:br/>
        <w:t>9. Risk band is assigned</w:t>
        <w:br/>
        <w:t>10. Explanation is generated</w:t>
        <w:br/>
        <w:t>11. ₹ impact range is calculated</w:t>
        <w:br/>
        <w:t>12. One recommendation is selected</w:t>
        <w:br/>
        <w:t>13. Dashboard displays result</w:t>
        <w:br/>
        <w:t>14. Verified outcome arrives later</w:t>
        <w:br/>
        <w:t>15. Incremental SGD update is validation-gated</w:t>
        <w:br/>
        <w:t>16. Weekly category FedAvg creates cold-start model</w:t>
        <w:br/>
        <w:t>17. Audit and monitoring records remain available</w:t>
      </w:r>
    </w:p>
    <w:p>
      <w:pPr>
        <w:pStyle w:val="Heading1"/>
        <w:keepNext/>
      </w:pPr>
      <w:r>
        <w:t>APPENDIX B — IMPLEMENTATION CHECKLIST</w:t>
      </w:r>
    </w:p>
    <w:p>
      <w:r>
        <w:t>☐ Freeze final RTO five-field schema.</w:t>
      </w:r>
    </w:p>
    <w:p>
      <w:r>
        <w:t>☐ Freeze final churn five-field schema.</w:t>
      </w:r>
    </w:p>
    <w:p>
      <w:r>
        <w:t>☐ Freeze churn observation and inactivity windows.</w:t>
      </w:r>
    </w:p>
    <w:p>
      <w:r>
        <w:t>☐ Implement shared feature package for training and serving.</w:t>
      </w:r>
    </w:p>
    <w:p>
      <w:r>
        <w:t>☐ Implement temporal dataset builder.</w:t>
      </w:r>
    </w:p>
    <w:p>
      <w:r>
        <w:t>☐ Implement leakage tests.</w:t>
      </w:r>
    </w:p>
    <w:p>
      <w:r>
        <w:t>☐ Train baseline RTO and churn models.</w:t>
      </w:r>
    </w:p>
    <w:p>
      <w:r>
        <w:t>☐ Evaluate class weighting versus resampling.</w:t>
      </w:r>
    </w:p>
    <w:p>
      <w:r>
        <w:t>☐ Calibrate probabilities.</w:t>
      </w:r>
    </w:p>
    <w:p>
      <w:r>
        <w:t>☐ Freeze risk-threshold policy.</w:t>
      </w:r>
    </w:p>
    <w:p>
      <w:r>
        <w:t>☐ Freeze ₹ impact formula and cost assumptions.</w:t>
      </w:r>
    </w:p>
    <w:p>
      <w:r>
        <w:t>☐ Freeze recommendation rule schema and tie-break.</w:t>
      </w:r>
    </w:p>
    <w:p>
      <w:r>
        <w:t>☐ Implement model/rule/impact versioning.</w:t>
      </w:r>
    </w:p>
    <w:p>
      <w:r>
        <w:t>☐ Implement incremental validation and rollback.</w:t>
      </w:r>
    </w:p>
    <w:p>
      <w:r>
        <w:t>☐ Implement sample-weighted FedAvg simulation.</w:t>
      </w:r>
    </w:p>
    <w:p>
      <w:r>
        <w:t>☐ Implement tenant-isolation test suite.</w:t>
      </w:r>
    </w:p>
    <w:p>
      <w:r>
        <w:t>☐ Implement dashboard and audit views.</w:t>
      </w:r>
    </w:p>
    <w:p>
      <w:r>
        <w:t>☐ Complete integration and end-to-end testing.</w:t>
      </w:r>
    </w:p>
    <w:p>
      <w:r>
        <w:t>☐ Populate real model metrics and test results.</w:t>
      </w:r>
    </w:p>
    <w:p>
      <w:r>
        <w:t>☐ Complete deployment documentation and user manual.</w:t>
      </w:r>
    </w:p>
    <w:p>
      <w:pPr>
        <w:pStyle w:val="Heading1"/>
        <w:keepNext/>
      </w:pPr>
      <w:r>
        <w:t>APPENDIX C — VIVA / DEFENSE QUICK QUESTIONS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r/>
            <w:r>
              <w:rPr>
                <w:b/>
                <w:color w:val="FFFFFF"/>
                <w:sz w:val="16"/>
              </w:rPr>
              <w:t>Question</w:t>
            </w:r>
          </w:p>
        </w:tc>
        <w:tc>
          <w:tcPr>
            <w:tcW w:type="dxa" w:w="6480"/>
            <w:vAlign w:val="center"/>
            <w:shd w:fill="17365D"/>
          </w:tcPr>
          <w:p>
            <w:r/>
            <w:r>
              <w:rPr>
                <w:b/>
                <w:color w:val="FFFFFF"/>
                <w:sz w:val="16"/>
              </w:rPr>
              <w:t>Answer</w:t>
            </w:r>
          </w:p>
        </w:tc>
      </w:tr>
      <w:tr>
        <w:tc>
          <w:tcPr>
            <w:tcW w:type="dxa" w:w="2880"/>
            <w:vAlign w:val="center"/>
          </w:tcPr>
          <w:p>
            <w:r/>
            <w:r>
              <w:rPr>
                <w:b w:val="0"/>
                <w:sz w:val="16"/>
              </w:rPr>
              <w:t>Why Logistic Regression?</w:t>
            </w:r>
          </w:p>
        </w:tc>
        <w:tc>
          <w:tcPr>
            <w:tcW w:type="dxa" w:w="6480"/>
            <w:vAlign w:val="center"/>
          </w:tcPr>
          <w:p>
            <w:r/>
            <w:r>
              <w:rPr>
                <w:b w:val="0"/>
                <w:sz w:val="16"/>
              </w:rPr>
              <w:t>It is comparatively interpretable, probability-oriented, and compatible with incremental SGD updates required by the project.</w:t>
            </w:r>
          </w:p>
        </w:tc>
      </w:tr>
      <w:tr>
        <w:tc>
          <w:tcPr>
            <w:tcW w:type="dxa" w:w="2880"/>
            <w:vAlign w:val="center"/>
          </w:tcPr>
          <w:p>
            <w:r/>
            <w:r>
              <w:rPr>
                <w:b w:val="0"/>
                <w:sz w:val="16"/>
              </w:rPr>
              <w:t>Why temporal split?</w:t>
            </w:r>
          </w:p>
        </w:tc>
        <w:tc>
          <w:tcPr>
            <w:tcW w:type="dxa" w:w="6480"/>
            <w:vAlign w:val="center"/>
          </w:tcPr>
          <w:p>
            <w:r/>
            <w:r>
              <w:rPr>
                <w:b w:val="0"/>
                <w:sz w:val="16"/>
              </w:rPr>
              <w:t>Commerce behaviour changes over time; random splitting can allow future information patterns into training and produce misleading evaluation.</w:t>
            </w:r>
          </w:p>
        </w:tc>
      </w:tr>
      <w:tr>
        <w:tc>
          <w:tcPr>
            <w:tcW w:type="dxa" w:w="2880"/>
            <w:vAlign w:val="center"/>
          </w:tcPr>
          <w:p>
            <w:r/>
            <w:r>
              <w:rPr>
                <w:b w:val="0"/>
                <w:sz w:val="16"/>
              </w:rPr>
              <w:t>Why not accuracy alone?</w:t>
            </w:r>
          </w:p>
        </w:tc>
        <w:tc>
          <w:tcPr>
            <w:tcW w:type="dxa" w:w="6480"/>
            <w:vAlign w:val="center"/>
          </w:tcPr>
          <w:p>
            <w:r/>
            <w:r>
              <w:rPr>
                <w:b w:val="0"/>
                <w:sz w:val="16"/>
              </w:rPr>
              <w:t>RTO can be a minority class, so high accuracy can coexist with poor detection of actual RTO cases.</w:t>
            </w:r>
          </w:p>
        </w:tc>
      </w:tr>
      <w:tr>
        <w:tc>
          <w:tcPr>
            <w:tcW w:type="dxa" w:w="2880"/>
            <w:vAlign w:val="center"/>
          </w:tcPr>
          <w:p>
            <w:r/>
            <w:r>
              <w:rPr>
                <w:b w:val="0"/>
                <w:sz w:val="16"/>
              </w:rPr>
              <w:t>Why deterministic recommendations?</w:t>
            </w:r>
          </w:p>
        </w:tc>
        <w:tc>
          <w:tcPr>
            <w:tcW w:type="dxa" w:w="6480"/>
            <w:vAlign w:val="center"/>
          </w:tcPr>
          <w:p>
            <w:r/>
            <w:r>
              <w:rPr>
                <w:b w:val="0"/>
                <w:sz w:val="16"/>
              </w:rPr>
              <w:t>The project requires exactly one auditable, reproducible action rather than another opaque ML decision layer.</w:t>
            </w:r>
          </w:p>
        </w:tc>
      </w:tr>
      <w:tr>
        <w:tc>
          <w:tcPr>
            <w:tcW w:type="dxa" w:w="2880"/>
            <w:vAlign w:val="center"/>
          </w:tcPr>
          <w:p>
            <w:r/>
            <w:r>
              <w:rPr>
                <w:b w:val="0"/>
                <w:sz w:val="16"/>
              </w:rPr>
              <w:t>What is the main leakage risk?</w:t>
            </w:r>
          </w:p>
        </w:tc>
        <w:tc>
          <w:tcPr>
            <w:tcW w:type="dxa" w:w="6480"/>
            <w:vAlign w:val="center"/>
          </w:tcPr>
          <w:p>
            <w:r/>
            <w:r>
              <w:rPr>
                <w:b w:val="0"/>
                <w:sz w:val="16"/>
              </w:rPr>
              <w:t>Using information that was only known after the prediction timestamp, such as final delivery outcome or future customer activity.</w:t>
            </w:r>
          </w:p>
        </w:tc>
      </w:tr>
      <w:tr>
        <w:tc>
          <w:tcPr>
            <w:tcW w:type="dxa" w:w="2880"/>
            <w:vAlign w:val="center"/>
          </w:tcPr>
          <w:p>
            <w:r/>
            <w:r>
              <w:rPr>
                <w:b w:val="0"/>
                <w:sz w:val="16"/>
              </w:rPr>
              <w:t>Why FedAvg?</w:t>
            </w:r>
          </w:p>
        </w:tc>
        <w:tc>
          <w:tcPr>
            <w:tcW w:type="dxa" w:w="6480"/>
            <w:vAlign w:val="center"/>
          </w:tcPr>
          <w:p>
            <w:r/>
            <w:r>
              <w:rPr>
                <w:b w:val="0"/>
                <w:sz w:val="16"/>
              </w:rPr>
              <w:t>To create a category-level warm-start model without centralizing raw store data; however, weight sharing is not a formal privacy guarantee.</w:t>
            </w:r>
          </w:p>
        </w:tc>
      </w:tr>
      <w:tr>
        <w:tc>
          <w:tcPr>
            <w:tcW w:type="dxa" w:w="2880"/>
            <w:vAlign w:val="center"/>
          </w:tcPr>
          <w:p>
            <w:r/>
            <w:r>
              <w:rPr>
                <w:b w:val="0"/>
                <w:sz w:val="16"/>
              </w:rPr>
              <w:t>Why store_id?</w:t>
            </w:r>
          </w:p>
        </w:tc>
        <w:tc>
          <w:tcPr>
            <w:tcW w:type="dxa" w:w="6480"/>
            <w:vAlign w:val="center"/>
          </w:tcPr>
          <w:p>
            <w:r/>
            <w:r>
              <w:rPr>
                <w:b w:val="0"/>
                <w:sz w:val="16"/>
              </w:rPr>
              <w:t>It is the backbone of tenant isolation, ensuring each merchant's data is scoped to its authenticated store.</w:t>
            </w:r>
          </w:p>
        </w:tc>
      </w:tr>
      <w:tr>
        <w:tc>
          <w:tcPr>
            <w:tcW w:type="dxa" w:w="2880"/>
            <w:vAlign w:val="center"/>
          </w:tcPr>
          <w:p>
            <w:r/>
            <w:r>
              <w:rPr>
                <w:b w:val="0"/>
                <w:sz w:val="16"/>
              </w:rPr>
              <w:t>What remains unresolved?</w:t>
            </w:r>
          </w:p>
        </w:tc>
        <w:tc>
          <w:tcPr>
            <w:tcW w:type="dxa" w:w="6480"/>
            <w:vAlign w:val="center"/>
          </w:tcPr>
          <w:p>
            <w:r/>
            <w:r>
              <w:rPr>
                <w:b w:val="0"/>
                <w:sz w:val="16"/>
              </w:rPr>
              <w:t>Exact feature schemas, churn label windows, calibration policy, ₹ impact formula, rule tie-breaks, and some connector/marketing details.</w:t>
            </w:r>
          </w:p>
        </w:tc>
      </w:tr>
    </w:tbl>
    <w:p/>
    <w:sectPr w:rsidR="00FC693F" w:rsidRPr="0006063C" w:rsidSect="00034616">
      <w:headerReference w:type="default" r:id="rId9"/>
      <w:footerReference w:type="default" r:id="rId10"/>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National Post Graduate College  •  BCA  •  Academic Session 2024–27</w:t>
    </w:r>
    <w:r>
      <w:t xml:space="preserve">   |   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MERCHANT CO-PILOT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