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OmniCLV Project Report</w:t>
      </w:r>
    </w:p>
    <w:p>
      <w:pPr>
        <w:jc w:val="center"/>
      </w:pPr>
      <w:r>
        <w:rPr>
          <w:i/>
          <w:color w:val="595959"/>
          <w:sz w:val="28"/>
        </w:rPr>
        <w:t>Omnichannel Retail Customer Lifetime Value &amp; Purchase Frequency Optimisation</w:t>
      </w:r>
    </w:p>
    <w:p/>
    <w:p>
      <w:pPr>
        <w:jc w:val="center"/>
      </w:pPr>
      <w:r>
        <w:rPr>
          <w:b/>
          <w:sz w:val="24"/>
        </w:rPr>
        <w:t xml:space="preserve">Author: </w:t>
      </w:r>
      <w:r>
        <w:rPr>
          <w:sz w:val="24"/>
        </w:rPr>
        <w:t>Anushka Yadav</w:t>
      </w:r>
    </w:p>
    <w:p>
      <w:pPr>
        <w:jc w:val="center"/>
      </w:pPr>
      <w:r>
        <w:rPr>
          <w:sz w:val="22"/>
        </w:rPr>
        <w:t>Date: September 24, 2026</w:t>
      </w:r>
    </w:p>
    <w:p>
      <w:r>
        <w:br w:type="page"/>
      </w:r>
    </w:p>
    <w:p>
      <w:pPr>
        <w:pStyle w:val="Heading1"/>
      </w:pPr>
      <w:r>
        <w:rPr>
          <w:color w:val="1F497D"/>
        </w:rPr>
        <w:t>1. Executive Summary</w:t>
      </w:r>
    </w:p>
    <w:p>
      <w:pPr>
        <w:spacing w:after="120"/>
      </w:pPr>
      <w:r>
        <w:rPr>
          <w:sz w:val="22"/>
        </w:rPr>
        <w:t>This report presents the findings of the OmniCLV project, a data-driven initiative to optimise Customer Lifetime Value (CLV) and purchase frequency across omnichannel retail touchpoints. The project leverages the publicly available UCI Online Retail Data Set (approx. 541,909 transactions spanning December 2010 – December 2011) to build a comprehensive analytical pipeline covering data cleaning, RFM metric computation, unsupervised customer segmentation, and churn prediction.</w:t>
      </w:r>
    </w:p>
    <w:p>
      <w:pPr>
        <w:spacing w:after="120"/>
      </w:pPr>
      <w:r>
        <w:rPr>
          <w:sz w:val="22"/>
        </w:rPr>
        <w:t>Key business objectives addressed in this study include: (1) identifying high-value customer cohorts for targeted retention campaigns, (2) quantifying revenue contribution across Website, Mobile App, and In-Store channels, and (3) generating actionable recommendations for marketing spend allocation and personalisation strategies.</w:t>
      </w:r>
    </w:p>
    <w:p>
      <w:pPr>
        <w:spacing w:after="120"/>
      </w:pPr>
      <w:r>
        <w:rPr>
          <w:sz w:val="22"/>
        </w:rPr>
        <w:t>The pipeline resulted in four distinct customer segments — Champions, Loyal Customers, At-Risk, and Lost/Inactive — with a churn prediction Random Forest model achieving high classification accuracy. An interactive Streamlit dashboard was built to enable non-technical stakeholders to explore insights in real time.</w:t>
      </w:r>
    </w:p>
    <w:p>
      <w:pPr>
        <w:pStyle w:val="Heading1"/>
      </w:pPr>
      <w:r>
        <w:rPr>
          <w:color w:val="1F497D"/>
        </w:rPr>
        <w:t>2. Dataset &amp; Methodology Description</w:t>
      </w:r>
    </w:p>
    <w:p>
      <w:pPr>
        <w:pStyle w:val="Heading2"/>
      </w:pPr>
      <w:r>
        <w:rPr>
          <w:color w:val="1F497D"/>
        </w:rPr>
        <w:t>2.1 Dataset Overview</w:t>
      </w:r>
    </w:p>
    <w:p>
      <w:pPr>
        <w:spacing w:after="120"/>
      </w:pPr>
      <w:r>
        <w:rPr>
          <w:sz w:val="22"/>
        </w:rPr>
        <w:t>The dataset is the Online Retail Data Set from the UCI Machine Learning Repository (also available on Kaggle). It contains transactional records for a UK-based e-commerce retailer. Key attributes are:</w:t>
      </w:r>
    </w:p>
    <w:tbl>
      <w:tblPr>
        <w:tblStyle w:val="LightList-Accent1"/>
        <w:tblW w:type="auto" w:w="0"/>
        <w:tblLook w:firstColumn="1" w:firstRow="1" w:lastColumn="0" w:lastRow="0" w:noHBand="0" w:noVBand="1" w:val="04A0"/>
      </w:tblPr>
      <w:tblGrid>
        <w:gridCol w:w="4533"/>
        <w:gridCol w:w="4533"/>
      </w:tblGrid>
      <w:tr>
        <w:tc>
          <w:tcPr>
            <w:tcW w:type="dxa" w:w="4533"/>
          </w:tcPr>
          <w:p>
            <w:r>
              <w:rPr>
                <w:b/>
                <w:sz w:val="20"/>
              </w:rPr>
              <w:t>Column</w:t>
            </w:r>
          </w:p>
        </w:tc>
        <w:tc>
          <w:tcPr>
            <w:tcW w:type="dxa" w:w="4533"/>
          </w:tcPr>
          <w:p>
            <w:r>
              <w:rPr>
                <w:b/>
                <w:sz w:val="20"/>
              </w:rPr>
              <w:t>Description</w:t>
            </w:r>
          </w:p>
        </w:tc>
      </w:tr>
      <w:tr>
        <w:tc>
          <w:tcPr>
            <w:tcW w:type="dxa" w:w="4533"/>
          </w:tcPr>
          <w:p>
            <w:r>
              <w:rPr>
                <w:sz w:val="20"/>
              </w:rPr>
              <w:t>InvoiceNo</w:t>
            </w:r>
          </w:p>
        </w:tc>
        <w:tc>
          <w:tcPr>
            <w:tcW w:type="dxa" w:w="4533"/>
          </w:tcPr>
          <w:p>
            <w:r>
              <w:rPr>
                <w:sz w:val="20"/>
              </w:rPr>
              <w:t>Unique invoice identifier; prefix 'C' denotes cancellations</w:t>
            </w:r>
          </w:p>
        </w:tc>
      </w:tr>
      <w:tr>
        <w:tc>
          <w:tcPr>
            <w:tcW w:type="dxa" w:w="4533"/>
          </w:tcPr>
          <w:p>
            <w:r>
              <w:rPr>
                <w:sz w:val="20"/>
              </w:rPr>
              <w:t>StockCode</w:t>
            </w:r>
          </w:p>
        </w:tc>
        <w:tc>
          <w:tcPr>
            <w:tcW w:type="dxa" w:w="4533"/>
          </w:tcPr>
          <w:p>
            <w:r>
              <w:rPr>
                <w:sz w:val="20"/>
              </w:rPr>
              <w:t>Product / item code</w:t>
            </w:r>
          </w:p>
        </w:tc>
      </w:tr>
      <w:tr>
        <w:tc>
          <w:tcPr>
            <w:tcW w:type="dxa" w:w="4533"/>
          </w:tcPr>
          <w:p>
            <w:r>
              <w:rPr>
                <w:sz w:val="20"/>
              </w:rPr>
              <w:t>Description</w:t>
            </w:r>
          </w:p>
        </w:tc>
        <w:tc>
          <w:tcPr>
            <w:tcW w:type="dxa" w:w="4533"/>
          </w:tcPr>
          <w:p>
            <w:r>
              <w:rPr>
                <w:sz w:val="20"/>
              </w:rPr>
              <w:t>Product name or description</w:t>
            </w:r>
          </w:p>
        </w:tc>
      </w:tr>
      <w:tr>
        <w:tc>
          <w:tcPr>
            <w:tcW w:type="dxa" w:w="4533"/>
          </w:tcPr>
          <w:p>
            <w:r>
              <w:rPr>
                <w:sz w:val="20"/>
              </w:rPr>
              <w:t>Quantity</w:t>
            </w:r>
          </w:p>
        </w:tc>
        <w:tc>
          <w:tcPr>
            <w:tcW w:type="dxa" w:w="4533"/>
          </w:tcPr>
          <w:p>
            <w:r>
              <w:rPr>
                <w:sz w:val="20"/>
              </w:rPr>
              <w:t>Number of units per invoice line</w:t>
            </w:r>
          </w:p>
        </w:tc>
      </w:tr>
      <w:tr>
        <w:tc>
          <w:tcPr>
            <w:tcW w:type="dxa" w:w="4533"/>
          </w:tcPr>
          <w:p>
            <w:r>
              <w:rPr>
                <w:sz w:val="20"/>
              </w:rPr>
              <w:t>InvoiceDate</w:t>
            </w:r>
          </w:p>
        </w:tc>
        <w:tc>
          <w:tcPr>
            <w:tcW w:type="dxa" w:w="4533"/>
          </w:tcPr>
          <w:p>
            <w:r>
              <w:rPr>
                <w:sz w:val="20"/>
              </w:rPr>
              <w:t>Date and time of the transaction</w:t>
            </w:r>
          </w:p>
        </w:tc>
      </w:tr>
      <w:tr>
        <w:tc>
          <w:tcPr>
            <w:tcW w:type="dxa" w:w="4533"/>
          </w:tcPr>
          <w:p>
            <w:r>
              <w:rPr>
                <w:sz w:val="20"/>
              </w:rPr>
              <w:t>UnitPrice</w:t>
            </w:r>
          </w:p>
        </w:tc>
        <w:tc>
          <w:tcPr>
            <w:tcW w:type="dxa" w:w="4533"/>
          </w:tcPr>
          <w:p>
            <w:r>
              <w:rPr>
                <w:sz w:val="20"/>
              </w:rPr>
              <w:t>Price per unit in GBP (£)</w:t>
            </w:r>
          </w:p>
        </w:tc>
      </w:tr>
      <w:tr>
        <w:tc>
          <w:tcPr>
            <w:tcW w:type="dxa" w:w="4533"/>
          </w:tcPr>
          <w:p>
            <w:r>
              <w:rPr>
                <w:sz w:val="20"/>
              </w:rPr>
              <w:t>CustomerID</w:t>
            </w:r>
          </w:p>
        </w:tc>
        <w:tc>
          <w:tcPr>
            <w:tcW w:type="dxa" w:w="4533"/>
          </w:tcPr>
          <w:p>
            <w:r>
              <w:rPr>
                <w:sz w:val="20"/>
              </w:rPr>
              <w:t>Unique identifier per customer (may be missing)</w:t>
            </w:r>
          </w:p>
        </w:tc>
      </w:tr>
      <w:tr>
        <w:tc>
          <w:tcPr>
            <w:tcW w:type="dxa" w:w="4533"/>
          </w:tcPr>
          <w:p>
            <w:r>
              <w:rPr>
                <w:sz w:val="20"/>
              </w:rPr>
              <w:t>Country</w:t>
            </w:r>
          </w:p>
        </w:tc>
        <w:tc>
          <w:tcPr>
            <w:tcW w:type="dxa" w:w="4533"/>
          </w:tcPr>
          <w:p>
            <w:r>
              <w:rPr>
                <w:sz w:val="20"/>
              </w:rPr>
              <w:t>Country of the customer</w:t>
            </w:r>
          </w:p>
        </w:tc>
      </w:tr>
    </w:tbl>
    <w:p/>
    <w:p>
      <w:pPr>
        <w:pStyle w:val="Heading2"/>
      </w:pPr>
      <w:r>
        <w:rPr>
          <w:color w:val="1F497D"/>
        </w:rPr>
        <w:t>2.2 Data Cleaning</w:t>
      </w:r>
    </w:p>
    <w:p>
      <w:pPr>
        <w:spacing w:after="120"/>
      </w:pPr>
      <w:r>
        <w:rPr>
          <w:sz w:val="22"/>
        </w:rPr>
        <w:t>The raw dataset required several cleaning steps before analysis: (1) Rows without a CustomerID (~25% of records) were removed as they cannot be mapped to individual customers. (2) Cancellation / return invoices (prefixed 'C') were excluded to focus on genuine purchase behaviour. (3) Records with non-positive Quantity or UnitPrice were filtered out. After cleaning, ~397,924 valid transaction rows remained across 4,372 unique customers.</w:t>
      </w:r>
    </w:p>
    <w:p>
      <w:pPr>
        <w:pStyle w:val="Heading2"/>
      </w:pPr>
      <w:r>
        <w:rPr>
          <w:color w:val="1F497D"/>
        </w:rPr>
        <w:t>2.3 Feature Engineering</w:t>
      </w:r>
    </w:p>
    <w:p>
      <w:pPr>
        <w:spacing w:after="120"/>
      </w:pPr>
      <w:r>
        <w:rPr>
          <w:sz w:val="22"/>
        </w:rPr>
        <w:t>Three core engineered features were created:</w:t>
      </w:r>
    </w:p>
    <w:p>
      <w:pPr>
        <w:pStyle w:val="ListBullet"/>
      </w:pPr>
      <w:r>
        <w:rPr>
          <w:b/>
          <w:sz w:val="22"/>
        </w:rPr>
        <w:t xml:space="preserve">TotalSales: </w:t>
      </w:r>
      <w:r>
        <w:rPr>
          <w:sz w:val="22"/>
        </w:rPr>
        <w:t>Quantity × UnitPrice — line-level revenue figure.</w:t>
      </w:r>
    </w:p>
    <w:p>
      <w:pPr>
        <w:pStyle w:val="ListBullet"/>
      </w:pPr>
      <w:r>
        <w:rPr>
          <w:b/>
          <w:sz w:val="22"/>
        </w:rPr>
        <w:t xml:space="preserve">SalesChannel: </w:t>
      </w:r>
      <w:r>
        <w:rPr>
          <w:sz w:val="22"/>
        </w:rPr>
        <w:t>Simulated channel assignment (Website 50%, Mobile App 30%, In-Store 20%) per customer using a seeded random process to replicate omnichannel reality.</w:t>
      </w:r>
    </w:p>
    <w:p>
      <w:pPr>
        <w:pStyle w:val="ListBullet"/>
      </w:pPr>
      <w:r>
        <w:rPr>
          <w:b/>
          <w:sz w:val="22"/>
        </w:rPr>
        <w:t xml:space="preserve">YearMonth: </w:t>
      </w:r>
      <w:r>
        <w:rPr>
          <w:sz w:val="22"/>
        </w:rPr>
        <w:t>Period label (YYYY-MM) derived from InvoiceDate for temporal trend analysis.</w:t>
      </w:r>
    </w:p>
    <w:p>
      <w:pPr>
        <w:pStyle w:val="Heading2"/>
      </w:pPr>
      <w:r>
        <w:rPr>
          <w:color w:val="1F497D"/>
        </w:rPr>
        <w:t>2.4 RFM Metric Calculation</w:t>
      </w:r>
    </w:p>
    <w:p>
      <w:pPr>
        <w:spacing w:after="120"/>
      </w:pPr>
      <w:r>
        <w:rPr>
          <w:sz w:val="22"/>
        </w:rPr>
        <w:t>RFM (Recency, Frequency, Monetary) analysis was used to quantify customer value:</w:t>
      </w:r>
    </w:p>
    <w:p>
      <w:pPr>
        <w:pStyle w:val="ListBullet"/>
      </w:pPr>
      <w:r>
        <w:rPr>
          <w:b/>
          <w:sz w:val="22"/>
        </w:rPr>
        <w:t xml:space="preserve">Recency (R): </w:t>
      </w:r>
      <w:r>
        <w:rPr>
          <w:sz w:val="22"/>
        </w:rPr>
        <w:t>Number of days since the customer's last purchase relative to a snapshot date one day after the final transaction in the dataset.</w:t>
      </w:r>
    </w:p>
    <w:p>
      <w:pPr>
        <w:pStyle w:val="ListBullet"/>
      </w:pPr>
      <w:r>
        <w:rPr>
          <w:b/>
          <w:sz w:val="22"/>
        </w:rPr>
        <w:t xml:space="preserve">Frequency (F): </w:t>
      </w:r>
      <w:r>
        <w:rPr>
          <w:sz w:val="22"/>
        </w:rPr>
        <w:t>Count of unique invoices per customer — a proxy for purchase frequency.</w:t>
      </w:r>
    </w:p>
    <w:p>
      <w:pPr>
        <w:pStyle w:val="ListBullet"/>
      </w:pPr>
      <w:r>
        <w:rPr>
          <w:b/>
          <w:sz w:val="22"/>
        </w:rPr>
        <w:t xml:space="preserve">Monetary (M): </w:t>
      </w:r>
      <w:r>
        <w:rPr>
          <w:sz w:val="22"/>
        </w:rPr>
        <w:t>Sum of TotalSales per customer — total historical spend.</w:t>
      </w:r>
    </w:p>
    <w:p>
      <w:pPr>
        <w:pStyle w:val="Heading2"/>
      </w:pPr>
      <w:r>
        <w:rPr>
          <w:color w:val="1F497D"/>
        </w:rPr>
        <w:t>2.5 Customer Segmentation – K-Means Clustering</w:t>
      </w:r>
    </w:p>
    <w:p>
      <w:pPr>
        <w:spacing w:after="120"/>
      </w:pPr>
      <w:r>
        <w:rPr>
          <w:sz w:val="22"/>
        </w:rPr>
        <w:t>K-Means clustering (k=4, selected via elbow method) was applied to log-transformed, standardised RFM features. Segments were labelled by mean monetary value (descending):</w:t>
      </w:r>
    </w:p>
    <w:p>
      <w:pPr>
        <w:pStyle w:val="ListBullet"/>
      </w:pPr>
      <w:r>
        <w:rPr>
          <w:b/>
          <w:sz w:val="22"/>
        </w:rPr>
        <w:t xml:space="preserve">Champions: </w:t>
      </w:r>
      <w:r>
        <w:rPr>
          <w:sz w:val="22"/>
        </w:rPr>
        <w:t>Highest-value, most recent, high-frequency purchasers.</w:t>
      </w:r>
    </w:p>
    <w:p>
      <w:pPr>
        <w:pStyle w:val="ListBullet"/>
      </w:pPr>
      <w:r>
        <w:rPr>
          <w:b/>
          <w:sz w:val="22"/>
        </w:rPr>
        <w:t xml:space="preserve">Loyal Customers: </w:t>
      </w:r>
      <w:r>
        <w:rPr>
          <w:sz w:val="22"/>
        </w:rPr>
        <w:t>Regular buyers with moderate-to-high spend.</w:t>
      </w:r>
    </w:p>
    <w:p>
      <w:pPr>
        <w:pStyle w:val="ListBullet"/>
      </w:pPr>
      <w:r>
        <w:rPr>
          <w:b/>
          <w:sz w:val="22"/>
        </w:rPr>
        <w:t xml:space="preserve">At-Risk: </w:t>
      </w:r>
      <w:r>
        <w:rPr>
          <w:sz w:val="22"/>
        </w:rPr>
        <w:t>Previously active customers showing declining engagement.</w:t>
      </w:r>
    </w:p>
    <w:p>
      <w:pPr>
        <w:pStyle w:val="ListBullet"/>
      </w:pPr>
      <w:r>
        <w:rPr>
          <w:b/>
          <w:sz w:val="22"/>
        </w:rPr>
        <w:t xml:space="preserve">Lost / Inactive: </w:t>
      </w:r>
      <w:r>
        <w:rPr>
          <w:sz w:val="22"/>
        </w:rPr>
        <w:t>Long-dormant customers with minimal historical spend.</w:t>
      </w:r>
    </w:p>
    <w:p>
      <w:pPr>
        <w:pStyle w:val="Heading2"/>
      </w:pPr>
      <w:r>
        <w:rPr>
          <w:color w:val="1F497D"/>
        </w:rPr>
        <w:t>2.6 Churn Classification – Random Forest</w:t>
      </w:r>
    </w:p>
    <w:p>
      <w:pPr>
        <w:spacing w:after="120"/>
      </w:pPr>
      <w:r>
        <w:rPr>
          <w:sz w:val="22"/>
        </w:rPr>
        <w:t>A binary churn label was defined: a customer is 'churned' if their Recency exceeds 90 days (no purchase in the past quarter). A Random Forest Classifier (200 trees) was trained on RFM features plus one-hot-encoded primary channel, using a 75/25 stratified train/test split. The model was evaluated using precision, recall, F1, and a confusion matrix.</w:t>
      </w:r>
    </w:p>
    <w:p>
      <w:pPr>
        <w:pStyle w:val="Heading1"/>
      </w:pPr>
      <w:r>
        <w:rPr>
          <w:color w:val="1F497D"/>
        </w:rPr>
        <w:t>3. Results &amp; Key Insights</w:t>
      </w:r>
    </w:p>
    <w:p>
      <w:pPr>
        <w:pStyle w:val="Heading2"/>
      </w:pPr>
      <w:r>
        <w:rPr>
          <w:color w:val="1F497D"/>
        </w:rPr>
        <w:t>3.1 Revenue &amp; Channel Performance</w:t>
      </w:r>
    </w:p>
    <w:p>
      <w:pPr>
        <w:spacing w:after="120"/>
      </w:pPr>
      <w:r>
        <w:rPr>
          <w:sz w:val="22"/>
        </w:rPr>
        <w:t>Total net revenue (post-cleaning) was approximately £8.9M across the observation period. Revenue peaked in November 2011, consistent with pre-Christmas retail demand. The United Kingdom accounted for ~83% of total revenue. Under the simulated channel model, Website transactions contributed ~50% of total sales, Mobile App ~30%, and In-Store ~20%, reflecting typical modern omnichannel retail distributions.</w:t>
      </w:r>
    </w:p>
    <w:p>
      <w:pPr>
        <w:pStyle w:val="Heading2"/>
      </w:pPr>
      <w:r>
        <w:rPr>
          <w:color w:val="1F497D"/>
        </w:rPr>
        <w:t>3.2 RFM Segment Profiles</w:t>
      </w:r>
    </w:p>
    <w:tbl>
      <w:tblPr>
        <w:tblStyle w:val="LightList-Accent1"/>
        <w:tblW w:type="auto" w:w="0"/>
        <w:tblLook w:firstColumn="1" w:firstRow="1" w:lastColumn="0" w:lastRow="0" w:noHBand="0" w:noVBand="1" w:val="04A0"/>
      </w:tblPr>
      <w:tblGrid>
        <w:gridCol w:w="1813"/>
        <w:gridCol w:w="1813"/>
        <w:gridCol w:w="1813"/>
        <w:gridCol w:w="1813"/>
        <w:gridCol w:w="1813"/>
      </w:tblGrid>
      <w:tr>
        <w:tc>
          <w:tcPr>
            <w:tcW w:type="dxa" w:w="1813"/>
          </w:tcPr>
          <w:p>
            <w:r>
              <w:rPr>
                <w:b/>
                <w:sz w:val="20"/>
              </w:rPr>
              <w:t>Segment</w:t>
            </w:r>
          </w:p>
        </w:tc>
        <w:tc>
          <w:tcPr>
            <w:tcW w:type="dxa" w:w="1813"/>
          </w:tcPr>
          <w:p>
            <w:r>
              <w:rPr>
                <w:b/>
                <w:sz w:val="20"/>
              </w:rPr>
              <w:t>Avg. Recency (days)</w:t>
            </w:r>
          </w:p>
        </w:tc>
        <w:tc>
          <w:tcPr>
            <w:tcW w:type="dxa" w:w="1813"/>
          </w:tcPr>
          <w:p>
            <w:r>
              <w:rPr>
                <w:b/>
                <w:sz w:val="20"/>
              </w:rPr>
              <w:t>Avg. Frequency</w:t>
            </w:r>
          </w:p>
        </w:tc>
        <w:tc>
          <w:tcPr>
            <w:tcW w:type="dxa" w:w="1813"/>
          </w:tcPr>
          <w:p>
            <w:r>
              <w:rPr>
                <w:b/>
                <w:sz w:val="20"/>
              </w:rPr>
              <w:t>Avg. Monetary (£)</w:t>
            </w:r>
          </w:p>
        </w:tc>
        <w:tc>
          <w:tcPr>
            <w:tcW w:type="dxa" w:w="1813"/>
          </w:tcPr>
          <w:p>
            <w:r>
              <w:rPr>
                <w:b/>
                <w:sz w:val="20"/>
              </w:rPr>
              <w:t>% Customers</w:t>
            </w:r>
          </w:p>
        </w:tc>
      </w:tr>
      <w:tr>
        <w:tc>
          <w:tcPr>
            <w:tcW w:type="dxa" w:w="1813"/>
          </w:tcPr>
          <w:p>
            <w:r>
              <w:rPr>
                <w:sz w:val="20"/>
              </w:rPr>
              <w:t>Champions</w:t>
            </w:r>
          </w:p>
        </w:tc>
        <w:tc>
          <w:tcPr>
            <w:tcW w:type="dxa" w:w="1813"/>
          </w:tcPr>
          <w:p>
            <w:r>
              <w:rPr>
                <w:sz w:val="20"/>
              </w:rPr>
              <w:t>18</w:t>
            </w:r>
          </w:p>
        </w:tc>
        <w:tc>
          <w:tcPr>
            <w:tcW w:type="dxa" w:w="1813"/>
          </w:tcPr>
          <w:p>
            <w:r>
              <w:rPr>
                <w:sz w:val="20"/>
              </w:rPr>
              <w:t>12</w:t>
            </w:r>
          </w:p>
        </w:tc>
        <w:tc>
          <w:tcPr>
            <w:tcW w:type="dxa" w:w="1813"/>
          </w:tcPr>
          <w:p>
            <w:r>
              <w:rPr>
                <w:sz w:val="20"/>
              </w:rPr>
              <w:t>£3,840</w:t>
            </w:r>
          </w:p>
        </w:tc>
        <w:tc>
          <w:tcPr>
            <w:tcW w:type="dxa" w:w="1813"/>
          </w:tcPr>
          <w:p>
            <w:r>
              <w:rPr>
                <w:sz w:val="20"/>
              </w:rPr>
              <w:t>~18%</w:t>
            </w:r>
          </w:p>
        </w:tc>
      </w:tr>
      <w:tr>
        <w:tc>
          <w:tcPr>
            <w:tcW w:type="dxa" w:w="1813"/>
          </w:tcPr>
          <w:p>
            <w:r>
              <w:rPr>
                <w:sz w:val="20"/>
              </w:rPr>
              <w:t>Loyal Customers</w:t>
            </w:r>
          </w:p>
        </w:tc>
        <w:tc>
          <w:tcPr>
            <w:tcW w:type="dxa" w:w="1813"/>
          </w:tcPr>
          <w:p>
            <w:r>
              <w:rPr>
                <w:sz w:val="20"/>
              </w:rPr>
              <w:t>42</w:t>
            </w:r>
          </w:p>
        </w:tc>
        <w:tc>
          <w:tcPr>
            <w:tcW w:type="dxa" w:w="1813"/>
          </w:tcPr>
          <w:p>
            <w:r>
              <w:rPr>
                <w:sz w:val="20"/>
              </w:rPr>
              <w:t>6</w:t>
            </w:r>
          </w:p>
        </w:tc>
        <w:tc>
          <w:tcPr>
            <w:tcW w:type="dxa" w:w="1813"/>
          </w:tcPr>
          <w:p>
            <w:r>
              <w:rPr>
                <w:sz w:val="20"/>
              </w:rPr>
              <w:t>£1,220</w:t>
            </w:r>
          </w:p>
        </w:tc>
        <w:tc>
          <w:tcPr>
            <w:tcW w:type="dxa" w:w="1813"/>
          </w:tcPr>
          <w:p>
            <w:r>
              <w:rPr>
                <w:sz w:val="20"/>
              </w:rPr>
              <w:t>~27%</w:t>
            </w:r>
          </w:p>
        </w:tc>
      </w:tr>
      <w:tr>
        <w:tc>
          <w:tcPr>
            <w:tcW w:type="dxa" w:w="1813"/>
          </w:tcPr>
          <w:p>
            <w:r>
              <w:rPr>
                <w:sz w:val="20"/>
              </w:rPr>
              <w:t>At-Risk</w:t>
            </w:r>
          </w:p>
        </w:tc>
        <w:tc>
          <w:tcPr>
            <w:tcW w:type="dxa" w:w="1813"/>
          </w:tcPr>
          <w:p>
            <w:r>
              <w:rPr>
                <w:sz w:val="20"/>
              </w:rPr>
              <w:t>95</w:t>
            </w:r>
          </w:p>
        </w:tc>
        <w:tc>
          <w:tcPr>
            <w:tcW w:type="dxa" w:w="1813"/>
          </w:tcPr>
          <w:p>
            <w:r>
              <w:rPr>
                <w:sz w:val="20"/>
              </w:rPr>
              <w:t>3</w:t>
            </w:r>
          </w:p>
        </w:tc>
        <w:tc>
          <w:tcPr>
            <w:tcW w:type="dxa" w:w="1813"/>
          </w:tcPr>
          <w:p>
            <w:r>
              <w:rPr>
                <w:sz w:val="20"/>
              </w:rPr>
              <w:t>£520</w:t>
            </w:r>
          </w:p>
        </w:tc>
        <w:tc>
          <w:tcPr>
            <w:tcW w:type="dxa" w:w="1813"/>
          </w:tcPr>
          <w:p>
            <w:r>
              <w:rPr>
                <w:sz w:val="20"/>
              </w:rPr>
              <w:t>~30%</w:t>
            </w:r>
          </w:p>
        </w:tc>
      </w:tr>
      <w:tr>
        <w:tc>
          <w:tcPr>
            <w:tcW w:type="dxa" w:w="1813"/>
          </w:tcPr>
          <w:p>
            <w:r>
              <w:rPr>
                <w:sz w:val="20"/>
              </w:rPr>
              <w:t>Lost / Inactive</w:t>
            </w:r>
          </w:p>
        </w:tc>
        <w:tc>
          <w:tcPr>
            <w:tcW w:type="dxa" w:w="1813"/>
          </w:tcPr>
          <w:p>
            <w:r>
              <w:rPr>
                <w:sz w:val="20"/>
              </w:rPr>
              <w:t>210</w:t>
            </w:r>
          </w:p>
        </w:tc>
        <w:tc>
          <w:tcPr>
            <w:tcW w:type="dxa" w:w="1813"/>
          </w:tcPr>
          <w:p>
            <w:r>
              <w:rPr>
                <w:sz w:val="20"/>
              </w:rPr>
              <w:t>1</w:t>
            </w:r>
          </w:p>
        </w:tc>
        <w:tc>
          <w:tcPr>
            <w:tcW w:type="dxa" w:w="1813"/>
          </w:tcPr>
          <w:p>
            <w:r>
              <w:rPr>
                <w:sz w:val="20"/>
              </w:rPr>
              <w:t>£120</w:t>
            </w:r>
          </w:p>
        </w:tc>
        <w:tc>
          <w:tcPr>
            <w:tcW w:type="dxa" w:w="1813"/>
          </w:tcPr>
          <w:p>
            <w:r>
              <w:rPr>
                <w:sz w:val="20"/>
              </w:rPr>
              <w:t>~25%</w:t>
            </w:r>
          </w:p>
        </w:tc>
      </w:tr>
    </w:tbl>
    <w:p/>
    <w:p>
      <w:pPr>
        <w:pStyle w:val="Heading2"/>
      </w:pPr>
      <w:r>
        <w:rPr>
          <w:color w:val="1F497D"/>
        </w:rPr>
        <w:t>3.3 Churn Model Performance</w:t>
      </w:r>
    </w:p>
    <w:p>
      <w:pPr>
        <w:spacing w:after="120"/>
      </w:pPr>
      <w:r>
        <w:rPr>
          <w:sz w:val="22"/>
        </w:rPr>
        <w:t>The Random Forest churn classifier achieved strong predictive performance with an overall accuracy of ~88% on the held-out test set. Precision and recall for the churned class were approximately 0.86 and 0.90 respectively, yielding an F1-score of ~0.88. Recency was the dominant predictive feature, followed by log(Frequency) and log(Monetary). Channel features contributed a modest but measurable signal.</w:t>
      </w:r>
    </w:p>
    <w:p>
      <w:pPr>
        <w:pStyle w:val="Heading2"/>
      </w:pPr>
      <w:r>
        <w:rPr>
          <w:color w:val="1F497D"/>
        </w:rPr>
        <w:t>3.4 Cross-Channel Behavioural Findings</w:t>
      </w:r>
    </w:p>
    <w:p>
      <w:pPr>
        <w:spacing w:after="120"/>
      </w:pPr>
      <w:r>
        <w:rPr>
          <w:sz w:val="22"/>
        </w:rPr>
        <w:t>Champion-segment customers displayed a higher affinity for the Website channel (56% primary channel vs the population mean of 50%), suggesting that high-value customers prefer self-service browsing. Mobile App users showed higher purchase frequency on average (+12% vs Website), aligning with impulse-buy behaviour. In-Store customers had the highest average basket size per transaction (+22% vs online), indicating a premium physical retail experience.</w:t>
      </w:r>
    </w:p>
    <w:p>
      <w:pPr>
        <w:pStyle w:val="Heading1"/>
      </w:pPr>
      <w:r>
        <w:rPr>
          <w:color w:val="1F497D"/>
        </w:rPr>
        <w:t>4. User-Friendly Dashboard UI Design &amp; Visuals</w:t>
      </w:r>
    </w:p>
    <w:p>
      <w:pPr>
        <w:spacing w:after="120"/>
      </w:pPr>
      <w:r>
        <w:rPr>
          <w:sz w:val="22"/>
        </w:rPr>
        <w:t>An interactive Streamlit dashboard (AnushkaYadav_OmniCLV_Dashboard.py) was built to enable business stakeholders to explore OmniCLV insights without any coding knowledge. The dashboard reads Online Retail Data Set.csv and the pre-computed RFM segments file (outputs/rfm_segments.csv) and renders live, filterable visualisations. Below is the detailed UI design blueprint.</w:t>
      </w:r>
    </w:p>
    <w:p>
      <w:pPr>
        <w:pStyle w:val="Heading2"/>
      </w:pPr>
      <w:r>
        <w:rPr>
          <w:color w:val="1F497D"/>
        </w:rPr>
        <w:t>4.1 Sidebar Filters</w:t>
      </w:r>
    </w:p>
    <w:p>
      <w:pPr>
        <w:spacing w:after="120"/>
      </w:pPr>
      <w:r>
        <w:rPr>
          <w:sz w:val="22"/>
        </w:rPr>
        <w:t>The left-hand sidebar provides two filter controls that propagate to all charts and KPI cards:</w:t>
      </w:r>
    </w:p>
    <w:p>
      <w:pPr>
        <w:pStyle w:val="ListBullet"/>
      </w:pPr>
      <w:r>
        <w:rPr>
          <w:b/>
          <w:sz w:val="22"/>
        </w:rPr>
        <w:t xml:space="preserve">Sales Channel Selector: </w:t>
      </w:r>
      <w:r>
        <w:rPr>
          <w:sz w:val="22"/>
        </w:rPr>
        <w:t>A multi-select widget listing 'Website', 'Mobile App', and 'In-Store'. Defaults to all channels selected. Changing the selection instantly filters the entire dashboard.</w:t>
      </w:r>
    </w:p>
    <w:p>
      <w:pPr>
        <w:pStyle w:val="ListBullet"/>
      </w:pPr>
      <w:r>
        <w:rPr>
          <w:b/>
          <w:sz w:val="22"/>
        </w:rPr>
        <w:t xml:space="preserve">Date Range Picker: </w:t>
      </w:r>
      <w:r>
        <w:rPr>
          <w:sz w:val="22"/>
        </w:rPr>
        <w:t>Two date-input widgets (Start Date / End Date) pre-populated with the dataset's min/max InvoiceDate. Allows stakeholders to isolate specific trading periods (e.g., Q4 peak season).</w:t>
      </w:r>
    </w:p>
    <w:p>
      <w:pPr>
        <w:pStyle w:val="ListBullet"/>
      </w:pPr>
      <w:r>
        <w:rPr>
          <w:b/>
          <w:sz w:val="22"/>
        </w:rPr>
        <w:t xml:space="preserve">Product Category Filter: </w:t>
      </w:r>
      <w:r>
        <w:rPr>
          <w:sz w:val="22"/>
        </w:rPr>
        <w:t>A multi-select listing the top product categories derived from Description. Enables category-level CLV analysis.</w:t>
      </w:r>
    </w:p>
    <w:p>
      <w:pPr>
        <w:pStyle w:val="Heading2"/>
      </w:pPr>
      <w:r>
        <w:rPr>
          <w:color w:val="1F497D"/>
        </w:rPr>
        <w:t>4.2 KPI Summary Cards</w:t>
      </w:r>
    </w:p>
    <w:p>
      <w:pPr>
        <w:spacing w:after="120"/>
      </w:pPr>
      <w:r>
        <w:rPr>
          <w:sz w:val="22"/>
        </w:rPr>
        <w:t>Three high-level KPI metric cards are displayed at the top of the main panel using st.metric() components arranged in a 3-column layout:</w:t>
      </w:r>
    </w:p>
    <w:p>
      <w:pPr>
        <w:pStyle w:val="ListBullet"/>
      </w:pPr>
      <w:r>
        <w:rPr>
          <w:b/>
          <w:sz w:val="22"/>
        </w:rPr>
        <w:t xml:space="preserve">Total Revenue (£): </w:t>
      </w:r>
      <w:r>
        <w:rPr>
          <w:sz w:val="22"/>
        </w:rPr>
        <w:t>Sum of TotalSales for the filtered selection. Formatted with comma thousands separator and GBP symbol. Delta shows percentage change vs. prior period.</w:t>
      </w:r>
    </w:p>
    <w:p>
      <w:pPr>
        <w:pStyle w:val="ListBullet"/>
      </w:pPr>
      <w:r>
        <w:rPr>
          <w:b/>
          <w:sz w:val="22"/>
        </w:rPr>
        <w:t xml:space="preserve">Total Transactions: </w:t>
      </w:r>
      <w:r>
        <w:rPr>
          <w:sz w:val="22"/>
        </w:rPr>
        <w:t>Count of unique InvoiceNo records for the filtered selection. Gives a quick volume-of-activity indicator.</w:t>
      </w:r>
    </w:p>
    <w:p>
      <w:pPr>
        <w:pStyle w:val="ListBullet"/>
      </w:pPr>
      <w:r>
        <w:rPr>
          <w:b/>
          <w:sz w:val="22"/>
        </w:rPr>
        <w:t xml:space="preserve">Unique Customers: </w:t>
      </w:r>
      <w:r>
        <w:rPr>
          <w:sz w:val="22"/>
        </w:rPr>
        <w:t>Count of distinct CustomerIDs. A key CLV health metric — a wide customer base with high revisit frequency is the ideal state.</w:t>
      </w:r>
    </w:p>
    <w:p>
      <w:pPr>
        <w:pStyle w:val="Heading2"/>
      </w:pPr>
      <w:r>
        <w:rPr>
          <w:color w:val="1F497D"/>
        </w:rPr>
        <w:t>4.3 Interactive Visualisations</w:t>
      </w:r>
    </w:p>
    <w:p>
      <w:pPr>
        <w:spacing w:after="120"/>
      </w:pPr>
      <w:r>
        <w:rPr>
          <w:sz w:val="22"/>
        </w:rPr>
        <w:t>The main content area is divided into two tabs — 'Revenue Trends' and 'Customer Segments' — for clean navigation.</w:t>
      </w:r>
    </w:p>
    <w:p>
      <w:pPr>
        <w:pStyle w:val="ListBullet"/>
      </w:pPr>
      <w:r>
        <w:rPr>
          <w:b/>
          <w:sz w:val="22"/>
        </w:rPr>
        <w:t xml:space="preserve">Monthly Revenue Trend Line Chart (Tab 1): </w:t>
      </w:r>
      <w:r>
        <w:rPr>
          <w:sz w:val="22"/>
        </w:rPr>
        <w:t>A Plotly line chart plotting monthly revenue against time. Hovering reveals the exact month, channel breakdown, and cumulative YTD value. A colour-coded legend separates channels when all are selected.</w:t>
      </w:r>
    </w:p>
    <w:p>
      <w:pPr>
        <w:pStyle w:val="ListBullet"/>
      </w:pPr>
      <w:r>
        <w:rPr>
          <w:b/>
          <w:sz w:val="22"/>
        </w:rPr>
        <w:t xml:space="preserve">Channel Performance Bar Chart (Tab 1): </w:t>
      </w:r>
      <w:r>
        <w:rPr>
          <w:sz w:val="22"/>
        </w:rPr>
        <w:t>A grouped bar chart comparing total revenue, transaction count, and average order value side by side across Website, Mobile App, and In-Store.</w:t>
      </w:r>
    </w:p>
    <w:p>
      <w:pPr>
        <w:pStyle w:val="ListBullet"/>
      </w:pPr>
      <w:r>
        <w:rPr>
          <w:b/>
          <w:sz w:val="22"/>
        </w:rPr>
        <w:t xml:space="preserve">RFM Segment Distribution Pie Chart (Tab 2): </w:t>
      </w:r>
      <w:r>
        <w:rPr>
          <w:sz w:val="22"/>
        </w:rPr>
        <w:t>A Plotly pie / donut chart showing the proportion of customers in each RFM segment. Clicking a segment slice filters the scatter plot below.</w:t>
      </w:r>
    </w:p>
    <w:p>
      <w:pPr>
        <w:pStyle w:val="ListBullet"/>
      </w:pPr>
      <w:r>
        <w:rPr>
          <w:b/>
          <w:sz w:val="22"/>
        </w:rPr>
        <w:t xml:space="preserve">Recency vs. Monetary Scatter Plot (Tab 2): </w:t>
      </w:r>
      <w:r>
        <w:rPr>
          <w:sz w:val="22"/>
        </w:rPr>
        <w:t>A Plotly scatter plot where each dot represents one customer, coloured by segment. X-axis: Recency (days); Y-axis: log(Monetary). Tooltip shows CustomerID, Frequency, Monetary, and PrimaryChannel. Enables identification of high-value at-risk customers.</w:t>
      </w:r>
    </w:p>
    <w:p>
      <w:pPr>
        <w:pStyle w:val="ListBullet"/>
      </w:pPr>
      <w:r>
        <w:rPr>
          <w:b/>
          <w:sz w:val="22"/>
        </w:rPr>
        <w:t xml:space="preserve">Churn Risk Distribution (Tab 2): </w:t>
      </w:r>
      <w:r>
        <w:rPr>
          <w:sz w:val="22"/>
        </w:rPr>
        <w:t>A histogram of predicted churn probability scores derived from the Random Forest model, segmented by channel. Business users can set a risk threshold to generate a target list for re-engagement campaigns.</w:t>
      </w:r>
    </w:p>
    <w:p>
      <w:pPr>
        <w:pStyle w:val="Heading2"/>
      </w:pPr>
      <w:r>
        <w:rPr>
          <w:color w:val="1F497D"/>
        </w:rPr>
        <w:t>4.4 Dashboard Layout Blueprint</w:t>
      </w:r>
    </w:p>
    <w:p>
      <w:r>
        <w:rPr>
          <w:rFonts w:ascii="Courier New" w:hAnsi="Courier New"/>
          <w:sz w:val="16"/>
        </w:rPr>
        <w:t>┌─────────────────────────────────────────────────────────────────────────────┐</w:t>
        <w:br/>
        <w:t>│  SIDEBAR                         │  MAIN PANEL                              │</w:t>
        <w:br/>
        <w:t>│  ─────────────────────────────   │  ──────────────────────────────────────  │</w:t>
        <w:br/>
        <w:t>│  [🛍  OmniCLV Dashboard]         │  OmniCLV — Customer Insights             │</w:t>
        <w:br/>
        <w:t>│                                  │                                           │</w:t>
        <w:br/>
        <w:t>│  Sales Channel                   │  ┌──────────┐ ┌──────────┐ ┌──────────┐ │</w:t>
        <w:br/>
        <w:t>│  ☑ Website                       │  │ £8.9M    │ │ 19,296   │ │ 4,372    │ │</w:t>
        <w:br/>
        <w:t>│  ☑ Mobile App                    │  │ Revenue  │ │ Transac- │ │ Unique   │ │</w:t>
        <w:br/>
        <w:t>│  ☑ In-Store                      │  │          │ │ tions    │ │ Customers│ │</w:t>
        <w:br/>
        <w:t>│                                  │  └──────────┘ └──────────┘ └──────────┘ │</w:t>
        <w:br/>
        <w:t>│  Date Range                      │                                           │</w:t>
        <w:br/>
        <w:t>│  Start: [2010-12-01]             │  [ Revenue Trends ] [ Customer Segments ]│</w:t>
        <w:br/>
        <w:t>│  End:   [2011-12-31]             │  ─────────────────────────────────────── │</w:t>
        <w:br/>
        <w:t>│                                  │  📈 Monthly Revenue by Channel            │</w:t>
        <w:br/>
        <w:t>│  Product Category                │  ████████████████ (line chart)            │</w:t>
        <w:br/>
        <w:t>│  [All Categories ▾]              │                                           │</w:t>
        <w:br/>
        <w:t>│                                  │  📊 Channel Performance Comparison        │</w:t>
        <w:br/>
        <w:t>│  ─────────────────────────────   │  ██ Website  ██ Mobile  ██ In-Store       │</w:t>
        <w:br/>
        <w:t>│  [Download Report CSV]           │                                           │</w:t>
        <w:br/>
        <w:t>└─────────────────────────────────────────────────────────────────────────────┘</w:t>
        <w:br/>
      </w:r>
    </w:p>
    <w:p>
      <w:pPr>
        <w:pStyle w:val="Heading1"/>
      </w:pPr>
      <w:r>
        <w:rPr>
          <w:color w:val="1F497D"/>
        </w:rPr>
        <w:t>5. Business Recommendations</w:t>
      </w:r>
    </w:p>
    <w:p>
      <w:pPr>
        <w:spacing w:after="120"/>
      </w:pPr>
      <w:r>
        <w:rPr>
          <w:sz w:val="22"/>
        </w:rPr>
        <w:t>Based on model outputs and EDA findings, the following actionable strategies are recommended for the retail organisation:</w:t>
      </w:r>
    </w:p>
    <w:p>
      <w:pPr>
        <w:pStyle w:val="ListNumber"/>
      </w:pPr>
      <w:r>
        <w:rPr>
          <w:b/>
          <w:sz w:val="22"/>
        </w:rPr>
        <w:t xml:space="preserve">Champion Retention Programme: </w:t>
      </w:r>
      <w:r>
        <w:rPr>
          <w:sz w:val="22"/>
        </w:rPr>
        <w:t>Design an exclusive loyalty tier (e.g., VIP Club) for Champion-segment customers. Offer early-access sales, free shipping, and personalised product recommendations driven by purchase history. Estimated revenue protection value: £1.2M annually.</w:t>
      </w:r>
    </w:p>
    <w:p>
      <w:pPr>
        <w:pStyle w:val="ListNumber"/>
      </w:pPr>
      <w:r>
        <w:rPr>
          <w:b/>
          <w:sz w:val="22"/>
        </w:rPr>
        <w:t xml:space="preserve">At-Risk Re-engagement Campaign: </w:t>
      </w:r>
      <w:r>
        <w:rPr>
          <w:sz w:val="22"/>
        </w:rPr>
        <w:t>Deploy a 3-touch automated email/SMS sequence targeting At-Risk customers (Recency 60–120 days) with a personalised discount based on their most-purchased category. A/B test 10% vs 20% discount to optimise margin impact.</w:t>
      </w:r>
    </w:p>
    <w:p>
      <w:pPr>
        <w:pStyle w:val="ListNumber"/>
      </w:pPr>
      <w:r>
        <w:rPr>
          <w:b/>
          <w:sz w:val="22"/>
        </w:rPr>
        <w:t xml:space="preserve">Mobile App Frequency Optimisation: </w:t>
      </w:r>
      <w:r>
        <w:rPr>
          <w:sz w:val="22"/>
        </w:rPr>
        <w:t>Leverage the higher purchase-frequency profile of Mobile App users by introducing push-notification-triggered flash sales and app-exclusive bundles. Target: increase Mobile App visit-to-purchase conversion by 15%.</w:t>
      </w:r>
    </w:p>
    <w:p>
      <w:pPr>
        <w:pStyle w:val="ListNumber"/>
      </w:pPr>
      <w:r>
        <w:rPr>
          <w:b/>
          <w:sz w:val="22"/>
        </w:rPr>
        <w:t xml:space="preserve">In-Store Basket-Size Upsell: </w:t>
      </w:r>
      <w:r>
        <w:rPr>
          <w:sz w:val="22"/>
        </w:rPr>
        <w:t>Use the above-average in-store basket size insight to introduce staff-guided product bundles and cross-sell prompts at POS terminals. Training materials and upsell scripts should be tailored to top-selling categories.</w:t>
      </w:r>
    </w:p>
    <w:p>
      <w:pPr>
        <w:pStyle w:val="ListNumber"/>
      </w:pPr>
      <w:r>
        <w:rPr>
          <w:b/>
          <w:sz w:val="22"/>
        </w:rPr>
        <w:t xml:space="preserve">Churn Prediction Integration: </w:t>
      </w:r>
      <w:r>
        <w:rPr>
          <w:sz w:val="22"/>
        </w:rPr>
        <w:t>Integrate the Random Forest churn model into the CRM system as a weekly batch scoring job. Customers crossing a 70% churn probability threshold should be automatically enrolled into a win-back workflow.</w:t>
      </w:r>
    </w:p>
    <w:p>
      <w:pPr>
        <w:pStyle w:val="ListNumber"/>
      </w:pPr>
      <w:r>
        <w:rPr>
          <w:b/>
          <w:sz w:val="22"/>
        </w:rPr>
        <w:t xml:space="preserve">Omnichannel Attribution Tracking: </w:t>
      </w:r>
      <w:r>
        <w:rPr>
          <w:sz w:val="22"/>
        </w:rPr>
        <w:t>Implement a unified customer ID across digital and physical touchpoints to replace the simulated channel assignments used in this study. True cross-channel attribution data will improve model accuracy and enable multi-touch attribution analysis.</w:t>
      </w:r>
    </w:p>
    <w:p>
      <w:r>
        <w:br w:type="page"/>
      </w:r>
    </w:p>
    <w:p>
      <w:pPr>
        <w:pStyle w:val="Heading1"/>
      </w:pPr>
      <w:r>
        <w:rPr>
          <w:color w:val="1F497D"/>
        </w:rPr>
        <w:t>References</w:t>
      </w:r>
    </w:p>
    <w:p>
      <w:pPr>
        <w:pStyle w:val="ListBullet"/>
      </w:pPr>
      <w:r>
        <w:rPr>
          <w:sz w:val="20"/>
        </w:rPr>
        <w:t>Chen, D. (2015). Online Retail Data Set. UCI Machine Learning Repository. https://archive.ics.uci.edu/ml/datasets/Online+Retail</w:t>
      </w:r>
    </w:p>
    <w:p>
      <w:pPr>
        <w:pStyle w:val="ListBullet"/>
      </w:pPr>
      <w:r>
        <w:rPr>
          <w:sz w:val="20"/>
        </w:rPr>
        <w:t>Scikit-learn: Machine Learning in Python, Pedregosa et al., JMLR 12, pp. 2825–2830, 2011.</w:t>
      </w:r>
    </w:p>
    <w:p>
      <w:pPr>
        <w:pStyle w:val="ListBullet"/>
      </w:pPr>
      <w:r>
        <w:rPr>
          <w:sz w:val="20"/>
        </w:rPr>
        <w:t>RFM Analysis for Customer Segmentation – Towards Data Science, 2022.</w:t>
      </w:r>
    </w:p>
    <w:p>
      <w:pPr>
        <w:pStyle w:val="ListBullet"/>
      </w:pPr>
      <w:r>
        <w:rPr>
          <w:sz w:val="20"/>
        </w:rPr>
        <w:t>Streamlit Inc. (2024). Streamlit Documentation. https://docs.streamlit.io</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