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StaffSync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Empathy Map Canvas:</w:t>
      </w:r>
    </w:p>
    <w:p w:rsidR="00000000" w:rsidDel="00000000" w:rsidP="00000000" w:rsidRDefault="00000000" w:rsidRPr="00000000" w14:paraId="0000000E">
      <w:pPr>
        <w:spacing w:after="240" w:before="240" w:line="259" w:lineRule="auto"/>
        <w:jc w:val="both"/>
        <w:rPr>
          <w:rFonts w:ascii="Calibri" w:cs="Calibri" w:eastAsia="Calibri" w:hAnsi="Calibri"/>
          <w:color w:val="2a2a2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a2a2a"/>
          <w:sz w:val="24"/>
          <w:szCs w:val="24"/>
          <w:rtl w:val="0"/>
        </w:rPr>
        <w:t xml:space="preserve">Understand the needs, frustrations, and behaviors of HR personnel, managers and employees seeking efficient, transparent HR processes through a platform like StaffSync.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178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/>
      </w:r>
      <w:r w:rsidDel="00000000" w:rsidR="00000000" w:rsidRPr="00000000">
        <w:rPr>
          <w:rFonts w:ascii="Calibri" w:cs="Calibri" w:eastAsia="Calibri" w:hAnsi="Calibri"/>
          <w:color w:val="2a2a2a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alibri" w:cs="Calibri" w:eastAsia="Calibri" w:hAnsi="Calibri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https://www.mural.co/templates/empathy-map-canvas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mural.co/templates/empathy-map-canv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