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27-10-2026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StaffSync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The solution architecture for </w:t>
      </w:r>
      <w:r>
        <w:rPr>
          <w:b w:val="1"/>
          <w:sz w:val="24"/>
          <w:szCs w:val="24"/>
          <w:rtl w:val="0"/>
        </w:rPr>
        <w:t xml:space="preserve">StaffSync</w:t>
      </w:r>
      <w:r>
        <w:rPr>
          <w:sz w:val="24"/>
          <w:szCs w:val="24"/>
          <w:rtl w:val="0"/>
        </w:rPr>
        <w:t xml:space="preserve"> ensures a robust, user-friendly, and scalable human resource management platform built on the MERN stack (MongoDB, Express.js, React.js, Node.js). The architecture follows the MVC pattern and focuses on role-based access for HR, Managers and Employees, secure JWT authentication, real-time Indian Standard Time (IST) attendance logging, and India-localized formatting (INR ₹) to ensure smooth HR workflows and high user satisfaction.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Role-based portals and dashboards for HR, Managers and Employees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Employee directory, IST attendance, and end-to-end leave approval workflow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Secure JWT authentication with bcrypt hashing and checkRole RBAC middleware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Targeted announcements and training program scheduling with trainee assignment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Scalable REST API with MongoDB (Mongoose) and seeded demo accounts</w:t>
      </w:r>
    </w:p>
    <w:p w:rsidR="00000000" w:rsidDel="00000000" w:rsidP="00000000" w:rsidRDefault="00000000" w:rsidRPr="00000000" w14:paraId="00000014">
      <w:pPr>
        <w:shd w:fill="ffffff" w:val="clear"/>
        <w:spacing w:after="150" w:line="240" w:lineRule="auto"/>
        <w:ind w:left="720" w:firstLine="0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  <w:b w:val="1"/>
        </w:rPr>
      </w:pPr>
      <w:r>
        <w:rPr>
          <w:b w:val="1"/>
          <w:sz w:val="24"/>
          <w:szCs w:val="24"/>
          <w:rtl w:val="0"/>
        </w:rPr>
        <w:t xml:space="preserve">Example - Solution Architecture Diagram</w:t>
      </w:r>
      <w:r>
        <w:rPr>
          <w:rFonts w:ascii="Calibri" w:cs="Calibri" w:eastAsia="Calibri" w:hAnsi="Calibri"/>
          <w:b w:val="1"/>
          <w:rtl w:val="0"/>
        </w:rPr>
        <w:t xml:space="preserve">: </w:t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5529"/>
        </w:tabs>
        <w:spacing w:after="160" w:line="259" w:lineRule="auto"/>
        <w:rPr>
          <w:rFonts w:ascii="Calibri" w:cs="Calibri" w:eastAsia="Calibri" w:hAnsi="Calibri"/>
          <w:b w:val="1"/>
        </w:rPr>
      </w:pPr>
      <w:r>
        <w:rPr>
          <w:rFonts w:ascii="Calibri" w:cs="Calibri" w:eastAsia="Calibri" w:hAnsi="Calibri"/>
        </w:rPr>
        <w:drawing>
          <wp:inline distB="114300" distT="114300" distL="114300" distR="114300">
            <wp:extent cx="5731200" cy="572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Calibri" w:cs="Calibri" w:eastAsia="Calibri" w:hAnsi="Calibri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Calibri" w:cs="Calibri" w:eastAsia="Calibri" w:hAnsi="Calibri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