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0ADA" w:rsidRPr="008A0ADA" w:rsidRDefault="008A0ADA" w:rsidP="008A0ADA">
      <w:pPr>
        <w:spacing w:after="0" w:line="366" w:lineRule="atLeast"/>
        <w:textAlignment w:val="baseline"/>
        <w:rPr>
          <w:rFonts w:ascii="Georgia" w:eastAsia="Times New Roman" w:hAnsi="Georgia" w:cs="Times New Roman"/>
          <w:color w:val="505050"/>
          <w:sz w:val="28"/>
          <w:szCs w:val="28"/>
        </w:rPr>
      </w:pPr>
      <w:r w:rsidRPr="008A0ADA">
        <w:rPr>
          <w:rFonts w:ascii="Georgia" w:eastAsia="Times New Roman" w:hAnsi="Georgia" w:cs="Times New Roman"/>
          <w:b/>
          <w:bCs/>
          <w:color w:val="505050"/>
          <w:sz w:val="28"/>
        </w:rPr>
        <w:t>Food Waste: Challenges and Opportunity for the Emerging Bio-Economy</w:t>
      </w:r>
    </w:p>
    <w:p w:rsidR="008A0ADA" w:rsidRPr="008A0ADA" w:rsidRDefault="008A0ADA" w:rsidP="008A0ADA">
      <w:pPr>
        <w:spacing w:after="0" w:line="366" w:lineRule="atLeast"/>
        <w:textAlignment w:val="baseline"/>
        <w:rPr>
          <w:rFonts w:ascii="Georgia" w:eastAsia="Times New Roman" w:hAnsi="Georgia" w:cs="Times New Roman"/>
          <w:color w:val="505050"/>
          <w:sz w:val="28"/>
          <w:szCs w:val="28"/>
        </w:rPr>
      </w:pPr>
      <w:r w:rsidRPr="008A0ADA">
        <w:rPr>
          <w:rFonts w:ascii="Georgia" w:eastAsia="Times New Roman" w:hAnsi="Georgia" w:cs="Times New Roman"/>
          <w:b/>
          <w:bCs/>
          <w:color w:val="505050"/>
          <w:sz w:val="28"/>
        </w:rPr>
        <w:t>Guest Editorial Board:</w:t>
      </w:r>
    </w:p>
    <w:p w:rsidR="008A0ADA" w:rsidRPr="008A0ADA" w:rsidRDefault="008A0ADA" w:rsidP="008A0ADA">
      <w:pPr>
        <w:spacing w:after="0" w:line="366" w:lineRule="atLeast"/>
        <w:textAlignment w:val="baseline"/>
        <w:rPr>
          <w:rFonts w:ascii="Georgia" w:eastAsia="Times New Roman" w:hAnsi="Georgia" w:cs="Times New Roman"/>
          <w:color w:val="505050"/>
          <w:sz w:val="28"/>
          <w:szCs w:val="28"/>
        </w:rPr>
      </w:pPr>
      <w:proofErr w:type="gramStart"/>
      <w:r w:rsidRPr="008A0ADA">
        <w:rPr>
          <w:rFonts w:ascii="Georgia" w:eastAsia="Times New Roman" w:hAnsi="Georgia" w:cs="Times New Roman"/>
          <w:i/>
          <w:iCs/>
          <w:color w:val="505050"/>
          <w:sz w:val="28"/>
        </w:rPr>
        <w:t>Managing Guest Editors:</w:t>
      </w:r>
      <w:r w:rsidRPr="008A0ADA">
        <w:rPr>
          <w:rFonts w:ascii="Georgia" w:eastAsia="Times New Roman" w:hAnsi="Georgia" w:cs="Times New Roman"/>
          <w:color w:val="505050"/>
          <w:sz w:val="28"/>
          <w:szCs w:val="28"/>
        </w:rPr>
        <w:t> </w:t>
      </w:r>
      <w:proofErr w:type="spellStart"/>
      <w:r w:rsidRPr="008A0ADA">
        <w:rPr>
          <w:rFonts w:ascii="Georgia" w:eastAsia="Times New Roman" w:hAnsi="Georgia" w:cs="Times New Roman"/>
          <w:b/>
          <w:bCs/>
          <w:color w:val="505050"/>
          <w:sz w:val="28"/>
        </w:rPr>
        <w:t>Piergiuseppe</w:t>
      </w:r>
      <w:proofErr w:type="spellEnd"/>
      <w:r w:rsidRPr="008A0ADA">
        <w:rPr>
          <w:rFonts w:ascii="Georgia" w:eastAsia="Times New Roman" w:hAnsi="Georgia" w:cs="Times New Roman"/>
          <w:b/>
          <w:bCs/>
          <w:color w:val="505050"/>
          <w:sz w:val="28"/>
        </w:rPr>
        <w:t xml:space="preserve"> </w:t>
      </w:r>
      <w:proofErr w:type="spellStart"/>
      <w:r w:rsidRPr="008A0ADA">
        <w:rPr>
          <w:rFonts w:ascii="Georgia" w:eastAsia="Times New Roman" w:hAnsi="Georgia" w:cs="Times New Roman"/>
          <w:b/>
          <w:bCs/>
          <w:color w:val="505050"/>
          <w:sz w:val="28"/>
        </w:rPr>
        <w:t>Morone</w:t>
      </w:r>
      <w:proofErr w:type="spellEnd"/>
      <w:r w:rsidRPr="008A0ADA">
        <w:rPr>
          <w:rFonts w:ascii="Georgia" w:eastAsia="Times New Roman" w:hAnsi="Georgia" w:cs="Times New Roman"/>
          <w:color w:val="505050"/>
          <w:sz w:val="28"/>
          <w:szCs w:val="28"/>
        </w:rPr>
        <w:t> (</w:t>
      </w:r>
      <w:proofErr w:type="spellStart"/>
      <w:r w:rsidRPr="008A0ADA">
        <w:rPr>
          <w:rFonts w:ascii="Georgia" w:eastAsia="Times New Roman" w:hAnsi="Georgia" w:cs="Times New Roman"/>
          <w:color w:val="505050"/>
          <w:sz w:val="28"/>
          <w:szCs w:val="28"/>
        </w:rPr>
        <w:t>Unitelma-Sapienza</w:t>
      </w:r>
      <w:proofErr w:type="spellEnd"/>
      <w:r w:rsidRPr="008A0ADA">
        <w:rPr>
          <w:rFonts w:ascii="Georgia" w:eastAsia="Times New Roman" w:hAnsi="Georgia" w:cs="Times New Roman"/>
          <w:color w:val="505050"/>
          <w:sz w:val="28"/>
          <w:szCs w:val="28"/>
        </w:rPr>
        <w:t>, University of Rome.</w:t>
      </w:r>
      <w:proofErr w:type="gramEnd"/>
      <w:r w:rsidRPr="008A0ADA">
        <w:rPr>
          <w:rFonts w:ascii="Georgia" w:eastAsia="Times New Roman" w:hAnsi="Georgia" w:cs="Times New Roman"/>
          <w:color w:val="505050"/>
          <w:sz w:val="28"/>
          <w:szCs w:val="28"/>
        </w:rPr>
        <w:t xml:space="preserve"> </w:t>
      </w:r>
      <w:proofErr w:type="spellStart"/>
      <w:r w:rsidRPr="008A0ADA">
        <w:rPr>
          <w:rFonts w:ascii="Georgia" w:eastAsia="Times New Roman" w:hAnsi="Georgia" w:cs="Times New Roman"/>
          <w:color w:val="505050"/>
          <w:sz w:val="28"/>
          <w:szCs w:val="28"/>
        </w:rPr>
        <w:t>Viale</w:t>
      </w:r>
      <w:proofErr w:type="spellEnd"/>
      <w:r w:rsidRPr="008A0ADA">
        <w:rPr>
          <w:rFonts w:ascii="Georgia" w:eastAsia="Times New Roman" w:hAnsi="Georgia" w:cs="Times New Roman"/>
          <w:color w:val="505050"/>
          <w:sz w:val="28"/>
          <w:szCs w:val="28"/>
        </w:rPr>
        <w:t xml:space="preserve"> Regina Elena 295, 00161 - Rome, Italy), </w:t>
      </w:r>
      <w:proofErr w:type="spellStart"/>
      <w:r w:rsidRPr="008A0ADA">
        <w:rPr>
          <w:rFonts w:ascii="Georgia" w:eastAsia="Times New Roman" w:hAnsi="Georgia" w:cs="Times New Roman"/>
          <w:b/>
          <w:bCs/>
          <w:color w:val="505050"/>
          <w:sz w:val="28"/>
        </w:rPr>
        <w:t>Apostolis</w:t>
      </w:r>
      <w:proofErr w:type="spellEnd"/>
      <w:r w:rsidRPr="008A0ADA">
        <w:rPr>
          <w:rFonts w:ascii="Georgia" w:eastAsia="Times New Roman" w:hAnsi="Georgia" w:cs="Times New Roman"/>
          <w:b/>
          <w:bCs/>
          <w:color w:val="505050"/>
          <w:sz w:val="28"/>
        </w:rPr>
        <w:t xml:space="preserve"> </w:t>
      </w:r>
      <w:proofErr w:type="spellStart"/>
      <w:r w:rsidRPr="008A0ADA">
        <w:rPr>
          <w:rFonts w:ascii="Georgia" w:eastAsia="Times New Roman" w:hAnsi="Georgia" w:cs="Times New Roman"/>
          <w:b/>
          <w:bCs/>
          <w:color w:val="505050"/>
          <w:sz w:val="28"/>
        </w:rPr>
        <w:t>Koutinas</w:t>
      </w:r>
      <w:proofErr w:type="spellEnd"/>
      <w:r w:rsidRPr="008A0ADA">
        <w:rPr>
          <w:rFonts w:ascii="Georgia" w:eastAsia="Times New Roman" w:hAnsi="Georgia" w:cs="Times New Roman"/>
          <w:color w:val="505050"/>
          <w:sz w:val="28"/>
          <w:szCs w:val="28"/>
        </w:rPr>
        <w:t> (Agricultural University of Athens, Greece), </w:t>
      </w:r>
      <w:r w:rsidRPr="008A0ADA">
        <w:rPr>
          <w:rFonts w:ascii="Georgia" w:eastAsia="Times New Roman" w:hAnsi="Georgia" w:cs="Times New Roman"/>
          <w:b/>
          <w:bCs/>
          <w:color w:val="505050"/>
          <w:sz w:val="28"/>
        </w:rPr>
        <w:t xml:space="preserve">Katie </w:t>
      </w:r>
      <w:proofErr w:type="spellStart"/>
      <w:r w:rsidRPr="008A0ADA">
        <w:rPr>
          <w:rFonts w:ascii="Georgia" w:eastAsia="Times New Roman" w:hAnsi="Georgia" w:cs="Times New Roman"/>
          <w:b/>
          <w:bCs/>
          <w:color w:val="505050"/>
          <w:sz w:val="28"/>
        </w:rPr>
        <w:t>Privett</w:t>
      </w:r>
      <w:proofErr w:type="spellEnd"/>
      <w:r w:rsidRPr="008A0ADA">
        <w:rPr>
          <w:rFonts w:ascii="Georgia" w:eastAsia="Times New Roman" w:hAnsi="Georgia" w:cs="Times New Roman"/>
          <w:color w:val="505050"/>
          <w:sz w:val="28"/>
          <w:szCs w:val="28"/>
        </w:rPr>
        <w:t xml:space="preserve"> (Green Chemistry Centre, Department of Chemistry, University of York, </w:t>
      </w:r>
      <w:proofErr w:type="spellStart"/>
      <w:r w:rsidRPr="008A0ADA">
        <w:rPr>
          <w:rFonts w:ascii="Georgia" w:eastAsia="Times New Roman" w:hAnsi="Georgia" w:cs="Times New Roman"/>
          <w:color w:val="505050"/>
          <w:sz w:val="28"/>
          <w:szCs w:val="28"/>
        </w:rPr>
        <w:t>Heslington</w:t>
      </w:r>
      <w:proofErr w:type="spellEnd"/>
      <w:r w:rsidRPr="008A0ADA">
        <w:rPr>
          <w:rFonts w:ascii="Georgia" w:eastAsia="Times New Roman" w:hAnsi="Georgia" w:cs="Times New Roman"/>
          <w:color w:val="505050"/>
          <w:sz w:val="28"/>
          <w:szCs w:val="28"/>
        </w:rPr>
        <w:t>, York, YO10 5DD, UK)</w:t>
      </w:r>
    </w:p>
    <w:p w:rsidR="008A0ADA" w:rsidRPr="008A0ADA" w:rsidRDefault="008A0ADA" w:rsidP="008A0ADA">
      <w:pPr>
        <w:spacing w:after="0" w:line="366" w:lineRule="atLeast"/>
        <w:textAlignment w:val="baseline"/>
        <w:rPr>
          <w:rFonts w:ascii="Georgia" w:eastAsia="Times New Roman" w:hAnsi="Georgia" w:cs="Times New Roman"/>
          <w:color w:val="505050"/>
          <w:sz w:val="28"/>
          <w:szCs w:val="28"/>
        </w:rPr>
      </w:pPr>
      <w:r w:rsidRPr="008A0ADA">
        <w:rPr>
          <w:rFonts w:ascii="Georgia" w:eastAsia="Times New Roman" w:hAnsi="Georgia" w:cs="Times New Roman"/>
          <w:i/>
          <w:iCs/>
          <w:color w:val="505050"/>
          <w:sz w:val="28"/>
        </w:rPr>
        <w:t>Guest editors:</w:t>
      </w:r>
      <w:r w:rsidRPr="008A0ADA">
        <w:rPr>
          <w:rFonts w:ascii="Georgia" w:eastAsia="Times New Roman" w:hAnsi="Georgia" w:cs="Times New Roman"/>
          <w:color w:val="505050"/>
          <w:sz w:val="28"/>
          <w:szCs w:val="28"/>
        </w:rPr>
        <w:t> </w:t>
      </w:r>
      <w:proofErr w:type="spellStart"/>
      <w:r w:rsidRPr="008A0ADA">
        <w:rPr>
          <w:rFonts w:ascii="Georgia" w:eastAsia="Times New Roman" w:hAnsi="Georgia" w:cs="Times New Roman"/>
          <w:b/>
          <w:bCs/>
          <w:color w:val="505050"/>
          <w:sz w:val="28"/>
        </w:rPr>
        <w:t>Mehrdad</w:t>
      </w:r>
      <w:proofErr w:type="spellEnd"/>
      <w:r w:rsidRPr="008A0ADA">
        <w:rPr>
          <w:rFonts w:ascii="Georgia" w:eastAsia="Times New Roman" w:hAnsi="Georgia" w:cs="Times New Roman"/>
          <w:b/>
          <w:bCs/>
          <w:color w:val="505050"/>
          <w:sz w:val="28"/>
        </w:rPr>
        <w:t xml:space="preserve"> </w:t>
      </w:r>
      <w:proofErr w:type="spellStart"/>
      <w:r w:rsidRPr="008A0ADA">
        <w:rPr>
          <w:rFonts w:ascii="Georgia" w:eastAsia="Times New Roman" w:hAnsi="Georgia" w:cs="Times New Roman"/>
          <w:b/>
          <w:bCs/>
          <w:color w:val="505050"/>
          <w:sz w:val="28"/>
        </w:rPr>
        <w:t>Arshadi</w:t>
      </w:r>
      <w:proofErr w:type="spellEnd"/>
      <w:r w:rsidRPr="008A0ADA">
        <w:rPr>
          <w:rFonts w:ascii="Georgia" w:eastAsia="Times New Roman" w:hAnsi="Georgia" w:cs="Times New Roman"/>
          <w:color w:val="505050"/>
          <w:sz w:val="28"/>
          <w:szCs w:val="28"/>
        </w:rPr>
        <w:t> (Swedish University of Agricultural Sciences, Sweden), </w:t>
      </w:r>
      <w:proofErr w:type="spellStart"/>
      <w:r w:rsidRPr="008A0ADA">
        <w:rPr>
          <w:rFonts w:ascii="Georgia" w:eastAsia="Times New Roman" w:hAnsi="Georgia" w:cs="Times New Roman"/>
          <w:b/>
          <w:bCs/>
          <w:color w:val="505050"/>
          <w:sz w:val="28"/>
        </w:rPr>
        <w:t>Marija</w:t>
      </w:r>
      <w:proofErr w:type="spellEnd"/>
      <w:r w:rsidRPr="008A0ADA">
        <w:rPr>
          <w:rFonts w:ascii="Georgia" w:eastAsia="Times New Roman" w:hAnsi="Georgia" w:cs="Times New Roman"/>
          <w:b/>
          <w:bCs/>
          <w:color w:val="505050"/>
          <w:sz w:val="28"/>
        </w:rPr>
        <w:t xml:space="preserve"> </w:t>
      </w:r>
      <w:proofErr w:type="spellStart"/>
      <w:r w:rsidRPr="008A0ADA">
        <w:rPr>
          <w:rFonts w:ascii="Georgia" w:eastAsia="Times New Roman" w:hAnsi="Georgia" w:cs="Times New Roman"/>
          <w:b/>
          <w:bCs/>
          <w:color w:val="505050"/>
          <w:sz w:val="28"/>
        </w:rPr>
        <w:t>Bodroza-Solarov</w:t>
      </w:r>
      <w:proofErr w:type="spellEnd"/>
      <w:r w:rsidRPr="008A0ADA">
        <w:rPr>
          <w:rFonts w:ascii="Georgia" w:eastAsia="Times New Roman" w:hAnsi="Georgia" w:cs="Times New Roman"/>
          <w:color w:val="505050"/>
          <w:sz w:val="28"/>
          <w:szCs w:val="28"/>
        </w:rPr>
        <w:t> (Institute of Food Technology, Serbia),</w:t>
      </w:r>
      <w:r w:rsidRPr="008A0ADA">
        <w:rPr>
          <w:rFonts w:ascii="Georgia" w:eastAsia="Times New Roman" w:hAnsi="Georgia" w:cs="Times New Roman"/>
          <w:b/>
          <w:bCs/>
          <w:color w:val="505050"/>
          <w:sz w:val="28"/>
        </w:rPr>
        <w:t xml:space="preserve"> Nick </w:t>
      </w:r>
      <w:proofErr w:type="spellStart"/>
      <w:r w:rsidRPr="008A0ADA">
        <w:rPr>
          <w:rFonts w:ascii="Georgia" w:eastAsia="Times New Roman" w:hAnsi="Georgia" w:cs="Times New Roman"/>
          <w:b/>
          <w:bCs/>
          <w:color w:val="505050"/>
          <w:sz w:val="28"/>
        </w:rPr>
        <w:t>Gathergood</w:t>
      </w:r>
      <w:proofErr w:type="spellEnd"/>
      <w:r w:rsidRPr="008A0ADA">
        <w:rPr>
          <w:rFonts w:ascii="Georgia" w:eastAsia="Times New Roman" w:hAnsi="Georgia" w:cs="Times New Roman"/>
          <w:color w:val="505050"/>
          <w:sz w:val="28"/>
          <w:szCs w:val="28"/>
        </w:rPr>
        <w:t> (Tallinn University of Technology, Estonia), </w:t>
      </w:r>
      <w:proofErr w:type="spellStart"/>
      <w:r w:rsidRPr="008A0ADA">
        <w:rPr>
          <w:rFonts w:ascii="Georgia" w:eastAsia="Times New Roman" w:hAnsi="Georgia" w:cs="Times New Roman"/>
          <w:b/>
          <w:bCs/>
          <w:color w:val="505050"/>
          <w:sz w:val="28"/>
        </w:rPr>
        <w:t>Avtar</w:t>
      </w:r>
      <w:proofErr w:type="spellEnd"/>
      <w:r w:rsidRPr="008A0ADA">
        <w:rPr>
          <w:rFonts w:ascii="Georgia" w:eastAsia="Times New Roman" w:hAnsi="Georgia" w:cs="Times New Roman"/>
          <w:b/>
          <w:bCs/>
          <w:color w:val="505050"/>
          <w:sz w:val="28"/>
        </w:rPr>
        <w:t xml:space="preserve"> </w:t>
      </w:r>
      <w:proofErr w:type="spellStart"/>
      <w:r w:rsidRPr="008A0ADA">
        <w:rPr>
          <w:rFonts w:ascii="Georgia" w:eastAsia="Times New Roman" w:hAnsi="Georgia" w:cs="Times New Roman"/>
          <w:b/>
          <w:bCs/>
          <w:color w:val="505050"/>
          <w:sz w:val="28"/>
        </w:rPr>
        <w:t>Matharu</w:t>
      </w:r>
      <w:proofErr w:type="spellEnd"/>
      <w:r w:rsidRPr="008A0ADA">
        <w:rPr>
          <w:rFonts w:ascii="Georgia" w:eastAsia="Times New Roman" w:hAnsi="Georgia" w:cs="Times New Roman"/>
          <w:b/>
          <w:bCs/>
          <w:color w:val="505050"/>
          <w:sz w:val="28"/>
        </w:rPr>
        <w:t> </w:t>
      </w:r>
      <w:r w:rsidRPr="008A0ADA">
        <w:rPr>
          <w:rFonts w:ascii="Georgia" w:eastAsia="Times New Roman" w:hAnsi="Georgia" w:cs="Times New Roman"/>
          <w:color w:val="505050"/>
          <w:sz w:val="28"/>
          <w:szCs w:val="28"/>
        </w:rPr>
        <w:t>(University of York, UK), </w:t>
      </w:r>
      <w:proofErr w:type="spellStart"/>
      <w:r w:rsidRPr="008A0ADA">
        <w:rPr>
          <w:rFonts w:ascii="Georgia" w:eastAsia="Times New Roman" w:hAnsi="Georgia" w:cs="Times New Roman"/>
          <w:b/>
          <w:bCs/>
          <w:color w:val="505050"/>
          <w:sz w:val="28"/>
        </w:rPr>
        <w:t>Franka</w:t>
      </w:r>
      <w:proofErr w:type="spellEnd"/>
      <w:r w:rsidRPr="008A0ADA">
        <w:rPr>
          <w:rFonts w:ascii="Georgia" w:eastAsia="Times New Roman" w:hAnsi="Georgia" w:cs="Times New Roman"/>
          <w:b/>
          <w:bCs/>
          <w:color w:val="505050"/>
          <w:sz w:val="28"/>
        </w:rPr>
        <w:t xml:space="preserve"> </w:t>
      </w:r>
      <w:proofErr w:type="spellStart"/>
      <w:r w:rsidRPr="008A0ADA">
        <w:rPr>
          <w:rFonts w:ascii="Georgia" w:eastAsia="Times New Roman" w:hAnsi="Georgia" w:cs="Times New Roman"/>
          <w:b/>
          <w:bCs/>
          <w:color w:val="505050"/>
          <w:sz w:val="28"/>
        </w:rPr>
        <w:t>Papendiek</w:t>
      </w:r>
      <w:proofErr w:type="spellEnd"/>
      <w:r w:rsidRPr="008A0ADA">
        <w:rPr>
          <w:rFonts w:ascii="Georgia" w:eastAsia="Times New Roman" w:hAnsi="Georgia" w:cs="Times New Roman"/>
          <w:color w:val="505050"/>
          <w:sz w:val="28"/>
          <w:szCs w:val="28"/>
        </w:rPr>
        <w:t> (German Council of Science and Humanities, Germany), </w:t>
      </w:r>
      <w:r w:rsidRPr="008A0ADA">
        <w:rPr>
          <w:rFonts w:ascii="Georgia" w:eastAsia="Times New Roman" w:hAnsi="Georgia" w:cs="Times New Roman"/>
          <w:b/>
          <w:bCs/>
          <w:color w:val="505050"/>
          <w:sz w:val="28"/>
        </w:rPr>
        <w:t>Ana Rosa Silva</w:t>
      </w:r>
      <w:r w:rsidRPr="008A0ADA">
        <w:rPr>
          <w:rFonts w:ascii="Georgia" w:eastAsia="Times New Roman" w:hAnsi="Georgia" w:cs="Times New Roman"/>
          <w:color w:val="505050"/>
          <w:sz w:val="28"/>
          <w:szCs w:val="28"/>
        </w:rPr>
        <w:t> (</w:t>
      </w:r>
      <w:proofErr w:type="spellStart"/>
      <w:r w:rsidRPr="008A0ADA">
        <w:rPr>
          <w:rFonts w:ascii="Georgia" w:eastAsia="Times New Roman" w:hAnsi="Georgia" w:cs="Times New Roman"/>
          <w:color w:val="505050"/>
          <w:sz w:val="28"/>
          <w:szCs w:val="28"/>
        </w:rPr>
        <w:t>Aveiro</w:t>
      </w:r>
      <w:proofErr w:type="spellEnd"/>
      <w:r w:rsidRPr="008A0ADA">
        <w:rPr>
          <w:rFonts w:ascii="Georgia" w:eastAsia="Times New Roman" w:hAnsi="Georgia" w:cs="Times New Roman"/>
          <w:color w:val="505050"/>
          <w:sz w:val="28"/>
          <w:szCs w:val="28"/>
        </w:rPr>
        <w:t xml:space="preserve"> University, Portugal), </w:t>
      </w:r>
      <w:proofErr w:type="spellStart"/>
      <w:r w:rsidRPr="008A0ADA">
        <w:rPr>
          <w:rFonts w:ascii="Georgia" w:eastAsia="Times New Roman" w:hAnsi="Georgia" w:cs="Times New Roman"/>
          <w:b/>
          <w:bCs/>
          <w:color w:val="505050"/>
          <w:sz w:val="28"/>
        </w:rPr>
        <w:t>Katerina</w:t>
      </w:r>
      <w:proofErr w:type="spellEnd"/>
      <w:r w:rsidRPr="008A0ADA">
        <w:rPr>
          <w:rFonts w:ascii="Georgia" w:eastAsia="Times New Roman" w:hAnsi="Georgia" w:cs="Times New Roman"/>
          <w:b/>
          <w:bCs/>
          <w:color w:val="505050"/>
          <w:sz w:val="28"/>
        </w:rPr>
        <w:t xml:space="preserve"> </w:t>
      </w:r>
      <w:proofErr w:type="spellStart"/>
      <w:r w:rsidRPr="008A0ADA">
        <w:rPr>
          <w:rFonts w:ascii="Georgia" w:eastAsia="Times New Roman" w:hAnsi="Georgia" w:cs="Times New Roman"/>
          <w:b/>
          <w:bCs/>
          <w:color w:val="505050"/>
          <w:sz w:val="28"/>
        </w:rPr>
        <w:t>Stamatelatou</w:t>
      </w:r>
      <w:proofErr w:type="spellEnd"/>
      <w:r w:rsidRPr="008A0ADA">
        <w:rPr>
          <w:rFonts w:ascii="Georgia" w:eastAsia="Times New Roman" w:hAnsi="Georgia" w:cs="Times New Roman"/>
          <w:color w:val="505050"/>
          <w:sz w:val="28"/>
          <w:szCs w:val="28"/>
        </w:rPr>
        <w:t> (Democritus University of Thrace, Greece).</w:t>
      </w:r>
    </w:p>
    <w:p w:rsidR="008A0ADA" w:rsidRPr="008A0ADA" w:rsidRDefault="008A0ADA" w:rsidP="008A0ADA">
      <w:pPr>
        <w:spacing w:after="0" w:line="366" w:lineRule="atLeast"/>
        <w:textAlignment w:val="baseline"/>
        <w:rPr>
          <w:rFonts w:ascii="Georgia" w:eastAsia="Times New Roman" w:hAnsi="Georgia" w:cs="Times New Roman"/>
          <w:color w:val="505050"/>
          <w:sz w:val="28"/>
          <w:szCs w:val="28"/>
        </w:rPr>
      </w:pPr>
      <w:r w:rsidRPr="008A0ADA">
        <w:rPr>
          <w:rFonts w:ascii="Georgia" w:eastAsia="Times New Roman" w:hAnsi="Georgia" w:cs="Times New Roman"/>
          <w:b/>
          <w:bCs/>
          <w:color w:val="505050"/>
          <w:sz w:val="28"/>
        </w:rPr>
        <w:t>1. Introduction to this Special Section</w:t>
      </w:r>
    </w:p>
    <w:p w:rsidR="008A0ADA" w:rsidRPr="008A0ADA" w:rsidRDefault="008A0ADA" w:rsidP="008A0ADA">
      <w:pPr>
        <w:spacing w:after="339" w:line="366" w:lineRule="atLeast"/>
        <w:textAlignment w:val="baseline"/>
        <w:rPr>
          <w:rFonts w:ascii="Georgia" w:eastAsia="Times New Roman" w:hAnsi="Georgia" w:cs="Times New Roman"/>
          <w:color w:val="505050"/>
          <w:sz w:val="28"/>
          <w:szCs w:val="28"/>
        </w:rPr>
      </w:pPr>
      <w:r w:rsidRPr="008A0ADA">
        <w:rPr>
          <w:rFonts w:ascii="Georgia" w:eastAsia="Times New Roman" w:hAnsi="Georgia" w:cs="Times New Roman"/>
          <w:color w:val="505050"/>
          <w:sz w:val="28"/>
          <w:szCs w:val="28"/>
        </w:rPr>
        <w:t xml:space="preserve">The world population, which stands on 7.2 billion in mid-2014, is projected to increase by almost one billion people within the next decade, and to reach 9.6 billion by 2050 (FAO, 2015). At the same time, over the next fifteen years the composition of the global population will change significantly, with the number of people considered to be part of the ‘global middle class’ (i.e. those with incomes between $6,000 and $30,000 in PPP terms, Wilson and </w:t>
      </w:r>
      <w:proofErr w:type="spellStart"/>
      <w:r w:rsidRPr="008A0ADA">
        <w:rPr>
          <w:rFonts w:ascii="Georgia" w:eastAsia="Times New Roman" w:hAnsi="Georgia" w:cs="Times New Roman"/>
          <w:color w:val="505050"/>
          <w:sz w:val="28"/>
          <w:szCs w:val="28"/>
        </w:rPr>
        <w:t>Dragusanu</w:t>
      </w:r>
      <w:proofErr w:type="spellEnd"/>
      <w:r w:rsidRPr="008A0ADA">
        <w:rPr>
          <w:rFonts w:ascii="Georgia" w:eastAsia="Times New Roman" w:hAnsi="Georgia" w:cs="Times New Roman"/>
          <w:color w:val="505050"/>
          <w:sz w:val="28"/>
          <w:szCs w:val="28"/>
        </w:rPr>
        <w:t>, 2008) projected to nearly triple, increasing from 1.8 billion in 2009 to 4.9 billion by 2030 (</w:t>
      </w:r>
      <w:proofErr w:type="spellStart"/>
      <w:r w:rsidRPr="008A0ADA">
        <w:rPr>
          <w:rFonts w:ascii="Georgia" w:eastAsia="Times New Roman" w:hAnsi="Georgia" w:cs="Times New Roman"/>
          <w:color w:val="505050"/>
          <w:sz w:val="28"/>
          <w:szCs w:val="28"/>
        </w:rPr>
        <w:t>Kharas</w:t>
      </w:r>
      <w:proofErr w:type="spellEnd"/>
      <w:r w:rsidRPr="008A0ADA">
        <w:rPr>
          <w:rFonts w:ascii="Georgia" w:eastAsia="Times New Roman" w:hAnsi="Georgia" w:cs="Times New Roman"/>
          <w:color w:val="505050"/>
          <w:sz w:val="28"/>
          <w:szCs w:val="28"/>
        </w:rPr>
        <w:t>, 2010). The bulk of this growth will come from large and fast-growing Asian economies (such as China and India), which will experience a significant increase in wealth. To put this in perspective, by 2030 Asian countries will represent 66% of the global middle-class population compared to 28% in 2009 (</w:t>
      </w:r>
      <w:proofErr w:type="spellStart"/>
      <w:r w:rsidRPr="008A0ADA">
        <w:rPr>
          <w:rFonts w:ascii="Georgia" w:eastAsia="Times New Roman" w:hAnsi="Georgia" w:cs="Times New Roman"/>
          <w:color w:val="505050"/>
          <w:sz w:val="28"/>
          <w:szCs w:val="28"/>
        </w:rPr>
        <w:t>Pezzini</w:t>
      </w:r>
      <w:proofErr w:type="spellEnd"/>
      <w:r w:rsidRPr="008A0ADA">
        <w:rPr>
          <w:rFonts w:ascii="Georgia" w:eastAsia="Times New Roman" w:hAnsi="Georgia" w:cs="Times New Roman"/>
          <w:color w:val="505050"/>
          <w:sz w:val="28"/>
          <w:szCs w:val="28"/>
        </w:rPr>
        <w:t>, 2012). A larger and wealthier world population will demand more food and food co-products, hence posing two types of environmental problems: (1) population growth contributes to GHG emissions through its effect on deforestation as land is grabbed for enhancing food production (</w:t>
      </w:r>
      <w:proofErr w:type="spellStart"/>
      <w:r w:rsidRPr="008A0ADA">
        <w:rPr>
          <w:rFonts w:ascii="Georgia" w:eastAsia="Times New Roman" w:hAnsi="Georgia" w:cs="Times New Roman"/>
          <w:color w:val="505050"/>
          <w:sz w:val="28"/>
          <w:szCs w:val="28"/>
        </w:rPr>
        <w:t>Lambin</w:t>
      </w:r>
      <w:proofErr w:type="spellEnd"/>
      <w:r w:rsidRPr="008A0ADA">
        <w:rPr>
          <w:rFonts w:ascii="Georgia" w:eastAsia="Times New Roman" w:hAnsi="Georgia" w:cs="Times New Roman"/>
          <w:color w:val="505050"/>
          <w:sz w:val="28"/>
          <w:szCs w:val="28"/>
        </w:rPr>
        <w:t xml:space="preserve"> and </w:t>
      </w:r>
      <w:proofErr w:type="spellStart"/>
      <w:r w:rsidRPr="008A0ADA">
        <w:rPr>
          <w:rFonts w:ascii="Georgia" w:eastAsia="Times New Roman" w:hAnsi="Georgia" w:cs="Times New Roman"/>
          <w:color w:val="505050"/>
          <w:sz w:val="28"/>
          <w:szCs w:val="28"/>
        </w:rPr>
        <w:t>Meyfroidt</w:t>
      </w:r>
      <w:proofErr w:type="spellEnd"/>
      <w:r w:rsidRPr="008A0ADA">
        <w:rPr>
          <w:rFonts w:ascii="Georgia" w:eastAsia="Times New Roman" w:hAnsi="Georgia" w:cs="Times New Roman"/>
          <w:color w:val="505050"/>
          <w:sz w:val="28"/>
          <w:szCs w:val="28"/>
        </w:rPr>
        <w:t>, 2011); (2) as the world’s population grows and becomes more affluent, waste production rises and might double by 2025 (</w:t>
      </w:r>
      <w:proofErr w:type="spellStart"/>
      <w:r w:rsidRPr="008A0ADA">
        <w:rPr>
          <w:rFonts w:ascii="Georgia" w:eastAsia="Times New Roman" w:hAnsi="Georgia" w:cs="Times New Roman"/>
          <w:color w:val="505050"/>
          <w:sz w:val="28"/>
          <w:szCs w:val="28"/>
        </w:rPr>
        <w:t>Hoornweg</w:t>
      </w:r>
      <w:proofErr w:type="spellEnd"/>
      <w:r w:rsidRPr="008A0ADA">
        <w:rPr>
          <w:rFonts w:ascii="Georgia" w:eastAsia="Times New Roman" w:hAnsi="Georgia" w:cs="Times New Roman"/>
          <w:color w:val="505050"/>
          <w:sz w:val="28"/>
          <w:szCs w:val="28"/>
        </w:rPr>
        <w:t xml:space="preserve"> et al. 2013).</w:t>
      </w:r>
    </w:p>
    <w:p w:rsidR="008A0ADA" w:rsidRPr="008A0ADA" w:rsidRDefault="008A0ADA" w:rsidP="008A0ADA">
      <w:pPr>
        <w:spacing w:after="339" w:line="366" w:lineRule="atLeast"/>
        <w:textAlignment w:val="baseline"/>
        <w:rPr>
          <w:rFonts w:ascii="Georgia" w:eastAsia="Times New Roman" w:hAnsi="Georgia" w:cs="Times New Roman"/>
          <w:color w:val="505050"/>
          <w:sz w:val="28"/>
          <w:szCs w:val="28"/>
        </w:rPr>
      </w:pPr>
      <w:r w:rsidRPr="008A0ADA">
        <w:rPr>
          <w:rFonts w:ascii="Georgia" w:eastAsia="Times New Roman" w:hAnsi="Georgia" w:cs="Times New Roman"/>
          <w:color w:val="505050"/>
          <w:sz w:val="28"/>
          <w:szCs w:val="28"/>
        </w:rPr>
        <w:lastRenderedPageBreak/>
        <w:t>Food waste and food co-products waste create huge environmental, economic and social problems (</w:t>
      </w:r>
      <w:proofErr w:type="spellStart"/>
      <w:r w:rsidRPr="008A0ADA">
        <w:rPr>
          <w:rFonts w:ascii="Georgia" w:eastAsia="Times New Roman" w:hAnsi="Georgia" w:cs="Times New Roman"/>
          <w:color w:val="505050"/>
          <w:sz w:val="28"/>
          <w:szCs w:val="28"/>
        </w:rPr>
        <w:t>Mourad</w:t>
      </w:r>
      <w:proofErr w:type="spellEnd"/>
      <w:r w:rsidRPr="008A0ADA">
        <w:rPr>
          <w:rFonts w:ascii="Georgia" w:eastAsia="Times New Roman" w:hAnsi="Georgia" w:cs="Times New Roman"/>
          <w:color w:val="505050"/>
          <w:sz w:val="28"/>
          <w:szCs w:val="28"/>
        </w:rPr>
        <w:t xml:space="preserve">, 2016): 1.3 billion </w:t>
      </w:r>
      <w:proofErr w:type="spellStart"/>
      <w:r w:rsidRPr="008A0ADA">
        <w:rPr>
          <w:rFonts w:ascii="Georgia" w:eastAsia="Times New Roman" w:hAnsi="Georgia" w:cs="Times New Roman"/>
          <w:color w:val="505050"/>
          <w:sz w:val="28"/>
          <w:szCs w:val="28"/>
        </w:rPr>
        <w:t>tonnes</w:t>
      </w:r>
      <w:proofErr w:type="spellEnd"/>
      <w:r w:rsidRPr="008A0ADA">
        <w:rPr>
          <w:rFonts w:ascii="Georgia" w:eastAsia="Times New Roman" w:hAnsi="Georgia" w:cs="Times New Roman"/>
          <w:color w:val="505050"/>
          <w:sz w:val="28"/>
          <w:szCs w:val="28"/>
        </w:rPr>
        <w:t xml:space="preserve"> of food are being lost or wasted annually (FAO, 2011) whilst packaging and non-consumable material associated with the food chain are added burdens to the consumer, the industry and the environment (</w:t>
      </w:r>
      <w:proofErr w:type="spellStart"/>
      <w:r w:rsidRPr="008A0ADA">
        <w:rPr>
          <w:rFonts w:ascii="Georgia" w:eastAsia="Times New Roman" w:hAnsi="Georgia" w:cs="Times New Roman"/>
          <w:color w:val="505050"/>
          <w:sz w:val="28"/>
          <w:szCs w:val="28"/>
        </w:rPr>
        <w:t>Olsmats</w:t>
      </w:r>
      <w:proofErr w:type="spellEnd"/>
      <w:r w:rsidRPr="008A0ADA">
        <w:rPr>
          <w:rFonts w:ascii="Georgia" w:eastAsia="Times New Roman" w:hAnsi="Georgia" w:cs="Times New Roman"/>
          <w:color w:val="505050"/>
          <w:sz w:val="28"/>
          <w:szCs w:val="28"/>
        </w:rPr>
        <w:t xml:space="preserve"> and </w:t>
      </w:r>
      <w:proofErr w:type="spellStart"/>
      <w:r w:rsidRPr="008A0ADA">
        <w:rPr>
          <w:rFonts w:ascii="Georgia" w:eastAsia="Times New Roman" w:hAnsi="Georgia" w:cs="Times New Roman"/>
          <w:color w:val="505050"/>
          <w:sz w:val="28"/>
          <w:szCs w:val="28"/>
        </w:rPr>
        <w:t>Wallteg</w:t>
      </w:r>
      <w:proofErr w:type="spellEnd"/>
      <w:r w:rsidRPr="008A0ADA">
        <w:rPr>
          <w:rFonts w:ascii="Georgia" w:eastAsia="Times New Roman" w:hAnsi="Georgia" w:cs="Times New Roman"/>
          <w:color w:val="505050"/>
          <w:sz w:val="28"/>
          <w:szCs w:val="28"/>
        </w:rPr>
        <w:t xml:space="preserve">, 2009; Williams et al. 2012; Ferreira </w:t>
      </w:r>
      <w:proofErr w:type="spellStart"/>
      <w:r w:rsidRPr="008A0ADA">
        <w:rPr>
          <w:rFonts w:ascii="Georgia" w:eastAsia="Times New Roman" w:hAnsi="Georgia" w:cs="Times New Roman"/>
          <w:color w:val="505050"/>
          <w:sz w:val="28"/>
          <w:szCs w:val="28"/>
        </w:rPr>
        <w:t>da</w:t>
      </w:r>
      <w:proofErr w:type="spellEnd"/>
      <w:r w:rsidRPr="008A0ADA">
        <w:rPr>
          <w:rFonts w:ascii="Georgia" w:eastAsia="Times New Roman" w:hAnsi="Georgia" w:cs="Times New Roman"/>
          <w:color w:val="505050"/>
          <w:sz w:val="28"/>
          <w:szCs w:val="28"/>
        </w:rPr>
        <w:t xml:space="preserve"> Cruz et al, 2012; Ferreira </w:t>
      </w:r>
      <w:proofErr w:type="spellStart"/>
      <w:r w:rsidRPr="008A0ADA">
        <w:rPr>
          <w:rFonts w:ascii="Georgia" w:eastAsia="Times New Roman" w:hAnsi="Georgia" w:cs="Times New Roman"/>
          <w:color w:val="505050"/>
          <w:sz w:val="28"/>
          <w:szCs w:val="28"/>
        </w:rPr>
        <w:t>da</w:t>
      </w:r>
      <w:proofErr w:type="spellEnd"/>
      <w:r w:rsidRPr="008A0ADA">
        <w:rPr>
          <w:rFonts w:ascii="Georgia" w:eastAsia="Times New Roman" w:hAnsi="Georgia" w:cs="Times New Roman"/>
          <w:color w:val="505050"/>
          <w:sz w:val="28"/>
          <w:szCs w:val="28"/>
        </w:rPr>
        <w:t xml:space="preserve"> Cruz et al, 2014). With global climate change challenges and its various effects on ecosystems and on resource depletion, the issue of food waste and its diversion from landfill has captured the attention of governments, environmental and social </w:t>
      </w:r>
      <w:proofErr w:type="spellStart"/>
      <w:r w:rsidRPr="008A0ADA">
        <w:rPr>
          <w:rFonts w:ascii="Georgia" w:eastAsia="Times New Roman" w:hAnsi="Georgia" w:cs="Times New Roman"/>
          <w:color w:val="505050"/>
          <w:sz w:val="28"/>
          <w:szCs w:val="28"/>
        </w:rPr>
        <w:t>organisations</w:t>
      </w:r>
      <w:proofErr w:type="spellEnd"/>
      <w:r w:rsidRPr="008A0ADA">
        <w:rPr>
          <w:rFonts w:ascii="Georgia" w:eastAsia="Times New Roman" w:hAnsi="Georgia" w:cs="Times New Roman"/>
          <w:color w:val="505050"/>
          <w:sz w:val="28"/>
          <w:szCs w:val="28"/>
        </w:rPr>
        <w:t>, businesses, and academics, becoming an increasingly urgent priority (FAO, 2014a; Mirabella et al. 2014).</w:t>
      </w:r>
    </w:p>
    <w:p w:rsidR="008A0ADA" w:rsidRPr="008A0ADA" w:rsidRDefault="008A0ADA" w:rsidP="008A0ADA">
      <w:pPr>
        <w:spacing w:after="339" w:line="366" w:lineRule="atLeast"/>
        <w:textAlignment w:val="baseline"/>
        <w:rPr>
          <w:rFonts w:ascii="Georgia" w:eastAsia="Times New Roman" w:hAnsi="Georgia" w:cs="Times New Roman"/>
          <w:color w:val="505050"/>
          <w:sz w:val="28"/>
          <w:szCs w:val="28"/>
        </w:rPr>
      </w:pPr>
      <w:r w:rsidRPr="008A0ADA">
        <w:rPr>
          <w:rFonts w:ascii="Georgia" w:eastAsia="Times New Roman" w:hAnsi="Georgia" w:cs="Times New Roman"/>
          <w:color w:val="505050"/>
          <w:sz w:val="28"/>
          <w:szCs w:val="28"/>
        </w:rPr>
        <w:t>According to the US Environmental Protection Agency (EPA), food waste currently represents the single largest type of waste entering landfills (Nishida, 2014). Wasted food leads to over utilization of water and fossil fuels and to increasing greenhouse gas emissions, i.e. methane and carbon dioxide arising from degradation of food in landfills (Hall et al., 2009). Therefore, the environmental impact of food waste is twofold (</w:t>
      </w:r>
      <w:proofErr w:type="spellStart"/>
      <w:r w:rsidRPr="008A0ADA">
        <w:rPr>
          <w:rFonts w:ascii="Georgia" w:eastAsia="Times New Roman" w:hAnsi="Georgia" w:cs="Times New Roman"/>
          <w:color w:val="505050"/>
          <w:sz w:val="28"/>
          <w:szCs w:val="28"/>
        </w:rPr>
        <w:t>Morone</w:t>
      </w:r>
      <w:proofErr w:type="spellEnd"/>
      <w:r w:rsidRPr="008A0ADA">
        <w:rPr>
          <w:rFonts w:ascii="Georgia" w:eastAsia="Times New Roman" w:hAnsi="Georgia" w:cs="Times New Roman"/>
          <w:color w:val="505050"/>
          <w:sz w:val="28"/>
          <w:szCs w:val="28"/>
        </w:rPr>
        <w:t>, 2016): (1) it is associated with the depletion of natural resources used for its production (e.g. soil depletion) and distribution; and (2) it relates to the costs associated with waste disposal.</w:t>
      </w:r>
    </w:p>
    <w:p w:rsidR="008A0ADA" w:rsidRPr="008A0ADA" w:rsidRDefault="008A0ADA" w:rsidP="008A0ADA">
      <w:pPr>
        <w:spacing w:after="339" w:line="366" w:lineRule="atLeast"/>
        <w:textAlignment w:val="baseline"/>
        <w:rPr>
          <w:rFonts w:ascii="Georgia" w:eastAsia="Times New Roman" w:hAnsi="Georgia" w:cs="Times New Roman"/>
          <w:color w:val="505050"/>
          <w:sz w:val="28"/>
          <w:szCs w:val="28"/>
        </w:rPr>
      </w:pPr>
      <w:r w:rsidRPr="008A0ADA">
        <w:rPr>
          <w:rFonts w:ascii="Georgia" w:eastAsia="Times New Roman" w:hAnsi="Georgia" w:cs="Times New Roman"/>
          <w:color w:val="505050"/>
          <w:sz w:val="28"/>
          <w:szCs w:val="28"/>
        </w:rPr>
        <w:t xml:space="preserve">There is a growing recognition that these two problems (waste disposal and resource depletion) can be solved together through the </w:t>
      </w:r>
      <w:proofErr w:type="spellStart"/>
      <w:r w:rsidRPr="008A0ADA">
        <w:rPr>
          <w:rFonts w:ascii="Georgia" w:eastAsia="Times New Roman" w:hAnsi="Georgia" w:cs="Times New Roman"/>
          <w:color w:val="505050"/>
          <w:sz w:val="28"/>
          <w:szCs w:val="28"/>
        </w:rPr>
        <w:t>utilisation</w:t>
      </w:r>
      <w:proofErr w:type="spellEnd"/>
      <w:r w:rsidRPr="008A0ADA">
        <w:rPr>
          <w:rFonts w:ascii="Georgia" w:eastAsia="Times New Roman" w:hAnsi="Georgia" w:cs="Times New Roman"/>
          <w:color w:val="505050"/>
          <w:sz w:val="28"/>
          <w:szCs w:val="28"/>
        </w:rPr>
        <w:t xml:space="preserve"> of waste as a resource, using green and sustainable technologies (</w:t>
      </w:r>
      <w:proofErr w:type="spellStart"/>
      <w:r w:rsidRPr="008A0ADA">
        <w:rPr>
          <w:rFonts w:ascii="Georgia" w:eastAsia="Times New Roman" w:hAnsi="Georgia" w:cs="Times New Roman"/>
          <w:color w:val="505050"/>
          <w:sz w:val="28"/>
          <w:szCs w:val="28"/>
        </w:rPr>
        <w:t>Luque</w:t>
      </w:r>
      <w:proofErr w:type="spellEnd"/>
      <w:r w:rsidRPr="008A0ADA">
        <w:rPr>
          <w:rFonts w:ascii="Georgia" w:eastAsia="Times New Roman" w:hAnsi="Georgia" w:cs="Times New Roman"/>
          <w:color w:val="505050"/>
          <w:sz w:val="28"/>
          <w:szCs w:val="28"/>
        </w:rPr>
        <w:t xml:space="preserve"> and Clark, 2013; </w:t>
      </w:r>
      <w:proofErr w:type="spellStart"/>
      <w:r w:rsidRPr="008A0ADA">
        <w:rPr>
          <w:rFonts w:ascii="Georgia" w:eastAsia="Times New Roman" w:hAnsi="Georgia" w:cs="Times New Roman"/>
          <w:color w:val="505050"/>
          <w:sz w:val="28"/>
          <w:szCs w:val="28"/>
        </w:rPr>
        <w:t>Thi</w:t>
      </w:r>
      <w:proofErr w:type="spellEnd"/>
      <w:r w:rsidRPr="008A0ADA">
        <w:rPr>
          <w:rFonts w:ascii="Georgia" w:eastAsia="Times New Roman" w:hAnsi="Georgia" w:cs="Times New Roman"/>
          <w:color w:val="505050"/>
          <w:sz w:val="28"/>
          <w:szCs w:val="28"/>
        </w:rPr>
        <w:t xml:space="preserve"> et al. 2016). At the same time, there is growing awareness that new consumption models are needed to </w:t>
      </w:r>
      <w:proofErr w:type="spellStart"/>
      <w:r w:rsidRPr="008A0ADA">
        <w:rPr>
          <w:rFonts w:ascii="Georgia" w:eastAsia="Times New Roman" w:hAnsi="Georgia" w:cs="Times New Roman"/>
          <w:color w:val="505050"/>
          <w:sz w:val="28"/>
          <w:szCs w:val="28"/>
        </w:rPr>
        <w:t>minimise</w:t>
      </w:r>
      <w:proofErr w:type="spellEnd"/>
      <w:r w:rsidRPr="008A0ADA">
        <w:rPr>
          <w:rFonts w:ascii="Georgia" w:eastAsia="Times New Roman" w:hAnsi="Georgia" w:cs="Times New Roman"/>
          <w:color w:val="505050"/>
          <w:sz w:val="28"/>
          <w:szCs w:val="28"/>
        </w:rPr>
        <w:t xml:space="preserve"> the amount of food wasted at the end of the supply chain – an issue particularly relevant in high-income countries where more than 40% of the food losses occur at retail and consumer levels (FAO, 2011).</w:t>
      </w:r>
    </w:p>
    <w:p w:rsidR="008A0ADA" w:rsidRPr="008A0ADA" w:rsidRDefault="008A0ADA" w:rsidP="008A0ADA">
      <w:pPr>
        <w:spacing w:after="339" w:line="366" w:lineRule="atLeast"/>
        <w:textAlignment w:val="baseline"/>
        <w:rPr>
          <w:rFonts w:ascii="Georgia" w:eastAsia="Times New Roman" w:hAnsi="Georgia" w:cs="Times New Roman"/>
          <w:color w:val="505050"/>
          <w:sz w:val="28"/>
          <w:szCs w:val="28"/>
        </w:rPr>
      </w:pPr>
      <w:r w:rsidRPr="008A0ADA">
        <w:rPr>
          <w:rFonts w:ascii="Georgia" w:eastAsia="Times New Roman" w:hAnsi="Georgia" w:cs="Times New Roman"/>
          <w:color w:val="505050"/>
          <w:sz w:val="28"/>
          <w:szCs w:val="28"/>
        </w:rPr>
        <w:t>Globally, per capita food waste by consumers amounts to 95-115 kg/year in Europe and North-America, compared to 6-11 kg/year in South/Southeast Asia and Sub-Saharan Africa (</w:t>
      </w:r>
      <w:proofErr w:type="spellStart"/>
      <w:r w:rsidRPr="008A0ADA">
        <w:rPr>
          <w:rFonts w:ascii="Georgia" w:eastAsia="Times New Roman" w:hAnsi="Georgia" w:cs="Times New Roman"/>
          <w:color w:val="505050"/>
          <w:sz w:val="28"/>
          <w:szCs w:val="28"/>
        </w:rPr>
        <w:t>Gustavsson</w:t>
      </w:r>
      <w:proofErr w:type="spellEnd"/>
      <w:r w:rsidRPr="008A0ADA">
        <w:rPr>
          <w:rFonts w:ascii="Georgia" w:eastAsia="Times New Roman" w:hAnsi="Georgia" w:cs="Times New Roman"/>
          <w:color w:val="505050"/>
          <w:sz w:val="28"/>
          <w:szCs w:val="28"/>
        </w:rPr>
        <w:t xml:space="preserve"> et al., 2011). Waste reduction at </w:t>
      </w:r>
      <w:r w:rsidRPr="008A0ADA">
        <w:rPr>
          <w:rFonts w:ascii="Georgia" w:eastAsia="Times New Roman" w:hAnsi="Georgia" w:cs="Times New Roman"/>
          <w:color w:val="505050"/>
          <w:sz w:val="28"/>
          <w:szCs w:val="28"/>
        </w:rPr>
        <w:lastRenderedPageBreak/>
        <w:t xml:space="preserve">the consumption level represents, indeed, a target for medium- and high-income countries, where evidence shows that the main source of the problem is the domestic setting (e.g. </w:t>
      </w:r>
      <w:proofErr w:type="spellStart"/>
      <w:r w:rsidRPr="008A0ADA">
        <w:rPr>
          <w:rFonts w:ascii="Georgia" w:eastAsia="Times New Roman" w:hAnsi="Georgia" w:cs="Times New Roman"/>
          <w:color w:val="505050"/>
          <w:sz w:val="28"/>
          <w:szCs w:val="28"/>
        </w:rPr>
        <w:t>Monier</w:t>
      </w:r>
      <w:proofErr w:type="spellEnd"/>
      <w:r w:rsidRPr="008A0ADA">
        <w:rPr>
          <w:rFonts w:ascii="Georgia" w:eastAsia="Times New Roman" w:hAnsi="Georgia" w:cs="Times New Roman"/>
          <w:color w:val="505050"/>
          <w:sz w:val="28"/>
          <w:szCs w:val="28"/>
        </w:rPr>
        <w:t xml:space="preserve"> et al., 2010; Braun, 2012). From an exclusively economic standpoint, an average family in the UK would save £470 a year just by eliminating avoidable food and drink waste (Quested et al., 2013). Further, food waste reduction would also contribute to reducing food prices. As an exemplification of this, consider that avoidable UK household food waste reduced in </w:t>
      </w:r>
      <w:proofErr w:type="spellStart"/>
      <w:r w:rsidRPr="008A0ADA">
        <w:rPr>
          <w:rFonts w:ascii="Georgia" w:eastAsia="Times New Roman" w:hAnsi="Georgia" w:cs="Times New Roman"/>
          <w:color w:val="505050"/>
          <w:sz w:val="28"/>
          <w:szCs w:val="28"/>
        </w:rPr>
        <w:t>in</w:t>
      </w:r>
      <w:proofErr w:type="spellEnd"/>
      <w:r w:rsidRPr="008A0ADA">
        <w:rPr>
          <w:rFonts w:ascii="Georgia" w:eastAsia="Times New Roman" w:hAnsi="Georgia" w:cs="Times New Roman"/>
          <w:color w:val="505050"/>
          <w:sz w:val="28"/>
          <w:szCs w:val="28"/>
        </w:rPr>
        <w:t xml:space="preserve"> 2012 compared to 2007 by 21%, which would have cost GBP 3.3 billion to purchase (WRAP, 2013). This means on average every household in the United Kingdom not having to spend GBP 130 a year on food bought but thrown away, helping to mitigate the impact of rising food prices (Parry et al., 2015).</w:t>
      </w:r>
    </w:p>
    <w:p w:rsidR="008A0ADA" w:rsidRPr="008A0ADA" w:rsidRDefault="008A0ADA" w:rsidP="008A0ADA">
      <w:pPr>
        <w:spacing w:after="339" w:line="366" w:lineRule="atLeast"/>
        <w:textAlignment w:val="baseline"/>
        <w:rPr>
          <w:rFonts w:ascii="Georgia" w:eastAsia="Times New Roman" w:hAnsi="Georgia" w:cs="Times New Roman"/>
          <w:color w:val="505050"/>
          <w:sz w:val="28"/>
          <w:szCs w:val="28"/>
        </w:rPr>
      </w:pPr>
      <w:r w:rsidRPr="008A0ADA">
        <w:rPr>
          <w:rFonts w:ascii="Georgia" w:eastAsia="Times New Roman" w:hAnsi="Georgia" w:cs="Times New Roman"/>
          <w:color w:val="505050"/>
          <w:sz w:val="28"/>
          <w:szCs w:val="28"/>
        </w:rPr>
        <w:t xml:space="preserve">A number of prevention and mitigation measures, proposed by various countries, have been already put in place to reduce food waste (FAO, 2014b). However, along with such practical solutions, new waste </w:t>
      </w:r>
      <w:proofErr w:type="spellStart"/>
      <w:r w:rsidRPr="008A0ADA">
        <w:rPr>
          <w:rFonts w:ascii="Georgia" w:eastAsia="Times New Roman" w:hAnsi="Georgia" w:cs="Times New Roman"/>
          <w:color w:val="505050"/>
          <w:sz w:val="28"/>
          <w:szCs w:val="28"/>
        </w:rPr>
        <w:t>valorisation</w:t>
      </w:r>
      <w:proofErr w:type="spellEnd"/>
      <w:r w:rsidRPr="008A0ADA">
        <w:rPr>
          <w:rFonts w:ascii="Georgia" w:eastAsia="Times New Roman" w:hAnsi="Georgia" w:cs="Times New Roman"/>
          <w:color w:val="505050"/>
          <w:sz w:val="28"/>
          <w:szCs w:val="28"/>
        </w:rPr>
        <w:t xml:space="preserve"> technologies as well as alternative consumption models are urgently needed. Hence, this proposed special section of the Journal of Cleaner Production (JCLP) is devoted to identifying preventable and non-preventable wastes along the life cycle of food supply chain and assessing the role of new consumption (</w:t>
      </w:r>
      <w:proofErr w:type="spellStart"/>
      <w:r w:rsidRPr="008A0ADA">
        <w:rPr>
          <w:rFonts w:ascii="Georgia" w:eastAsia="Times New Roman" w:hAnsi="Georgia" w:cs="Times New Roman"/>
          <w:color w:val="505050"/>
          <w:sz w:val="28"/>
          <w:szCs w:val="28"/>
        </w:rPr>
        <w:t>behavioural</w:t>
      </w:r>
      <w:proofErr w:type="spellEnd"/>
      <w:r w:rsidRPr="008A0ADA">
        <w:rPr>
          <w:rFonts w:ascii="Georgia" w:eastAsia="Times New Roman" w:hAnsi="Georgia" w:cs="Times New Roman"/>
          <w:color w:val="505050"/>
          <w:sz w:val="28"/>
          <w:szCs w:val="28"/>
        </w:rPr>
        <w:t xml:space="preserve">) models as well as technological improvements in reducing and </w:t>
      </w:r>
      <w:proofErr w:type="spellStart"/>
      <w:r w:rsidRPr="008A0ADA">
        <w:rPr>
          <w:rFonts w:ascii="Georgia" w:eastAsia="Times New Roman" w:hAnsi="Georgia" w:cs="Times New Roman"/>
          <w:color w:val="505050"/>
          <w:sz w:val="28"/>
          <w:szCs w:val="28"/>
        </w:rPr>
        <w:t>valorising</w:t>
      </w:r>
      <w:proofErr w:type="spellEnd"/>
      <w:r w:rsidRPr="008A0ADA">
        <w:rPr>
          <w:rFonts w:ascii="Georgia" w:eastAsia="Times New Roman" w:hAnsi="Georgia" w:cs="Times New Roman"/>
          <w:color w:val="505050"/>
          <w:sz w:val="28"/>
          <w:szCs w:val="28"/>
        </w:rPr>
        <w:t xml:space="preserve"> food waste. The tentative topics to be covered include</w:t>
      </w:r>
    </w:p>
    <w:p w:rsidR="008A0ADA" w:rsidRPr="008A0ADA" w:rsidRDefault="008A0ADA" w:rsidP="008A0ADA">
      <w:pPr>
        <w:numPr>
          <w:ilvl w:val="0"/>
          <w:numId w:val="1"/>
        </w:numPr>
        <w:spacing w:after="113" w:line="396" w:lineRule="atLeast"/>
        <w:ind w:left="226"/>
        <w:textAlignment w:val="baseline"/>
        <w:rPr>
          <w:rFonts w:ascii="Georgia" w:eastAsia="Times New Roman" w:hAnsi="Georgia" w:cs="Times New Roman"/>
          <w:color w:val="505050"/>
          <w:sz w:val="28"/>
          <w:szCs w:val="28"/>
        </w:rPr>
      </w:pPr>
      <w:r w:rsidRPr="008A0ADA">
        <w:rPr>
          <w:rFonts w:ascii="Georgia" w:eastAsia="Times New Roman" w:hAnsi="Georgia" w:cs="Times New Roman"/>
          <w:color w:val="505050"/>
          <w:sz w:val="28"/>
          <w:szCs w:val="28"/>
        </w:rPr>
        <w:t>Reduction of preventable food wastes should consider: (</w:t>
      </w:r>
      <w:proofErr w:type="spellStart"/>
      <w:r w:rsidRPr="008A0ADA">
        <w:rPr>
          <w:rFonts w:ascii="Georgia" w:eastAsia="Times New Roman" w:hAnsi="Georgia" w:cs="Times New Roman"/>
          <w:color w:val="505050"/>
          <w:sz w:val="28"/>
          <w:szCs w:val="28"/>
        </w:rPr>
        <w:t>i</w:t>
      </w:r>
      <w:proofErr w:type="spellEnd"/>
      <w:r w:rsidRPr="008A0ADA">
        <w:rPr>
          <w:rFonts w:ascii="Georgia" w:eastAsia="Times New Roman" w:hAnsi="Georgia" w:cs="Times New Roman"/>
          <w:color w:val="505050"/>
          <w:sz w:val="28"/>
          <w:szCs w:val="28"/>
        </w:rPr>
        <w:t xml:space="preserve">) evaluation of consumer habits and awareness towards food consumption and waste generation; (ii) improvement of stock management and marketing strategies; (iii) increasing of food shelf-life through usage of active food packaging; and (iv) </w:t>
      </w:r>
      <w:proofErr w:type="spellStart"/>
      <w:r w:rsidRPr="008A0ADA">
        <w:rPr>
          <w:rFonts w:ascii="Georgia" w:eastAsia="Times New Roman" w:hAnsi="Georgia" w:cs="Times New Roman"/>
          <w:color w:val="505050"/>
          <w:sz w:val="28"/>
          <w:szCs w:val="28"/>
        </w:rPr>
        <w:t>utilisation</w:t>
      </w:r>
      <w:proofErr w:type="spellEnd"/>
      <w:r w:rsidRPr="008A0ADA">
        <w:rPr>
          <w:rFonts w:ascii="Georgia" w:eastAsia="Times New Roman" w:hAnsi="Georgia" w:cs="Times New Roman"/>
          <w:color w:val="505050"/>
          <w:sz w:val="28"/>
          <w:szCs w:val="28"/>
        </w:rPr>
        <w:t xml:space="preserve"> of biodegradable food packaging, (v) legislation and policy issues; and</w:t>
      </w:r>
    </w:p>
    <w:p w:rsidR="008A0ADA" w:rsidRPr="008A0ADA" w:rsidRDefault="008A0ADA" w:rsidP="008A0ADA">
      <w:pPr>
        <w:numPr>
          <w:ilvl w:val="0"/>
          <w:numId w:val="1"/>
        </w:numPr>
        <w:spacing w:after="113" w:line="396" w:lineRule="atLeast"/>
        <w:ind w:left="226"/>
        <w:textAlignment w:val="baseline"/>
        <w:rPr>
          <w:rFonts w:ascii="Georgia" w:eastAsia="Times New Roman" w:hAnsi="Georgia" w:cs="Times New Roman"/>
          <w:color w:val="505050"/>
          <w:sz w:val="28"/>
          <w:szCs w:val="28"/>
        </w:rPr>
      </w:pPr>
      <w:proofErr w:type="spellStart"/>
      <w:r w:rsidRPr="008A0ADA">
        <w:rPr>
          <w:rFonts w:ascii="Georgia" w:eastAsia="Times New Roman" w:hAnsi="Georgia" w:cs="Times New Roman"/>
          <w:color w:val="505050"/>
          <w:sz w:val="28"/>
          <w:szCs w:val="28"/>
        </w:rPr>
        <w:t>Valorisation</w:t>
      </w:r>
      <w:proofErr w:type="spellEnd"/>
      <w:r w:rsidRPr="008A0ADA">
        <w:rPr>
          <w:rFonts w:ascii="Georgia" w:eastAsia="Times New Roman" w:hAnsi="Georgia" w:cs="Times New Roman"/>
          <w:color w:val="505050"/>
          <w:sz w:val="28"/>
          <w:szCs w:val="28"/>
        </w:rPr>
        <w:t xml:space="preserve"> of non-preventable waste should consider: (</w:t>
      </w:r>
      <w:proofErr w:type="spellStart"/>
      <w:r w:rsidRPr="008A0ADA">
        <w:rPr>
          <w:rFonts w:ascii="Georgia" w:eastAsia="Times New Roman" w:hAnsi="Georgia" w:cs="Times New Roman"/>
          <w:color w:val="505050"/>
          <w:sz w:val="28"/>
          <w:szCs w:val="28"/>
        </w:rPr>
        <w:t>i</w:t>
      </w:r>
      <w:proofErr w:type="spellEnd"/>
      <w:r w:rsidRPr="008A0ADA">
        <w:rPr>
          <w:rFonts w:ascii="Georgia" w:eastAsia="Times New Roman" w:hAnsi="Georgia" w:cs="Times New Roman"/>
          <w:color w:val="505050"/>
          <w:sz w:val="28"/>
          <w:szCs w:val="28"/>
        </w:rPr>
        <w:t>) fractionation, re-</w:t>
      </w:r>
      <w:proofErr w:type="spellStart"/>
      <w:r w:rsidRPr="008A0ADA">
        <w:rPr>
          <w:rFonts w:ascii="Georgia" w:eastAsia="Times New Roman" w:hAnsi="Georgia" w:cs="Times New Roman"/>
          <w:color w:val="505050"/>
          <w:sz w:val="28"/>
          <w:szCs w:val="28"/>
        </w:rPr>
        <w:t>utilisation</w:t>
      </w:r>
      <w:proofErr w:type="spellEnd"/>
      <w:r w:rsidRPr="008A0ADA">
        <w:rPr>
          <w:rFonts w:ascii="Georgia" w:eastAsia="Times New Roman" w:hAnsi="Georgia" w:cs="Times New Roman"/>
          <w:color w:val="505050"/>
          <w:sz w:val="28"/>
          <w:szCs w:val="28"/>
        </w:rPr>
        <w:t xml:space="preserve"> and </w:t>
      </w:r>
      <w:proofErr w:type="spellStart"/>
      <w:r w:rsidRPr="008A0ADA">
        <w:rPr>
          <w:rFonts w:ascii="Georgia" w:eastAsia="Times New Roman" w:hAnsi="Georgia" w:cs="Times New Roman"/>
          <w:color w:val="505050"/>
          <w:sz w:val="28"/>
          <w:szCs w:val="28"/>
        </w:rPr>
        <w:t>valorisation</w:t>
      </w:r>
      <w:proofErr w:type="spellEnd"/>
      <w:r w:rsidRPr="008A0ADA">
        <w:rPr>
          <w:rFonts w:ascii="Georgia" w:eastAsia="Times New Roman" w:hAnsi="Georgia" w:cs="Times New Roman"/>
          <w:color w:val="505050"/>
          <w:sz w:val="28"/>
          <w:szCs w:val="28"/>
        </w:rPr>
        <w:t xml:space="preserve"> of non-preventable wastes from the manufacturing sector; (ii) </w:t>
      </w:r>
      <w:proofErr w:type="spellStart"/>
      <w:r w:rsidRPr="008A0ADA">
        <w:rPr>
          <w:rFonts w:ascii="Georgia" w:eastAsia="Times New Roman" w:hAnsi="Georgia" w:cs="Times New Roman"/>
          <w:color w:val="505050"/>
          <w:sz w:val="28"/>
          <w:szCs w:val="28"/>
        </w:rPr>
        <w:t>biorefining</w:t>
      </w:r>
      <w:proofErr w:type="spellEnd"/>
      <w:r w:rsidRPr="008A0ADA">
        <w:rPr>
          <w:rFonts w:ascii="Georgia" w:eastAsia="Times New Roman" w:hAnsi="Georgia" w:cs="Times New Roman"/>
          <w:color w:val="505050"/>
          <w:sz w:val="28"/>
          <w:szCs w:val="28"/>
        </w:rPr>
        <w:t xml:space="preserve"> of non-preventable waste streams for the production of products ranging from </w:t>
      </w:r>
      <w:proofErr w:type="spellStart"/>
      <w:r w:rsidRPr="008A0ADA">
        <w:rPr>
          <w:rFonts w:ascii="Georgia" w:eastAsia="Times New Roman" w:hAnsi="Georgia" w:cs="Times New Roman"/>
          <w:color w:val="505050"/>
          <w:sz w:val="28"/>
          <w:szCs w:val="28"/>
        </w:rPr>
        <w:t>specialities</w:t>
      </w:r>
      <w:proofErr w:type="spellEnd"/>
      <w:r w:rsidRPr="008A0ADA">
        <w:rPr>
          <w:rFonts w:ascii="Georgia" w:eastAsia="Times New Roman" w:hAnsi="Georgia" w:cs="Times New Roman"/>
          <w:color w:val="505050"/>
          <w:sz w:val="28"/>
          <w:szCs w:val="28"/>
        </w:rPr>
        <w:t xml:space="preserve"> to commodities </w:t>
      </w:r>
      <w:r w:rsidRPr="008A0ADA">
        <w:rPr>
          <w:rFonts w:ascii="Georgia" w:eastAsia="Times New Roman" w:hAnsi="Georgia" w:cs="Times New Roman"/>
          <w:color w:val="505050"/>
          <w:sz w:val="28"/>
          <w:szCs w:val="28"/>
        </w:rPr>
        <w:lastRenderedPageBreak/>
        <w:t>including food additives, chemicals, biodegradable polymers, materials and energy; (iii) development of different processing schemes based on case-specific life cycle steps of chosen food supply chain; (iv) creation of cascade processing focusing on re-</w:t>
      </w:r>
      <w:proofErr w:type="spellStart"/>
      <w:r w:rsidRPr="008A0ADA">
        <w:rPr>
          <w:rFonts w:ascii="Georgia" w:eastAsia="Times New Roman" w:hAnsi="Georgia" w:cs="Times New Roman"/>
          <w:color w:val="505050"/>
          <w:sz w:val="28"/>
          <w:szCs w:val="28"/>
        </w:rPr>
        <w:t>utilisation</w:t>
      </w:r>
      <w:proofErr w:type="spellEnd"/>
      <w:r w:rsidRPr="008A0ADA">
        <w:rPr>
          <w:rFonts w:ascii="Georgia" w:eastAsia="Times New Roman" w:hAnsi="Georgia" w:cs="Times New Roman"/>
          <w:color w:val="505050"/>
          <w:sz w:val="28"/>
          <w:szCs w:val="28"/>
        </w:rPr>
        <w:t xml:space="preserve"> of products generated from a waste stream; and (v) apply interactive process systems engineering to conduct simultaneous assessment of proposed </w:t>
      </w:r>
      <w:proofErr w:type="spellStart"/>
      <w:r w:rsidRPr="008A0ADA">
        <w:rPr>
          <w:rFonts w:ascii="Georgia" w:eastAsia="Times New Roman" w:hAnsi="Georgia" w:cs="Times New Roman"/>
          <w:color w:val="505050"/>
          <w:sz w:val="28"/>
          <w:szCs w:val="28"/>
        </w:rPr>
        <w:t>valorisation</w:t>
      </w:r>
      <w:proofErr w:type="spellEnd"/>
      <w:r w:rsidRPr="008A0ADA">
        <w:rPr>
          <w:rFonts w:ascii="Georgia" w:eastAsia="Times New Roman" w:hAnsi="Georgia" w:cs="Times New Roman"/>
          <w:color w:val="505050"/>
          <w:sz w:val="28"/>
          <w:szCs w:val="28"/>
        </w:rPr>
        <w:t xml:space="preserve"> technologies through multi-objective </w:t>
      </w:r>
      <w:proofErr w:type="spellStart"/>
      <w:r w:rsidRPr="008A0ADA">
        <w:rPr>
          <w:rFonts w:ascii="Georgia" w:eastAsia="Times New Roman" w:hAnsi="Georgia" w:cs="Times New Roman"/>
          <w:color w:val="505050"/>
          <w:sz w:val="28"/>
          <w:szCs w:val="28"/>
        </w:rPr>
        <w:t>optimisation</w:t>
      </w:r>
      <w:proofErr w:type="spellEnd"/>
      <w:r w:rsidRPr="008A0ADA">
        <w:rPr>
          <w:rFonts w:ascii="Georgia" w:eastAsia="Times New Roman" w:hAnsi="Georgia" w:cs="Times New Roman"/>
          <w:color w:val="505050"/>
          <w:sz w:val="28"/>
          <w:szCs w:val="28"/>
        </w:rPr>
        <w:t xml:space="preserve"> based on software-aided process design, costing, LCA and social impact.</w:t>
      </w:r>
    </w:p>
    <w:p w:rsidR="008A0ADA" w:rsidRPr="008A0ADA" w:rsidRDefault="008A0ADA" w:rsidP="008A0ADA">
      <w:pPr>
        <w:spacing w:after="0" w:line="366" w:lineRule="atLeast"/>
        <w:textAlignment w:val="baseline"/>
        <w:rPr>
          <w:rFonts w:ascii="Georgia" w:eastAsia="Times New Roman" w:hAnsi="Georgia" w:cs="Times New Roman"/>
          <w:color w:val="505050"/>
          <w:sz w:val="28"/>
          <w:szCs w:val="28"/>
        </w:rPr>
      </w:pPr>
      <w:r w:rsidRPr="008A0ADA">
        <w:rPr>
          <w:rFonts w:ascii="Georgia" w:eastAsia="Times New Roman" w:hAnsi="Georgia" w:cs="Times New Roman"/>
          <w:color w:val="505050"/>
          <w:sz w:val="28"/>
          <w:szCs w:val="28"/>
        </w:rPr>
        <w:t>Due to the variety of challenges and perspectives, several methodologies are needed to address in a holistic way this sustainability transition. To this aim, the team of Guest editors has identified three </w:t>
      </w:r>
      <w:r w:rsidRPr="008A0ADA">
        <w:rPr>
          <w:rFonts w:ascii="Georgia" w:eastAsia="Times New Roman" w:hAnsi="Georgia" w:cs="Times New Roman"/>
          <w:b/>
          <w:bCs/>
          <w:i/>
          <w:iCs/>
          <w:color w:val="505050"/>
          <w:sz w:val="28"/>
        </w:rPr>
        <w:t>research macro-areas</w:t>
      </w:r>
      <w:r w:rsidRPr="008A0ADA">
        <w:rPr>
          <w:rFonts w:ascii="Georgia" w:eastAsia="Times New Roman" w:hAnsi="Georgia" w:cs="Times New Roman"/>
          <w:color w:val="505050"/>
          <w:sz w:val="28"/>
          <w:szCs w:val="28"/>
        </w:rPr>
        <w:t>:</w:t>
      </w:r>
    </w:p>
    <w:p w:rsidR="008A0ADA" w:rsidRPr="008A0ADA" w:rsidRDefault="008A0ADA" w:rsidP="008A0ADA">
      <w:pPr>
        <w:spacing w:after="339" w:line="366" w:lineRule="atLeast"/>
        <w:textAlignment w:val="baseline"/>
        <w:rPr>
          <w:rFonts w:ascii="Georgia" w:eastAsia="Times New Roman" w:hAnsi="Georgia" w:cs="Times New Roman"/>
          <w:color w:val="505050"/>
          <w:sz w:val="28"/>
          <w:szCs w:val="28"/>
        </w:rPr>
      </w:pPr>
      <w:r w:rsidRPr="008A0ADA">
        <w:rPr>
          <w:rFonts w:ascii="Georgia" w:eastAsia="Times New Roman" w:hAnsi="Georgia" w:cs="Times New Roman"/>
          <w:color w:val="505050"/>
          <w:sz w:val="28"/>
          <w:szCs w:val="28"/>
        </w:rPr>
        <w:t>(1)      Analysis of food waste related challenges from local/national/European/global perspectives and identification of potential solutions (consequences of those solutions should be addressed);</w:t>
      </w:r>
    </w:p>
    <w:p w:rsidR="008A0ADA" w:rsidRPr="008A0ADA" w:rsidRDefault="008A0ADA" w:rsidP="008A0ADA">
      <w:pPr>
        <w:spacing w:after="339" w:line="366" w:lineRule="atLeast"/>
        <w:textAlignment w:val="baseline"/>
        <w:rPr>
          <w:rFonts w:ascii="Georgia" w:eastAsia="Times New Roman" w:hAnsi="Georgia" w:cs="Times New Roman"/>
          <w:color w:val="505050"/>
          <w:sz w:val="28"/>
          <w:szCs w:val="28"/>
        </w:rPr>
      </w:pPr>
      <w:r w:rsidRPr="008A0ADA">
        <w:rPr>
          <w:rFonts w:ascii="Georgia" w:eastAsia="Times New Roman" w:hAnsi="Georgia" w:cs="Times New Roman"/>
          <w:color w:val="505050"/>
          <w:sz w:val="28"/>
          <w:szCs w:val="28"/>
        </w:rPr>
        <w:t xml:space="preserve">(2)      Review of methodologies and tools for food waste reduction and/or </w:t>
      </w:r>
      <w:proofErr w:type="spellStart"/>
      <w:r w:rsidRPr="008A0ADA">
        <w:rPr>
          <w:rFonts w:ascii="Georgia" w:eastAsia="Times New Roman" w:hAnsi="Georgia" w:cs="Times New Roman"/>
          <w:color w:val="505050"/>
          <w:sz w:val="28"/>
          <w:szCs w:val="28"/>
        </w:rPr>
        <w:t>valorisation</w:t>
      </w:r>
      <w:proofErr w:type="spellEnd"/>
      <w:r w:rsidRPr="008A0ADA">
        <w:rPr>
          <w:rFonts w:ascii="Georgia" w:eastAsia="Times New Roman" w:hAnsi="Georgia" w:cs="Times New Roman"/>
          <w:color w:val="505050"/>
          <w:sz w:val="28"/>
          <w:szCs w:val="28"/>
        </w:rPr>
        <w:t>;</w:t>
      </w:r>
    </w:p>
    <w:p w:rsidR="008A0ADA" w:rsidRPr="008A0ADA" w:rsidRDefault="008A0ADA" w:rsidP="008A0ADA">
      <w:pPr>
        <w:spacing w:after="339" w:line="366" w:lineRule="atLeast"/>
        <w:textAlignment w:val="baseline"/>
        <w:rPr>
          <w:rFonts w:ascii="Georgia" w:eastAsia="Times New Roman" w:hAnsi="Georgia" w:cs="Times New Roman"/>
          <w:color w:val="505050"/>
          <w:sz w:val="28"/>
          <w:szCs w:val="28"/>
        </w:rPr>
      </w:pPr>
      <w:r w:rsidRPr="008A0ADA">
        <w:rPr>
          <w:rFonts w:ascii="Georgia" w:eastAsia="Times New Roman" w:hAnsi="Georgia" w:cs="Times New Roman"/>
          <w:color w:val="505050"/>
          <w:sz w:val="28"/>
          <w:szCs w:val="28"/>
        </w:rPr>
        <w:t>(3)      Case studies focusing both on new consumption/</w:t>
      </w:r>
      <w:proofErr w:type="spellStart"/>
      <w:r w:rsidRPr="008A0ADA">
        <w:rPr>
          <w:rFonts w:ascii="Georgia" w:eastAsia="Times New Roman" w:hAnsi="Georgia" w:cs="Times New Roman"/>
          <w:color w:val="505050"/>
          <w:sz w:val="28"/>
          <w:szCs w:val="28"/>
        </w:rPr>
        <w:t>behavioural</w:t>
      </w:r>
      <w:proofErr w:type="spellEnd"/>
      <w:r w:rsidRPr="008A0ADA">
        <w:rPr>
          <w:rFonts w:ascii="Georgia" w:eastAsia="Times New Roman" w:hAnsi="Georgia" w:cs="Times New Roman"/>
          <w:color w:val="505050"/>
          <w:sz w:val="28"/>
          <w:szCs w:val="28"/>
        </w:rPr>
        <w:t xml:space="preserve"> models as well as technological improvements leading to sustainable production models.</w:t>
      </w:r>
    </w:p>
    <w:p w:rsidR="008A0ADA" w:rsidRPr="008A0ADA" w:rsidRDefault="008A0ADA" w:rsidP="008A0ADA">
      <w:pPr>
        <w:spacing w:after="0" w:line="366" w:lineRule="atLeast"/>
        <w:textAlignment w:val="baseline"/>
        <w:rPr>
          <w:rFonts w:ascii="Georgia" w:eastAsia="Times New Roman" w:hAnsi="Georgia" w:cs="Times New Roman"/>
          <w:color w:val="505050"/>
          <w:sz w:val="28"/>
          <w:szCs w:val="28"/>
        </w:rPr>
      </w:pPr>
      <w:r w:rsidRPr="008A0ADA">
        <w:rPr>
          <w:rFonts w:ascii="Georgia" w:eastAsia="Times New Roman" w:hAnsi="Georgia" w:cs="Times New Roman"/>
          <w:color w:val="505050"/>
          <w:sz w:val="28"/>
          <w:szCs w:val="28"/>
        </w:rPr>
        <w:t>Therefore, the special section welcomes submission of high quality papers referring to any of these three </w:t>
      </w:r>
      <w:r w:rsidRPr="008A0ADA">
        <w:rPr>
          <w:rFonts w:ascii="Georgia" w:eastAsia="Times New Roman" w:hAnsi="Georgia" w:cs="Times New Roman"/>
          <w:i/>
          <w:iCs/>
          <w:color w:val="505050"/>
          <w:sz w:val="28"/>
        </w:rPr>
        <w:t>research macro-areas</w:t>
      </w:r>
      <w:r w:rsidRPr="008A0ADA">
        <w:rPr>
          <w:rFonts w:ascii="Georgia" w:eastAsia="Times New Roman" w:hAnsi="Georgia" w:cs="Times New Roman"/>
          <w:color w:val="505050"/>
          <w:sz w:val="28"/>
          <w:szCs w:val="28"/>
        </w:rPr>
        <w:t>.</w:t>
      </w:r>
    </w:p>
    <w:p w:rsidR="008A0ADA" w:rsidRPr="008A0ADA" w:rsidRDefault="008A0ADA" w:rsidP="008A0ADA">
      <w:pPr>
        <w:spacing w:after="339" w:line="366" w:lineRule="atLeast"/>
        <w:textAlignment w:val="baseline"/>
        <w:rPr>
          <w:rFonts w:ascii="Georgia" w:eastAsia="Times New Roman" w:hAnsi="Georgia" w:cs="Times New Roman"/>
          <w:color w:val="505050"/>
          <w:sz w:val="28"/>
          <w:szCs w:val="28"/>
        </w:rPr>
      </w:pPr>
      <w:r w:rsidRPr="008A0ADA">
        <w:rPr>
          <w:rFonts w:ascii="Georgia" w:eastAsia="Times New Roman" w:hAnsi="Georgia" w:cs="Times New Roman"/>
          <w:color w:val="505050"/>
          <w:sz w:val="28"/>
          <w:szCs w:val="28"/>
        </w:rPr>
        <w:t>Supplementary material is also welcome as well as videos and animations illustrating the topic of the research for researchers as well for the general public.</w:t>
      </w:r>
    </w:p>
    <w:p w:rsidR="008A0ADA" w:rsidRPr="008A0ADA" w:rsidRDefault="008A0ADA" w:rsidP="008A0ADA">
      <w:pPr>
        <w:spacing w:after="0" w:line="366" w:lineRule="atLeast"/>
        <w:textAlignment w:val="baseline"/>
        <w:rPr>
          <w:rFonts w:ascii="Georgia" w:eastAsia="Times New Roman" w:hAnsi="Georgia" w:cs="Times New Roman"/>
          <w:color w:val="505050"/>
          <w:sz w:val="28"/>
          <w:szCs w:val="28"/>
        </w:rPr>
      </w:pPr>
      <w:r w:rsidRPr="008A0ADA">
        <w:rPr>
          <w:rFonts w:ascii="Georgia" w:eastAsia="Times New Roman" w:hAnsi="Georgia" w:cs="Times New Roman"/>
          <w:color w:val="505050"/>
          <w:sz w:val="28"/>
          <w:szCs w:val="28"/>
        </w:rPr>
        <w:t>The Special Section development will be based primarily from papers presented at the </w:t>
      </w:r>
      <w:r w:rsidRPr="008A0ADA">
        <w:rPr>
          <w:rFonts w:ascii="Georgia" w:eastAsia="Times New Roman" w:hAnsi="Georgia" w:cs="Times New Roman"/>
          <w:b/>
          <w:bCs/>
          <w:color w:val="505050"/>
          <w:sz w:val="28"/>
        </w:rPr>
        <w:t>“</w:t>
      </w:r>
      <w:r w:rsidRPr="008A0ADA">
        <w:rPr>
          <w:rFonts w:ascii="Georgia" w:eastAsia="Times New Roman" w:hAnsi="Georgia" w:cs="Times New Roman"/>
          <w:b/>
          <w:bCs/>
          <w:i/>
          <w:iCs/>
          <w:color w:val="505050"/>
          <w:sz w:val="28"/>
        </w:rPr>
        <w:t xml:space="preserve">The Future of Food Waste: Challenges and Opportunities for </w:t>
      </w:r>
      <w:proofErr w:type="spellStart"/>
      <w:r w:rsidRPr="008A0ADA">
        <w:rPr>
          <w:rFonts w:ascii="Georgia" w:eastAsia="Times New Roman" w:hAnsi="Georgia" w:cs="Times New Roman"/>
          <w:b/>
          <w:bCs/>
          <w:i/>
          <w:iCs/>
          <w:color w:val="505050"/>
          <w:sz w:val="28"/>
        </w:rPr>
        <w:t>Valorisation</w:t>
      </w:r>
      <w:proofErr w:type="spellEnd"/>
      <w:r w:rsidRPr="008A0ADA">
        <w:rPr>
          <w:rFonts w:ascii="Georgia" w:eastAsia="Times New Roman" w:hAnsi="Georgia" w:cs="Times New Roman"/>
          <w:b/>
          <w:bCs/>
          <w:i/>
          <w:iCs/>
          <w:color w:val="505050"/>
          <w:sz w:val="28"/>
        </w:rPr>
        <w:t xml:space="preserve"> in Europe”, 20th-21st September 2016, </w:t>
      </w:r>
      <w:proofErr w:type="spellStart"/>
      <w:r w:rsidRPr="008A0ADA">
        <w:rPr>
          <w:rFonts w:ascii="Georgia" w:eastAsia="Times New Roman" w:hAnsi="Georgia" w:cs="Times New Roman"/>
          <w:b/>
          <w:bCs/>
          <w:i/>
          <w:iCs/>
          <w:color w:val="505050"/>
          <w:sz w:val="28"/>
        </w:rPr>
        <w:t>Wageningen</w:t>
      </w:r>
      <w:proofErr w:type="spellEnd"/>
      <w:r w:rsidRPr="008A0ADA">
        <w:rPr>
          <w:rFonts w:ascii="Georgia" w:eastAsia="Times New Roman" w:hAnsi="Georgia" w:cs="Times New Roman"/>
          <w:b/>
          <w:bCs/>
          <w:i/>
          <w:iCs/>
          <w:color w:val="505050"/>
          <w:sz w:val="28"/>
        </w:rPr>
        <w:t xml:space="preserve">, </w:t>
      </w:r>
      <w:proofErr w:type="gramStart"/>
      <w:r w:rsidRPr="008A0ADA">
        <w:rPr>
          <w:rFonts w:ascii="Georgia" w:eastAsia="Times New Roman" w:hAnsi="Georgia" w:cs="Times New Roman"/>
          <w:b/>
          <w:bCs/>
          <w:i/>
          <w:iCs/>
          <w:color w:val="505050"/>
          <w:sz w:val="28"/>
        </w:rPr>
        <w:t>The</w:t>
      </w:r>
      <w:proofErr w:type="gramEnd"/>
      <w:r w:rsidRPr="008A0ADA">
        <w:rPr>
          <w:rFonts w:ascii="Georgia" w:eastAsia="Times New Roman" w:hAnsi="Georgia" w:cs="Times New Roman"/>
          <w:b/>
          <w:bCs/>
          <w:i/>
          <w:iCs/>
          <w:color w:val="505050"/>
          <w:sz w:val="28"/>
        </w:rPr>
        <w:t xml:space="preserve"> </w:t>
      </w:r>
      <w:r w:rsidRPr="008A0ADA">
        <w:rPr>
          <w:rFonts w:ascii="Georgia" w:eastAsia="Times New Roman" w:hAnsi="Georgia" w:cs="Times New Roman"/>
          <w:b/>
          <w:bCs/>
          <w:i/>
          <w:iCs/>
          <w:color w:val="505050"/>
          <w:sz w:val="28"/>
        </w:rPr>
        <w:lastRenderedPageBreak/>
        <w:t>Netherlands.</w:t>
      </w:r>
      <w:r w:rsidRPr="008A0ADA">
        <w:rPr>
          <w:rFonts w:ascii="Georgia" w:eastAsia="Times New Roman" w:hAnsi="Georgia" w:cs="Times New Roman"/>
          <w:b/>
          <w:bCs/>
          <w:color w:val="505050"/>
          <w:sz w:val="28"/>
        </w:rPr>
        <w:t> </w:t>
      </w:r>
      <w:proofErr w:type="gramStart"/>
      <w:r w:rsidRPr="008A0ADA">
        <w:rPr>
          <w:rFonts w:ascii="Georgia" w:eastAsia="Times New Roman" w:hAnsi="Georgia" w:cs="Times New Roman"/>
          <w:color w:val="505050"/>
          <w:sz w:val="28"/>
          <w:szCs w:val="28"/>
        </w:rPr>
        <w:t>(</w:t>
      </w:r>
      <w:hyperlink r:id="rId5" w:tgtFrame="_blank" w:history="1">
        <w:r w:rsidRPr="008A0ADA">
          <w:rPr>
            <w:rFonts w:ascii="Georgia" w:eastAsia="Times New Roman" w:hAnsi="Georgia" w:cs="Times New Roman"/>
            <w:color w:val="007398"/>
            <w:sz w:val="28"/>
          </w:rPr>
          <w:t>http://www.costeubis.org/signup-wageningen-2016)</w:t>
        </w:r>
      </w:hyperlink>
      <w:r w:rsidRPr="008A0ADA">
        <w:rPr>
          <w:rFonts w:ascii="Georgia" w:eastAsia="Times New Roman" w:hAnsi="Georgia" w:cs="Times New Roman"/>
          <w:b/>
          <w:bCs/>
          <w:color w:val="505050"/>
          <w:sz w:val="28"/>
        </w:rPr>
        <w:t> conference.</w:t>
      </w:r>
      <w:proofErr w:type="gramEnd"/>
    </w:p>
    <w:p w:rsidR="00855A9B" w:rsidRDefault="00855A9B"/>
    <w:sectPr w:rsidR="00855A9B" w:rsidSect="00855A9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D57027"/>
    <w:multiLevelType w:val="multilevel"/>
    <w:tmpl w:val="807A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A0ADA"/>
    <w:rsid w:val="00855A9B"/>
    <w:rsid w:val="008A0A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A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0A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0ADA"/>
    <w:rPr>
      <w:b/>
      <w:bCs/>
    </w:rPr>
  </w:style>
  <w:style w:type="character" w:styleId="Emphasis">
    <w:name w:val="Emphasis"/>
    <w:basedOn w:val="DefaultParagraphFont"/>
    <w:uiPriority w:val="20"/>
    <w:qFormat/>
    <w:rsid w:val="008A0ADA"/>
    <w:rPr>
      <w:i/>
      <w:iCs/>
    </w:rPr>
  </w:style>
  <w:style w:type="character" w:styleId="Hyperlink">
    <w:name w:val="Hyperlink"/>
    <w:basedOn w:val="DefaultParagraphFont"/>
    <w:uiPriority w:val="99"/>
    <w:semiHidden/>
    <w:unhideWhenUsed/>
    <w:rsid w:val="008A0ADA"/>
    <w:rPr>
      <w:color w:val="0000FF"/>
      <w:u w:val="single"/>
    </w:rPr>
  </w:style>
</w:styles>
</file>

<file path=word/webSettings.xml><?xml version="1.0" encoding="utf-8"?>
<w:webSettings xmlns:r="http://schemas.openxmlformats.org/officeDocument/2006/relationships" xmlns:w="http://schemas.openxmlformats.org/wordprocessingml/2006/main">
  <w:divs>
    <w:div w:id="173978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osteubis.org/signup-wageningen-20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1255</Words>
  <Characters>7157</Characters>
  <Application>Microsoft Office Word</Application>
  <DocSecurity>0</DocSecurity>
  <Lines>59</Lines>
  <Paragraphs>16</Paragraphs>
  <ScaleCrop>false</ScaleCrop>
  <Company/>
  <LinksUpToDate>false</LinksUpToDate>
  <CharactersWithSpaces>8396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2018-10-16T07:05:00Z</dcterms:created>
  <dcterms:modified xsi:type="dcterms:W3CDTF">2018-10-16T07:05:00Z</dcterms:modified>
</cp:coreProperties>
</file>