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69FC" w14:textId="77777777" w:rsidR="00470263" w:rsidRPr="00470263" w:rsidRDefault="00470263" w:rsidP="00470263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IN"/>
        </w:rPr>
      </w:pPr>
      <w:r w:rsidRPr="00470263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IN"/>
        </w:rPr>
        <w:t xml:space="preserve">Food Security in Venezuela During </w:t>
      </w:r>
      <w:proofErr w:type="spellStart"/>
      <w:r w:rsidRPr="00470263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IN"/>
        </w:rPr>
        <w:t>Chavismo</w:t>
      </w:r>
      <w:proofErr w:type="spellEnd"/>
      <w:r w:rsidRPr="00470263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IN"/>
        </w:rPr>
        <w:t xml:space="preserve"> (1999–2017)</w:t>
      </w:r>
    </w:p>
    <w:p w14:paraId="44D7EB4C" w14:textId="12E359CB" w:rsidR="00470263" w:rsidRPr="00470263" w:rsidRDefault="00470263" w:rsidP="00470263">
      <w:pPr>
        <w:spacing w:before="330" w:after="0" w:line="240" w:lineRule="auto"/>
        <w:textAlignment w:val="top"/>
        <w:rPr>
          <w:rFonts w:ascii="Arial" w:eastAsia="Times New Roman" w:hAnsi="Arial" w:cs="Arial"/>
          <w:color w:val="737373"/>
          <w:sz w:val="21"/>
          <w:szCs w:val="21"/>
          <w:lang w:eastAsia="en-IN"/>
        </w:rPr>
      </w:pPr>
      <w:r w:rsidRPr="00470263">
        <w:rPr>
          <w:rFonts w:ascii="Arial" w:eastAsia="Times New Roman" w:hAnsi="Arial" w:cs="Arial"/>
          <w:color w:val="2E2E2E"/>
          <w:sz w:val="21"/>
          <w:szCs w:val="21"/>
          <w:bdr w:val="none" w:sz="0" w:space="0" w:color="auto" w:frame="1"/>
          <w:lang w:eastAsia="en-IN"/>
        </w:rPr>
        <w:t>Author links open overlay panel</w:t>
      </w:r>
      <w:bookmarkStart w:id="0" w:name="bau1"/>
      <w:r w:rsidR="00D40ACF">
        <w:rPr>
          <w:rFonts w:ascii="Arial" w:eastAsia="Times New Roman" w:hAnsi="Arial" w:cs="Arial"/>
          <w:color w:val="2E2E2E"/>
          <w:sz w:val="21"/>
          <w:szCs w:val="21"/>
          <w:bdr w:val="none" w:sz="0" w:space="0" w:color="auto" w:frame="1"/>
          <w:lang w:eastAsia="en-IN"/>
        </w:rPr>
        <w:t xml:space="preserve"> </w:t>
      </w:r>
      <w:bookmarkStart w:id="1" w:name="_Hlk7686569"/>
      <w:r w:rsidRPr="00470263">
        <w:rPr>
          <w:rFonts w:ascii="Arial" w:eastAsia="Times New Roman" w:hAnsi="Arial" w:cs="Arial"/>
          <w:color w:val="2E2E2E"/>
          <w:sz w:val="21"/>
          <w:szCs w:val="21"/>
          <w:lang w:eastAsia="en-IN"/>
        </w:rPr>
        <w:fldChar w:fldCharType="begin"/>
      </w:r>
      <w:r w:rsidRPr="00470263">
        <w:rPr>
          <w:rFonts w:ascii="Arial" w:eastAsia="Times New Roman" w:hAnsi="Arial" w:cs="Arial"/>
          <w:color w:val="2E2E2E"/>
          <w:sz w:val="21"/>
          <w:szCs w:val="21"/>
          <w:lang w:eastAsia="en-IN"/>
        </w:rPr>
        <w:instrText xml:space="preserve"> HYPERLINK "https://www.sciencedirect.com/science/article/pii/B9780081005965213772" \l "!" </w:instrText>
      </w:r>
      <w:r w:rsidRPr="00470263">
        <w:rPr>
          <w:rFonts w:ascii="Arial" w:eastAsia="Times New Roman" w:hAnsi="Arial" w:cs="Arial"/>
          <w:color w:val="2E2E2E"/>
          <w:sz w:val="21"/>
          <w:szCs w:val="21"/>
          <w:lang w:eastAsia="en-IN"/>
        </w:rPr>
        <w:fldChar w:fldCharType="separate"/>
      </w:r>
      <w:proofErr w:type="spellStart"/>
      <w:r w:rsidRPr="00470263">
        <w:rPr>
          <w:rFonts w:ascii="Arial" w:eastAsia="Times New Roman" w:hAnsi="Arial" w:cs="Arial"/>
          <w:color w:val="0C7DBB"/>
          <w:sz w:val="21"/>
          <w:szCs w:val="21"/>
          <w:lang w:eastAsia="en-IN"/>
        </w:rPr>
        <w:t>Dani</w:t>
      </w:r>
      <w:r w:rsidRPr="00470263">
        <w:rPr>
          <w:rFonts w:ascii="Arial" w:eastAsia="Times New Roman" w:hAnsi="Arial" w:cs="Arial"/>
          <w:color w:val="0C7DBB"/>
          <w:sz w:val="21"/>
          <w:szCs w:val="21"/>
          <w:lang w:eastAsia="en-IN"/>
        </w:rPr>
        <w:t>e</w:t>
      </w:r>
      <w:r w:rsidRPr="00470263">
        <w:rPr>
          <w:rFonts w:ascii="Arial" w:eastAsia="Times New Roman" w:hAnsi="Arial" w:cs="Arial"/>
          <w:color w:val="0C7DBB"/>
          <w:sz w:val="21"/>
          <w:szCs w:val="21"/>
          <w:lang w:eastAsia="en-IN"/>
        </w:rPr>
        <w:t>lCastro-Aniyar</w:t>
      </w:r>
      <w:proofErr w:type="spellEnd"/>
      <w:r w:rsidRPr="00470263">
        <w:rPr>
          <w:rFonts w:ascii="Arial" w:eastAsia="Times New Roman" w:hAnsi="Arial" w:cs="Arial"/>
          <w:color w:val="2E2E2E"/>
          <w:sz w:val="21"/>
          <w:szCs w:val="21"/>
          <w:lang w:eastAsia="en-IN"/>
        </w:rPr>
        <w:fldChar w:fldCharType="end"/>
      </w:r>
      <w:bookmarkEnd w:id="0"/>
      <w:bookmarkEnd w:id="1"/>
    </w:p>
    <w:p w14:paraId="2A6A9B1A" w14:textId="77777777" w:rsidR="00470263" w:rsidRPr="00470263" w:rsidRDefault="00470263" w:rsidP="00470263">
      <w:pPr>
        <w:spacing w:line="240" w:lineRule="auto"/>
        <w:ind w:left="720"/>
        <w:textAlignment w:val="top"/>
        <w:rPr>
          <w:rFonts w:ascii="Arial" w:eastAsia="Times New Roman" w:hAnsi="Arial" w:cs="Arial"/>
          <w:color w:val="737373"/>
          <w:sz w:val="21"/>
          <w:szCs w:val="21"/>
          <w:lang w:eastAsia="en-IN"/>
        </w:rPr>
      </w:pPr>
      <w:r w:rsidRPr="00470263">
        <w:rPr>
          <w:rFonts w:ascii="Arial" w:eastAsia="Times New Roman" w:hAnsi="Arial" w:cs="Arial"/>
          <w:color w:val="737373"/>
          <w:sz w:val="21"/>
          <w:szCs w:val="21"/>
          <w:lang w:eastAsia="en-IN"/>
        </w:rPr>
        <w:t xml:space="preserve">Universidad </w:t>
      </w:r>
      <w:proofErr w:type="spellStart"/>
      <w:r w:rsidRPr="00470263">
        <w:rPr>
          <w:rFonts w:ascii="Arial" w:eastAsia="Times New Roman" w:hAnsi="Arial" w:cs="Arial"/>
          <w:color w:val="737373"/>
          <w:sz w:val="21"/>
          <w:szCs w:val="21"/>
          <w:lang w:eastAsia="en-IN"/>
        </w:rPr>
        <w:t>Laica</w:t>
      </w:r>
      <w:proofErr w:type="spellEnd"/>
      <w:r w:rsidRPr="00470263">
        <w:rPr>
          <w:rFonts w:ascii="Arial" w:eastAsia="Times New Roman" w:hAnsi="Arial" w:cs="Arial"/>
          <w:color w:val="737373"/>
          <w:sz w:val="21"/>
          <w:szCs w:val="21"/>
          <w:lang w:eastAsia="en-IN"/>
        </w:rPr>
        <w:t xml:space="preserve"> Eloy Alfaro de Manabí (ULEAM), Manta, Ecuador</w:t>
      </w:r>
    </w:p>
    <w:p w14:paraId="56CCFBC7" w14:textId="77777777" w:rsidR="00470263" w:rsidRPr="00470263" w:rsidRDefault="00470263" w:rsidP="00470263">
      <w:pPr>
        <w:spacing w:after="240" w:line="330" w:lineRule="atLeast"/>
        <w:rPr>
          <w:rFonts w:ascii="Arial" w:eastAsia="Times New Roman" w:hAnsi="Arial" w:cs="Arial"/>
          <w:color w:val="2E2E2E"/>
          <w:sz w:val="21"/>
          <w:szCs w:val="21"/>
          <w:lang w:eastAsia="en-IN"/>
        </w:rPr>
      </w:pPr>
      <w:r w:rsidRPr="00470263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Available online 25 September 2017.</w:t>
      </w:r>
    </w:p>
    <w:p w14:paraId="10E3D823" w14:textId="77777777" w:rsidR="00470263" w:rsidRPr="00470263" w:rsidRDefault="00470263" w:rsidP="00470263">
      <w:pPr>
        <w:spacing w:after="120" w:line="330" w:lineRule="atLeast"/>
        <w:rPr>
          <w:rFonts w:ascii="Arial" w:eastAsia="Times New Roman" w:hAnsi="Arial" w:cs="Arial"/>
          <w:color w:val="2E2E2E"/>
          <w:sz w:val="21"/>
          <w:szCs w:val="21"/>
          <w:lang w:eastAsia="en-IN"/>
        </w:rPr>
      </w:pPr>
      <w:r w:rsidRPr="00470263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Show less</w:t>
      </w:r>
    </w:p>
    <w:p w14:paraId="0FE77E33" w14:textId="77777777" w:rsidR="00470263" w:rsidRPr="00470263" w:rsidRDefault="00693D0C" w:rsidP="00470263">
      <w:pPr>
        <w:spacing w:after="0" w:line="360" w:lineRule="atLeast"/>
        <w:rPr>
          <w:rFonts w:ascii="Arial" w:eastAsia="Times New Roman" w:hAnsi="Arial" w:cs="Arial"/>
          <w:color w:val="2E2E2E"/>
          <w:sz w:val="21"/>
          <w:szCs w:val="21"/>
          <w:lang w:eastAsia="en-IN"/>
        </w:rPr>
      </w:pPr>
      <w:hyperlink r:id="rId4" w:tgtFrame="_blank" w:tooltip="Persistent link using digital object identifier" w:history="1">
        <w:r w:rsidR="00470263" w:rsidRPr="00470263">
          <w:rPr>
            <w:rFonts w:ascii="Arial" w:eastAsia="Times New Roman" w:hAnsi="Arial" w:cs="Arial"/>
            <w:color w:val="0C7DBB"/>
            <w:sz w:val="21"/>
            <w:szCs w:val="21"/>
            <w:lang w:eastAsia="en-IN"/>
          </w:rPr>
          <w:t>https://doi.org/10.1016/B978-0-08-100596-5.21377-2</w:t>
        </w:r>
      </w:hyperlink>
      <w:hyperlink r:id="rId5" w:tgtFrame="_blank" w:history="1">
        <w:r w:rsidR="00470263" w:rsidRPr="00470263">
          <w:rPr>
            <w:rFonts w:ascii="Arial" w:eastAsia="Times New Roman" w:hAnsi="Arial" w:cs="Arial"/>
            <w:color w:val="0C7DBB"/>
            <w:sz w:val="21"/>
            <w:szCs w:val="21"/>
            <w:lang w:eastAsia="en-IN"/>
          </w:rPr>
          <w:t>Get rights and content</w:t>
        </w:r>
      </w:hyperlink>
    </w:p>
    <w:p w14:paraId="3EE128F1" w14:textId="77777777" w:rsidR="00470263" w:rsidRPr="00470263" w:rsidRDefault="00470263" w:rsidP="00470263">
      <w:pPr>
        <w:spacing w:before="100" w:beforeAutospacing="1" w:after="100" w:afterAutospacing="1" w:line="390" w:lineRule="atLeast"/>
        <w:outlineLvl w:val="1"/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val="en" w:eastAsia="en-IN"/>
        </w:rPr>
      </w:pPr>
      <w:r w:rsidRPr="00470263"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val="en" w:eastAsia="en-IN"/>
        </w:rPr>
        <w:t>Abstract</w:t>
      </w:r>
    </w:p>
    <w:p w14:paraId="5EEC8B27" w14:textId="77777777" w:rsidR="00470263" w:rsidRPr="00470263" w:rsidRDefault="00470263" w:rsidP="00470263">
      <w:pPr>
        <w:spacing w:after="0" w:line="39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</w:pPr>
      <w:bookmarkStart w:id="2" w:name="_Hlk7686632"/>
      <w:bookmarkStart w:id="3" w:name="_GoBack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>Policies designed to achieve access, availability, </w:t>
      </w:r>
      <w:hyperlink r:id="rId6" w:tooltip="Learn more about Nutritional Adequacy from ScienceDirect's AI-generated Topic Pages" w:history="1">
        <w:r w:rsidRPr="00470263">
          <w:rPr>
            <w:rFonts w:ascii="Times New Roman" w:eastAsia="Times New Roman" w:hAnsi="Times New Roman" w:cs="Times New Roman"/>
            <w:i/>
            <w:iCs/>
            <w:color w:val="0C7DBB"/>
            <w:sz w:val="27"/>
            <w:szCs w:val="27"/>
            <w:lang w:val="en" w:eastAsia="en-IN"/>
          </w:rPr>
          <w:t>nutritional adequacy</w:t>
        </w:r>
      </w:hyperlink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 xml:space="preserve"> and self-sufficiency of Food Security in Venezuela, highlighting the period known as “El </w:t>
      </w:r>
      <w:proofErr w:type="spellStart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>Chavismo</w:t>
      </w:r>
      <w:proofErr w:type="spellEnd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 xml:space="preserve">” (1999–2017), are evaluated. After a brief description of </w:t>
      </w:r>
      <w:proofErr w:type="spellStart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>previous</w:t>
      </w:r>
      <w:hyperlink r:id="rId7" w:tooltip="Learn more about Food Policy from ScienceDirect's AI-generated Topic Pages" w:history="1">
        <w:r w:rsidRPr="00470263">
          <w:rPr>
            <w:rFonts w:ascii="Times New Roman" w:eastAsia="Times New Roman" w:hAnsi="Times New Roman" w:cs="Times New Roman"/>
            <w:color w:val="0C7DBB"/>
            <w:sz w:val="27"/>
            <w:szCs w:val="27"/>
            <w:lang w:val="en" w:eastAsia="en-IN"/>
          </w:rPr>
          <w:t>food</w:t>
        </w:r>
        <w:proofErr w:type="spellEnd"/>
        <w:r w:rsidRPr="00470263">
          <w:rPr>
            <w:rFonts w:ascii="Times New Roman" w:eastAsia="Times New Roman" w:hAnsi="Times New Roman" w:cs="Times New Roman"/>
            <w:color w:val="0C7DBB"/>
            <w:sz w:val="27"/>
            <w:szCs w:val="27"/>
            <w:lang w:val="en" w:eastAsia="en-IN"/>
          </w:rPr>
          <w:t xml:space="preserve"> policies</w:t>
        </w:r>
      </w:hyperlink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>, a triangulation of diverse data is articulated in order to compensate the instability of the measurements as well as a persistent and growing statistical opacity.</w:t>
      </w:r>
    </w:p>
    <w:p w14:paraId="33A33CB2" w14:textId="77777777" w:rsidR="00470263" w:rsidRPr="00470263" w:rsidRDefault="00470263" w:rsidP="00470263">
      <w:pPr>
        <w:spacing w:after="120" w:line="39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 xml:space="preserve">Food Security clearly increases from 1999 to 2012. From 2012 to 2017 all indicators strongly fail down. </w:t>
      </w:r>
      <w:proofErr w:type="spellStart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>Macroeconomical</w:t>
      </w:r>
      <w:proofErr w:type="spellEnd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 xml:space="preserve"> factors, </w:t>
      </w:r>
      <w:proofErr w:type="spellStart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>inciding</w:t>
      </w:r>
      <w:proofErr w:type="spellEnd"/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 xml:space="preserve"> into the </w:t>
      </w:r>
      <w:r w:rsidRPr="00470263">
        <w:rPr>
          <w:rFonts w:ascii="Times New Roman" w:eastAsia="Times New Roman" w:hAnsi="Times New Roman" w:cs="Times New Roman"/>
          <w:i/>
          <w:iCs/>
          <w:color w:val="2E2E2E"/>
          <w:sz w:val="27"/>
          <w:szCs w:val="27"/>
          <w:lang w:val="en" w:eastAsia="en-IN"/>
        </w:rPr>
        <w:t>self-sufficiency</w:t>
      </w: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val="en" w:eastAsia="en-IN"/>
        </w:rPr>
        <w:t> decrease, explain this fail, which is afterward deepened by the decrease of oil prices.</w:t>
      </w:r>
    </w:p>
    <w:bookmarkEnd w:id="2"/>
    <w:bookmarkEnd w:id="3"/>
    <w:p w14:paraId="185C573A" w14:textId="77777777" w:rsidR="00470263" w:rsidRPr="00470263" w:rsidRDefault="00470263" w:rsidP="00470263">
      <w:pPr>
        <w:spacing w:before="240" w:after="100" w:afterAutospacing="1" w:line="420" w:lineRule="atLeast"/>
        <w:outlineLvl w:val="1"/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eastAsia="en-IN"/>
        </w:rPr>
      </w:pPr>
      <w:r w:rsidRPr="00470263"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eastAsia="en-IN"/>
        </w:rPr>
        <w:t>Keywords</w:t>
      </w:r>
    </w:p>
    <w:p w14:paraId="298B0864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Food security</w:t>
      </w:r>
    </w:p>
    <w:p w14:paraId="55CDA045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Self-sufficiency</w:t>
      </w:r>
    </w:p>
    <w:p w14:paraId="4C8A5CE5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Venezuela</w:t>
      </w:r>
    </w:p>
    <w:p w14:paraId="731A9142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Chavez</w:t>
      </w:r>
    </w:p>
    <w:p w14:paraId="5D438989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Overheated economy</w:t>
      </w:r>
    </w:p>
    <w:p w14:paraId="030030A7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Food access</w:t>
      </w:r>
    </w:p>
    <w:p w14:paraId="39572F04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Food availability</w:t>
      </w:r>
    </w:p>
    <w:p w14:paraId="60B376B5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Triangulation method</w:t>
      </w:r>
    </w:p>
    <w:p w14:paraId="5FDDEED2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Statistical opacity</w:t>
      </w:r>
    </w:p>
    <w:p w14:paraId="601FCBCC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Food stability</w:t>
      </w:r>
    </w:p>
    <w:p w14:paraId="3EDA4553" w14:textId="77777777" w:rsidR="00470263" w:rsidRPr="00470263" w:rsidRDefault="00470263" w:rsidP="00470263">
      <w:pPr>
        <w:spacing w:after="0"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t>Oil country</w:t>
      </w:r>
    </w:p>
    <w:p w14:paraId="56A2506D" w14:textId="77777777" w:rsidR="00470263" w:rsidRPr="00470263" w:rsidRDefault="00470263" w:rsidP="00470263">
      <w:pPr>
        <w:spacing w:line="420" w:lineRule="atLeast"/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</w:pPr>
      <w:r w:rsidRPr="00470263">
        <w:rPr>
          <w:rFonts w:ascii="Times New Roman" w:eastAsia="Times New Roman" w:hAnsi="Times New Roman" w:cs="Times New Roman"/>
          <w:color w:val="2E2E2E"/>
          <w:sz w:val="27"/>
          <w:szCs w:val="27"/>
          <w:lang w:eastAsia="en-IN"/>
        </w:rPr>
        <w:lastRenderedPageBreak/>
        <w:t>Economical Absorption</w:t>
      </w:r>
    </w:p>
    <w:p w14:paraId="66EEEE9B" w14:textId="77777777" w:rsidR="00431F82" w:rsidRPr="00470263" w:rsidRDefault="00431F82" w:rsidP="00470263"/>
    <w:sectPr w:rsidR="00431F82" w:rsidRPr="0047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82"/>
    <w:rsid w:val="00431F82"/>
    <w:rsid w:val="00470263"/>
    <w:rsid w:val="00693D0C"/>
    <w:rsid w:val="00D4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330"/>
  <w15:chartTrackingRefBased/>
  <w15:docId w15:val="{6BF490FA-6E6C-42A4-98A7-2239216D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0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02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itle-text">
    <w:name w:val="title-text"/>
    <w:basedOn w:val="DefaultParagraphFont"/>
    <w:rsid w:val="00470263"/>
  </w:style>
  <w:style w:type="character" w:customStyle="1" w:styleId="sr-only">
    <w:name w:val="sr-only"/>
    <w:basedOn w:val="DefaultParagraphFont"/>
    <w:rsid w:val="00470263"/>
  </w:style>
  <w:style w:type="character" w:styleId="Hyperlink">
    <w:name w:val="Hyperlink"/>
    <w:basedOn w:val="DefaultParagraphFont"/>
    <w:uiPriority w:val="99"/>
    <w:semiHidden/>
    <w:unhideWhenUsed/>
    <w:rsid w:val="00470263"/>
    <w:rPr>
      <w:color w:val="0000FF"/>
      <w:u w:val="single"/>
    </w:rPr>
  </w:style>
  <w:style w:type="character" w:customStyle="1" w:styleId="text">
    <w:name w:val="text"/>
    <w:basedOn w:val="DefaultParagraphFont"/>
    <w:rsid w:val="00470263"/>
  </w:style>
  <w:style w:type="paragraph" w:styleId="NormalWeb">
    <w:name w:val="Normal (Web)"/>
    <w:basedOn w:val="Normal"/>
    <w:uiPriority w:val="99"/>
    <w:semiHidden/>
    <w:unhideWhenUsed/>
    <w:rsid w:val="0047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70263"/>
  </w:style>
  <w:style w:type="character" w:styleId="Emphasis">
    <w:name w:val="Emphasis"/>
    <w:basedOn w:val="DefaultParagraphFont"/>
    <w:uiPriority w:val="20"/>
    <w:qFormat/>
    <w:rsid w:val="00470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7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9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808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1461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topics/agricultural-and-biological-sciences/food-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agricultural-and-biological-sciences/nutritional-adequacy" TargetMode="External"/><Relationship Id="rId5" Type="http://schemas.openxmlformats.org/officeDocument/2006/relationships/hyperlink" Target="https://s100.copyright.com/AppDispatchServlet?publisherName=ELS&amp;contentID=B9780081005965213772&amp;orderBeanReset=true" TargetMode="External"/><Relationship Id="rId4" Type="http://schemas.openxmlformats.org/officeDocument/2006/relationships/hyperlink" Target="https://doi.org/10.1016/B978-0-08-100596-5.21377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3</cp:revision>
  <dcterms:created xsi:type="dcterms:W3CDTF">2019-05-02T03:58:00Z</dcterms:created>
  <dcterms:modified xsi:type="dcterms:W3CDTF">2019-05-02T07:26:00Z</dcterms:modified>
</cp:coreProperties>
</file>