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        </w:t>
      </w:r>
      <w:r w:rsidDel="00000000" w:rsidR="00000000" w:rsidRPr="00000000">
        <w:rPr>
          <w:rFonts w:ascii="Arial" w:cs="Arial" w:eastAsia="Arial" w:hAnsi="Arial"/>
          <w:b w:val="1"/>
          <w:bCs w:val="1"/>
          <w:color w:val="1f1f1f"/>
          <w:sz w:val="46"/>
          <w:szCs w:val="46"/>
          <w:rtl w:val="0"/>
        </w:rPr>
        <w:t xml:space="preserve">LOW-COST TELEHEALTH SOLUTION FOR VILLAGES</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1f1f1f"/>
          <w:sz w:val="22"/>
          <w:szCs w:val="22"/>
          <w:rtl w:val="0"/>
        </w:rPr>
        <w:t xml:space="preserve">Sneha Singh, Anushreya Chauhan, Shreya Srivastava</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Arial" w:cs="Arial" w:eastAsia="Arial" w:hAnsi="Arial"/>
          <w:i w:val="1"/>
          <w:iCs w:val="1"/>
          <w:smallCaps w:val="0"/>
          <w:strike w:val="0"/>
          <w:color w:val="000000"/>
          <w:sz w:val="20"/>
          <w:szCs w:val="20"/>
          <w:u w:val="none"/>
          <w:shd w:fill="auto" w:val="clear"/>
          <w:vertAlign w:val="baseline"/>
        </w:rPr>
      </w:pP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Department</w:t>
      </w:r>
      <w:r w:rsidDel="00000000" w:rsidR="00000000" w:rsidRPr="00000000">
        <w:rPr>
          <w:rFonts w:ascii="Arial" w:cs="Arial" w:eastAsia="Arial" w:hAnsi="Arial"/>
          <w:i w:val="1"/>
          <w:iCs w:val="1"/>
          <w:sz w:val="20"/>
          <w:szCs w:val="20"/>
          <w:rtl w:val="0"/>
        </w:rPr>
        <w:t xml:space="preserve"> of Computer Science Engineering , Presidency </w:t>
      </w:r>
      <w:r w:rsidDel="00000000" w:rsidR="00000000" w:rsidRPr="00000000">
        <w:rPr>
          <w:rFonts w:ascii="Arial" w:cs="Arial" w:eastAsia="Arial" w:hAnsi="Arial"/>
          <w:i w:val="1"/>
          <w:iCs w:val="1"/>
          <w:smallCaps w:val="0"/>
          <w:strike w:val="0"/>
          <w:color w:val="000000"/>
          <w:sz w:val="20"/>
          <w:szCs w:val="20"/>
          <w:u w:val="none"/>
          <w:shd w:fill="auto" w:val="clear"/>
          <w:vertAlign w:val="baseline"/>
          <w:rtl w:val="0"/>
        </w:rPr>
        <w:t xml:space="preserve">University</w:t>
        <w:br w:type="textWrapping"/>
      </w:r>
      <w:r w:rsidDel="00000000" w:rsidR="00000000" w:rsidRPr="00000000">
        <w:rPr>
          <w:rFonts w:ascii="Arial" w:cs="Arial" w:eastAsia="Arial" w:hAnsi="Arial"/>
          <w:i w:val="1"/>
          <w:iCs w:val="1"/>
          <w:sz w:val="20"/>
          <w:szCs w:val="20"/>
          <w:rtl w:val="0"/>
        </w:rPr>
        <w:t xml:space="preserve">Bengaluru, Karnataka</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Courier" w:cs="Courier" w:eastAsia="Courier" w:hAnsi="Courier"/>
          <w:b w:val="0"/>
          <w:bCs w:val="0"/>
          <w:i w:val="0"/>
          <w:iCs w:val="0"/>
          <w:smallCaps w:val="0"/>
          <w:strike w:val="0"/>
          <w:color w:val="000000"/>
          <w:sz w:val="18"/>
          <w:szCs w:val="18"/>
          <w:u w:val="none"/>
          <w:shd w:fill="auto" w:val="clear"/>
          <w:vertAlign w:val="baseline"/>
        </w:rPr>
      </w:pPr>
      <w:r w:rsidDel="00000000" w:rsidR="00000000" w:rsidRPr="00000000">
        <w:rPr>
          <w:rFonts w:ascii="Courier" w:cs="Courier" w:eastAsia="Courier" w:hAnsi="Courier"/>
          <w:sz w:val="18"/>
          <w:szCs w:val="18"/>
          <w:vertAlign w:val="superscript"/>
          <w:rtl w:val="0"/>
        </w:rPr>
        <w:t xml:space="preserve">                                                                    </w:t>
      </w:r>
      <w:r w:rsidDel="00000000" w:rsidR="00000000" w:rsidRPr="00000000">
        <w:rPr>
          <w:rFonts w:ascii="Courier" w:cs="Courier" w:eastAsia="Courier" w:hAnsi="Courier"/>
          <w:sz w:val="19"/>
          <w:szCs w:val="19"/>
          <w:vertAlign w:val="superscript"/>
          <w:rtl w:val="0"/>
        </w:rPr>
        <w:t xml:space="preserve">    </w:t>
      </w:r>
      <w:r w:rsidDel="00000000" w:rsidR="00000000" w:rsidRPr="00000000">
        <w:rPr>
          <w:rFonts w:ascii="Arial" w:cs="Arial" w:eastAsia="Arial" w:hAnsi="Arial"/>
          <w:color w:val="1f1f1f"/>
          <w:sz w:val="19"/>
          <w:szCs w:val="19"/>
          <w:rtl w:val="0"/>
        </w:rPr>
        <w:t xml:space="preserve">Project ID</w:t>
      </w:r>
      <w:r w:rsidDel="00000000" w:rsidR="00000000" w:rsidRPr="00000000">
        <w:rPr>
          <w:rFonts w:ascii="Arial" w:cs="Arial" w:eastAsia="Arial" w:hAnsi="Arial"/>
          <w:b w:val="1"/>
          <w:bCs w:val="1"/>
          <w:color w:val="1f1f1f"/>
          <w:sz w:val="20"/>
          <w:szCs w:val="20"/>
          <w:rtl w:val="0"/>
        </w:rPr>
        <w:t xml:space="preserve">:</w:t>
      </w:r>
      <w:r w:rsidDel="00000000" w:rsidR="00000000" w:rsidRPr="00000000">
        <w:rPr>
          <w:rFonts w:ascii="Arial" w:cs="Arial" w:eastAsia="Arial" w:hAnsi="Arial"/>
          <w:color w:val="1f1f1f"/>
          <w:sz w:val="18"/>
          <w:szCs w:val="18"/>
          <w:rtl w:val="0"/>
        </w:rPr>
        <w:t xml:space="preserve"> PRJ_474</w:t>
      </w:r>
      <w:r w:rsidDel="00000000" w:rsidR="00000000" w:rsidRPr="00000000">
        <w:rPr>
          <w:rtl w:val="0"/>
        </w:rPr>
      </w:r>
    </w:p>
    <w:p w:rsidR="00000000" w:rsidDel="00000000" w:rsidP="00000000" w:rsidRDefault="00000000" w:rsidRPr="00000000" w14:paraId="00000006">
      <w:pPr>
        <w:rPr/>
        <w:sectPr>
          <w:pgSz w:h="16838" w:w="11906" w:orient="portrait"/>
          <w:pgMar w:bottom="2438" w:top="1077" w:left="0" w:right="811" w:header="709" w:footer="709"/>
          <w:pgNumType w:start="1"/>
        </w:sect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color w:val="1f1f1f"/>
          <w:sz w:val="20"/>
          <w:szCs w:val="20"/>
        </w:rPr>
      </w:pPr>
      <w:r w:rsidDel="00000000" w:rsidR="00000000" w:rsidRPr="00000000">
        <w:rPr>
          <w:rFonts w:ascii="Arial" w:cs="Arial" w:eastAsia="Arial" w:hAnsi="Arial"/>
          <w:b w:val="1"/>
          <w:bCs w:val="1"/>
          <w:color w:val="1f1f1f"/>
          <w:sz w:val="18"/>
          <w:szCs w:val="18"/>
          <w:rtl w:val="0"/>
        </w:rPr>
        <w:t xml:space="preserve">Abstract</w:t>
      </w:r>
      <w:r w:rsidDel="00000000" w:rsidR="00000000" w:rsidRPr="00000000">
        <w:rPr>
          <w:b w:val="1"/>
          <w:bCs w:val="1"/>
          <w:sz w:val="18"/>
          <w:szCs w:val="18"/>
          <w:rtl w:val="0"/>
        </w:rPr>
        <w:t xml:space="preserve"> - </w:t>
      </w:r>
      <w:r w:rsidDel="00000000" w:rsidR="00000000" w:rsidRPr="00000000">
        <w:rPr>
          <w:rFonts w:ascii="Arial" w:cs="Arial" w:eastAsia="Arial" w:hAnsi="Arial"/>
          <w:color w:val="1f1f1f"/>
          <w:sz w:val="20"/>
          <w:szCs w:val="20"/>
          <w:rtl w:val="0"/>
        </w:rPr>
        <w:t xml:space="preserve">As final-semester B.Tech students at Presidency University, we recognized a critical "last-mile" problem in India’s healthcare system: while technology advances rapidly in urban centers, rural populations remain largely disconnected from essential care. To address this, we have developed a low-cost, web-based telehealth platform designed specifically for rural villages. Aligned with UN Sustainable Development Goal 3 (Good Health and Well-being), our solution leverages an Adaptive WebRTC architecture that dynamically adjusts video quality based on network conditions. Furthermore, to solve the dual challenges of data privacy and lack of smartphone penetration, we introduce a novel </w:t>
      </w:r>
      <w:r w:rsidDel="00000000" w:rsidR="00000000" w:rsidRPr="00000000">
        <w:rPr>
          <w:rFonts w:ascii="Arial" w:cs="Arial" w:eastAsia="Arial" w:hAnsi="Arial"/>
          <w:b w:val="1"/>
          <w:bCs w:val="1"/>
          <w:color w:val="1f1f1f"/>
          <w:sz w:val="20"/>
          <w:szCs w:val="20"/>
          <w:rtl w:val="0"/>
        </w:rPr>
        <w:t xml:space="preserve">Blockchain-secured USSD Patient Record system</w:t>
      </w:r>
      <w:r w:rsidDel="00000000" w:rsidR="00000000" w:rsidRPr="00000000">
        <w:rPr>
          <w:rFonts w:ascii="Arial" w:cs="Arial" w:eastAsia="Arial" w:hAnsi="Arial"/>
          <w:color w:val="1f1f1f"/>
          <w:sz w:val="20"/>
          <w:szCs w:val="20"/>
          <w:rtl w:val="0"/>
        </w:rPr>
        <w:t xml:space="preserve">. This allows patients to trigger secure medical record retrievals using basic feature phones, providing doctors with instant, tamper-proof medical histories. This paper explores our technical approach to delivering scalable, accessible, and secure healthcare.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1"/>
        <w:spacing w:line="276" w:lineRule="auto"/>
        <w:jc w:val="both"/>
        <w:rPr>
          <w:rFonts w:ascii="Arial" w:cs="Arial" w:eastAsia="Arial" w:hAnsi="Arial"/>
          <w:sz w:val="20"/>
          <w:szCs w:val="20"/>
        </w:rPr>
      </w:pPr>
      <w:r w:rsidDel="00000000" w:rsidR="00000000" w:rsidRPr="00000000">
        <w:rPr>
          <w:rFonts w:ascii="Arial" w:cs="Arial" w:eastAsia="Arial" w:hAnsi="Arial"/>
          <w:b w:val="1"/>
          <w:bCs w:val="1"/>
          <w:i w:val="1"/>
          <w:iCs w:val="1"/>
          <w:sz w:val="18"/>
          <w:szCs w:val="18"/>
          <w:rtl w:val="0"/>
        </w:rPr>
        <w:t xml:space="preserve"> Keywords </w:t>
      </w:r>
      <w:r w:rsidDel="00000000" w:rsidR="00000000" w:rsidRPr="00000000">
        <w:rPr>
          <w:rtl w:val="0"/>
        </w:rPr>
        <w:t xml:space="preserve">- </w:t>
      </w:r>
      <w:r w:rsidDel="00000000" w:rsidR="00000000" w:rsidRPr="00000000">
        <w:rPr>
          <w:rFonts w:ascii="Arial" w:cs="Arial" w:eastAsia="Arial" w:hAnsi="Arial"/>
          <w:sz w:val="20"/>
          <w:szCs w:val="20"/>
          <w:rtl w:val="0"/>
        </w:rPr>
        <w:t xml:space="preserve">Telehealth/Telemedicine,Rural Healthcare,Access,Adaptive WebRTC,Blockchain Security,USSD Technology,Electronic Health Records (EHR),mHealth (Mobile Health),Low-Bandwidth Communication,Sustainable Development Goal 3 (SDG 3)</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right="0"/>
        <w:rPr>
          <w:rFonts w:ascii="Arial" w:cs="Arial" w:eastAsia="Arial" w:hAnsi="Arial"/>
          <w:i w:val="0"/>
          <w:iCs w:val="0"/>
          <w:smallCaps w:val="1"/>
          <w:strike w:val="0"/>
          <w:color w:val="000000"/>
          <w:u w:val="none"/>
          <w:shd w:fill="auto" w:val="clear"/>
          <w:vertAlign w:val="baseline"/>
        </w:rPr>
      </w:pPr>
      <w:r w:rsidDel="00000000" w:rsidR="00000000" w:rsidRPr="00000000">
        <w:rPr>
          <w:rFonts w:ascii="Arial" w:cs="Arial" w:eastAsia="Arial" w:hAnsi="Arial"/>
          <w:smallCaps w:val="1"/>
          <w:rtl w:val="0"/>
        </w:rPr>
        <w:t xml:space="preserve">I. </w:t>
      </w:r>
      <w:r w:rsidDel="00000000" w:rsidR="00000000" w:rsidRPr="00000000">
        <w:rPr>
          <w:rFonts w:ascii="Arial" w:cs="Arial" w:eastAsia="Arial" w:hAnsi="Arial"/>
          <w:i w:val="0"/>
          <w:iCs w:val="0"/>
          <w:smallCaps w:val="1"/>
          <w:strike w:val="0"/>
          <w:color w:val="000000"/>
          <w:u w:val="none"/>
          <w:shd w:fill="auto" w:val="clear"/>
          <w:vertAlign w:val="baseline"/>
          <w:rtl w:val="0"/>
        </w:rPr>
        <w:t xml:space="preserve">Introduction</w:t>
      </w:r>
    </w:p>
    <w:p w:rsidR="00000000" w:rsidDel="00000000" w:rsidP="00000000" w:rsidRDefault="00000000" w:rsidRPr="00000000" w14:paraId="0000000C">
      <w:pPr>
        <w:spacing w:line="360" w:lineRule="auto"/>
        <w:jc w:val="both"/>
        <w:rPr>
          <w:rFonts w:ascii="Arial" w:cs="Arial" w:eastAsia="Arial" w:hAnsi="Arial"/>
          <w:color w:val="1f1f1f"/>
          <w:sz w:val="20"/>
          <w:szCs w:val="20"/>
        </w:rPr>
      </w:pPr>
      <w:r w:rsidDel="00000000" w:rsidR="00000000" w:rsidRPr="00000000">
        <w:rPr>
          <w:rFonts w:ascii="Arial" w:cs="Arial" w:eastAsia="Arial" w:hAnsi="Arial"/>
          <w:color w:val="1f1f1f"/>
          <w:sz w:val="20"/>
          <w:szCs w:val="20"/>
          <w:rtl w:val="0"/>
        </w:rPr>
        <w:t xml:space="preserve">India faces a persistent and severe maldistribution of healthcare professionals. Approximately 74% of medical practitioners serve just 28% of the population, leaving the 70% of Indians who reside in rural areas with drastically limited options.</w:t>
      </w:r>
    </w:p>
    <w:p w:rsidR="00000000" w:rsidDel="00000000" w:rsidP="00000000" w:rsidRDefault="00000000" w:rsidRPr="00000000" w14:paraId="0000000D">
      <w:pPr>
        <w:spacing w:line="360" w:lineRule="auto"/>
        <w:rPr>
          <w:rFonts w:ascii="Arial" w:cs="Arial" w:eastAsia="Arial" w:hAnsi="Arial"/>
          <w:color w:val="1f1f1f"/>
          <w:sz w:val="20"/>
          <w:szCs w:val="20"/>
        </w:rPr>
      </w:pP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sz w:val="20"/>
          <w:szCs w:val="20"/>
        </w:rPr>
      </w:pPr>
      <w:r w:rsidDel="00000000" w:rsidR="00000000" w:rsidRPr="00000000">
        <w:rPr>
          <w:rFonts w:ascii="Arial" w:cs="Arial" w:eastAsia="Arial" w:hAnsi="Arial"/>
          <w:color w:val="1f1f1f"/>
          <w:sz w:val="20"/>
          <w:szCs w:val="20"/>
          <w:rtl w:val="0"/>
        </w:rPr>
        <w:t xml:space="preserve">As part of our Mini Project (CSE7102) under the guidance of Dr. Gopal K Shyam (HoD) and Mr. Mohd Shaliyar at Presidency University, our team set out to engineer a practical solution. Existing telemedicine platforms assume the existence of 4G networks and high digital literacy. Our innovation takes a fundamentally different approach by building for reality rather than utopia, accommodating unstable Internet connectivity, feature-phone reliance, and the technological constraints of rural patients.</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right="0"/>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Arial" w:cs="Arial" w:eastAsia="Arial" w:hAnsi="Arial"/>
          <w:smallCaps w:val="1"/>
          <w:rtl w:val="0"/>
        </w:rPr>
        <w:t xml:space="preserve">II. Literature review</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16"/>
        <w:jc w:val="both"/>
        <w:rPr/>
      </w:pPr>
      <w:r w:rsidDel="00000000" w:rsidR="00000000" w:rsidRPr="00000000">
        <w:rPr>
          <w:rFonts w:ascii="Arial" w:cs="Arial" w:eastAsia="Arial" w:hAnsi="Arial"/>
          <w:sz w:val="20"/>
          <w:szCs w:val="20"/>
          <w:rtl w:val="0"/>
        </w:rPr>
        <w:t xml:space="preserve">Extensive research highlights both the promise and the operational barriers of rural telemedicine. Farah (2026) emphasizes that inadequate digital infrastructure significantly limits telehealth access. Sairam et al. (2023) demonstrate high patient satisfaction with rural telehealth but note a heavy dependency on stable connectivity for live consultations. This critical hurdle of poor broadband access is further validated by Uddin &amp; Fariha (2024), establishing the need for adaptable platforms</w:t>
      </w:r>
      <w:r w:rsidDel="00000000" w:rsidR="00000000" w:rsidRPr="00000000">
        <w:rPr>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16"/>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Alenoghena et al. (2022) review cloud architectures for eHealth, highlighting latency and network fluctuation challenges. Ramanadhan et al. (2022) provide context on rural Indian deployments, showing the necessity for systems that function seamlessly within existing infrastructure. The specific technological barrier of bandwidth drops in India is outlined by S et al. (2023), justifying the need for systems that adapt automatically without user intervention. Chandrakar (2024) and Mathur &amp; Bidare (2025) confirm that while digital tools expand specialist reach and gain healthcare worker acceptance, reliable internet remains the primary operational obstacle in live use. Furthermore, Alnasser et al. (2024) discuss the prevalence of asynchronous methods in low-bandwidth areas, revealing a lack of robust synchronous solutions, a baseline requirement established earlier by Smith et al. (2005)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216"/>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mallCaps w:val="1"/>
          <w:rtl w:val="0"/>
        </w:rPr>
        <w:t xml:space="preserve">III. Methodology</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The development of this platform followed a modular software engineering approach, utilizing the PERN stack (PostgreSQL, Express, React, Node.js) enhanced with TypeScript for strict type safety and system reliability.</w:t>
      </w:r>
    </w:p>
    <w:p w:rsidR="00000000" w:rsidDel="00000000" w:rsidP="00000000" w:rsidRDefault="00000000" w:rsidRPr="00000000" w14:paraId="00000015">
      <w:pPr>
        <w:numPr>
          <w:ilvl w:val="0"/>
          <w:numId w:val="2"/>
        </w:numPr>
        <w:spacing w:after="0" w:afterAutospacing="0" w:line="360" w:lineRule="auto"/>
        <w:ind w:left="720" w:hanging="360"/>
        <w:rPr>
          <w:sz w:val="20"/>
          <w:szCs w:val="20"/>
        </w:rPr>
      </w:pPr>
      <w:r w:rsidDel="00000000" w:rsidR="00000000" w:rsidRPr="00000000">
        <w:rPr>
          <w:rFonts w:ascii="Arial" w:cs="Arial" w:eastAsia="Arial" w:hAnsi="Arial"/>
          <w:b w:val="1"/>
          <w:bCs w:val="1"/>
          <w:sz w:val="20"/>
          <w:szCs w:val="20"/>
          <w:rtl w:val="0"/>
        </w:rPr>
        <w:t xml:space="preserve">Frontend Development:</w:t>
      </w:r>
      <w:r w:rsidDel="00000000" w:rsidR="00000000" w:rsidRPr="00000000">
        <w:rPr>
          <w:rFonts w:ascii="Arial" w:cs="Arial" w:eastAsia="Arial" w:hAnsi="Arial"/>
          <w:sz w:val="20"/>
          <w:szCs w:val="20"/>
          <w:rtl w:val="0"/>
        </w:rPr>
        <w:t xml:space="preserve"> Built using React.js, HTML, CSS, and JavaScript, focusing on a single-tap, highly intuitive interface for both doctors and community health workers.</w:t>
      </w:r>
    </w:p>
    <w:p w:rsidR="00000000" w:rsidDel="00000000" w:rsidP="00000000" w:rsidRDefault="00000000" w:rsidRPr="00000000" w14:paraId="00000016">
      <w:pPr>
        <w:numPr>
          <w:ilvl w:val="0"/>
          <w:numId w:val="2"/>
        </w:numPr>
        <w:spacing w:after="0" w:afterAutospacing="0" w:line="360" w:lineRule="auto"/>
        <w:ind w:left="720" w:hanging="360"/>
        <w:rPr>
          <w:sz w:val="20"/>
          <w:szCs w:val="20"/>
        </w:rPr>
      </w:pPr>
      <w:r w:rsidDel="00000000" w:rsidR="00000000" w:rsidRPr="00000000">
        <w:rPr>
          <w:rFonts w:ascii="Arial" w:cs="Arial" w:eastAsia="Arial" w:hAnsi="Arial"/>
          <w:b w:val="1"/>
          <w:bCs w:val="1"/>
          <w:sz w:val="20"/>
          <w:szCs w:val="20"/>
          <w:rtl w:val="0"/>
        </w:rPr>
        <w:t xml:space="preserve">Backend &amp; Signaling:</w:t>
      </w:r>
      <w:r w:rsidDel="00000000" w:rsidR="00000000" w:rsidRPr="00000000">
        <w:rPr>
          <w:rFonts w:ascii="Arial" w:cs="Arial" w:eastAsia="Arial" w:hAnsi="Arial"/>
          <w:sz w:val="20"/>
          <w:szCs w:val="20"/>
          <w:rtl w:val="0"/>
        </w:rPr>
        <w:t xml:space="preserve"> Node.js and Express.js were used to construct the core server, with Socket.IO facilitating the signaling required for peer-to-peer connections.</w:t>
      </w:r>
    </w:p>
    <w:p w:rsidR="00000000" w:rsidDel="00000000" w:rsidP="00000000" w:rsidRDefault="00000000" w:rsidRPr="00000000" w14:paraId="00000017">
      <w:pPr>
        <w:numPr>
          <w:ilvl w:val="0"/>
          <w:numId w:val="2"/>
        </w:numPr>
        <w:spacing w:after="0" w:afterAutospacing="0" w:line="360" w:lineRule="auto"/>
        <w:ind w:left="720" w:hanging="360"/>
        <w:rPr>
          <w:sz w:val="20"/>
          <w:szCs w:val="20"/>
        </w:rPr>
      </w:pPr>
      <w:r w:rsidDel="00000000" w:rsidR="00000000" w:rsidRPr="00000000">
        <w:rPr>
          <w:rFonts w:ascii="Arial" w:cs="Arial" w:eastAsia="Arial" w:hAnsi="Arial"/>
          <w:b w:val="1"/>
          <w:bCs w:val="1"/>
          <w:sz w:val="20"/>
          <w:szCs w:val="20"/>
          <w:rtl w:val="0"/>
        </w:rPr>
        <w:t xml:space="preserve">Telecom Integration:</w:t>
      </w:r>
      <w:r w:rsidDel="00000000" w:rsidR="00000000" w:rsidRPr="00000000">
        <w:rPr>
          <w:rFonts w:ascii="Arial" w:cs="Arial" w:eastAsia="Arial" w:hAnsi="Arial"/>
          <w:sz w:val="20"/>
          <w:szCs w:val="20"/>
          <w:rtl w:val="0"/>
        </w:rPr>
        <w:t xml:space="preserve"> An Express webhook was engineered to listen for USSD payloads from telecom providers, allowing feature phone inputs to trigger backend logic.</w:t>
      </w:r>
    </w:p>
    <w:p w:rsidR="00000000" w:rsidDel="00000000" w:rsidP="00000000" w:rsidRDefault="00000000" w:rsidRPr="00000000" w14:paraId="00000018">
      <w:pPr>
        <w:numPr>
          <w:ilvl w:val="0"/>
          <w:numId w:val="2"/>
        </w:numPr>
        <w:spacing w:after="240" w:line="360" w:lineRule="auto"/>
        <w:ind w:left="720" w:hanging="360"/>
        <w:rPr>
          <w:sz w:val="20"/>
          <w:szCs w:val="20"/>
        </w:rPr>
      </w:pPr>
      <w:r w:rsidDel="00000000" w:rsidR="00000000" w:rsidRPr="00000000">
        <w:rPr>
          <w:rFonts w:ascii="Arial" w:cs="Arial" w:eastAsia="Arial" w:hAnsi="Arial"/>
          <w:b w:val="1"/>
          <w:bCs w:val="1"/>
          <w:sz w:val="20"/>
          <w:szCs w:val="20"/>
          <w:rtl w:val="0"/>
        </w:rPr>
        <w:t xml:space="preserve">Decentralized Storage:</w:t>
      </w:r>
      <w:r w:rsidDel="00000000" w:rsidR="00000000" w:rsidRPr="00000000">
        <w:rPr>
          <w:rFonts w:ascii="Arial" w:cs="Arial" w:eastAsia="Arial" w:hAnsi="Arial"/>
          <w:sz w:val="20"/>
          <w:szCs w:val="20"/>
          <w:rtl w:val="0"/>
        </w:rPr>
        <w:t xml:space="preserve"> Solidity smart contracts were developed and deployed to a testnet to map patient phone numbers to encrypted IPFS hashes of their medical records.</w:t>
      </w:r>
    </w:p>
    <w:p w:rsidR="00000000" w:rsidDel="00000000" w:rsidP="00000000" w:rsidRDefault="00000000" w:rsidRPr="00000000" w14:paraId="00000019">
      <w:pPr>
        <w:spacing w:line="360" w:lineRule="auto"/>
        <w:jc w:val="both"/>
        <w:rPr>
          <w:rFonts w:ascii="Arial" w:cs="Arial" w:eastAsia="Arial" w:hAnsi="Arial"/>
          <w:sz w:val="20"/>
          <w:szCs w:val="20"/>
        </w:rPr>
      </w:pPr>
      <w:r w:rsidDel="00000000" w:rsidR="00000000" w:rsidRPr="00000000">
        <w:rPr>
          <w:rFonts w:ascii="Arial" w:cs="Arial" w:eastAsia="Arial" w:hAnsi="Arial"/>
          <w:smallCaps w:val="1"/>
          <w:rtl w:val="0"/>
        </w:rPr>
        <w:t xml:space="preserve">IV. Proposed Model Architecture </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z w:val="20"/>
          <w:szCs w:val="20"/>
        </w:rPr>
      </w:pPr>
      <w:r w:rsidDel="00000000" w:rsidR="00000000" w:rsidRPr="00000000">
        <w:rPr>
          <w:rtl w:val="0"/>
        </w:rPr>
        <w:t xml:space="preserve"> </w:t>
      </w:r>
      <w:r w:rsidDel="00000000" w:rsidR="00000000" w:rsidRPr="00000000">
        <w:rPr>
          <w:rFonts w:ascii="Arial" w:cs="Arial" w:eastAsia="Arial" w:hAnsi="Arial"/>
          <w:sz w:val="20"/>
          <w:szCs w:val="20"/>
          <w:rtl w:val="0"/>
        </w:rPr>
        <w:t xml:space="preserve">The system architecture integrates legacy telecom networks with modern web protocols and decentralized ledgers.</w:t>
      </w:r>
    </w:p>
    <w:p w:rsidR="00000000" w:rsidDel="00000000" w:rsidP="00000000" w:rsidRDefault="00000000" w:rsidRPr="00000000" w14:paraId="0000001B">
      <w:pPr>
        <w:numPr>
          <w:ilvl w:val="0"/>
          <w:numId w:val="4"/>
        </w:numPr>
        <w:spacing w:after="0" w:afterAutospacing="0" w:line="360" w:lineRule="auto"/>
        <w:ind w:left="720" w:hanging="360"/>
        <w:rPr>
          <w:sz w:val="20"/>
          <w:szCs w:val="20"/>
        </w:rPr>
      </w:pPr>
      <w:r w:rsidDel="00000000" w:rsidR="00000000" w:rsidRPr="00000000">
        <w:rPr>
          <w:rFonts w:ascii="Arial" w:cs="Arial" w:eastAsia="Arial" w:hAnsi="Arial"/>
          <w:b w:val="1"/>
          <w:bCs w:val="1"/>
          <w:sz w:val="20"/>
          <w:szCs w:val="20"/>
          <w:rtl w:val="0"/>
        </w:rPr>
        <w:t xml:space="preserve">Module 1: Adaptive WebRTC Engine</w:t>
      </w:r>
      <w:r w:rsidDel="00000000" w:rsidR="00000000" w:rsidRPr="00000000">
        <w:rPr>
          <w:rFonts w:ascii="Arial" w:cs="Arial" w:eastAsia="Arial" w:hAnsi="Arial"/>
          <w:sz w:val="20"/>
          <w:szCs w:val="20"/>
          <w:rtl w:val="0"/>
        </w:rPr>
        <w:t xml:space="preserve"> The platform enables real-time audio and video consultations using WebRTC. A background polling mechanism monitors network conditions in real-time. If packet loss exceeds a predefined threshold, the system dynamically prioritizes audio continuity by halting the video track, preventing call drops.</w:t>
      </w:r>
    </w:p>
    <w:p w:rsidR="00000000" w:rsidDel="00000000" w:rsidP="00000000" w:rsidRDefault="00000000" w:rsidRPr="00000000" w14:paraId="0000001C">
      <w:pPr>
        <w:numPr>
          <w:ilvl w:val="0"/>
          <w:numId w:val="4"/>
        </w:numPr>
        <w:spacing w:after="0" w:afterAutospacing="0" w:line="360" w:lineRule="auto"/>
        <w:ind w:left="720" w:hanging="360"/>
        <w:rPr>
          <w:sz w:val="20"/>
          <w:szCs w:val="20"/>
        </w:rPr>
      </w:pPr>
      <w:r w:rsidDel="00000000" w:rsidR="00000000" w:rsidRPr="00000000">
        <w:rPr>
          <w:rFonts w:ascii="Arial" w:cs="Arial" w:eastAsia="Arial" w:hAnsi="Arial"/>
          <w:b w:val="1"/>
          <w:bCs w:val="1"/>
          <w:sz w:val="20"/>
          <w:szCs w:val="20"/>
          <w:rtl w:val="0"/>
        </w:rPr>
        <w:t xml:space="preserve">Module 2: USSD-Blockchain Gateway</w:t>
        <w:br w:type="textWrapping"/>
      </w:r>
      <w:r w:rsidDel="00000000" w:rsidR="00000000" w:rsidRPr="00000000">
        <w:rPr>
          <w:rFonts w:ascii="Arial" w:cs="Arial" w:eastAsia="Arial" w:hAnsi="Arial"/>
          <w:sz w:val="20"/>
          <w:szCs w:val="20"/>
          <w:rtl w:val="0"/>
        </w:rPr>
        <w:t xml:space="preserve">Patients dial a USSD code (e.g., </w:t>
      </w:r>
      <w:r w:rsidDel="00000000" w:rsidR="00000000" w:rsidRPr="00000000">
        <w:rPr>
          <w:rFonts w:ascii="Arial" w:cs="Arial" w:eastAsia="Arial" w:hAnsi="Arial"/>
          <w:color w:val="188038"/>
          <w:sz w:val="20"/>
          <w:szCs w:val="20"/>
          <w:rtl w:val="0"/>
        </w:rPr>
        <w:t xml:space="preserve">*123#</w:t>
      </w:r>
      <w:r w:rsidDel="00000000" w:rsidR="00000000" w:rsidRPr="00000000">
        <w:rPr>
          <w:rFonts w:ascii="Arial" w:cs="Arial" w:eastAsia="Arial" w:hAnsi="Arial"/>
          <w:sz w:val="20"/>
          <w:szCs w:val="20"/>
          <w:rtl w:val="0"/>
        </w:rPr>
        <w:t xml:space="preserve">) via GSM networks. The telecom provider forwards this request to the backend webhook. The backend authenticates the user and queries the Blockchain smart contract to retrieve the encrypted EHR hash.</w:t>
      </w:r>
    </w:p>
    <w:p w:rsidR="00000000" w:rsidDel="00000000" w:rsidP="00000000" w:rsidRDefault="00000000" w:rsidRPr="00000000" w14:paraId="0000001D">
      <w:pPr>
        <w:numPr>
          <w:ilvl w:val="0"/>
          <w:numId w:val="4"/>
        </w:numPr>
        <w:spacing w:after="240" w:line="360" w:lineRule="auto"/>
        <w:ind w:left="720" w:hanging="360"/>
        <w:rPr>
          <w:sz w:val="20"/>
          <w:szCs w:val="20"/>
        </w:rPr>
      </w:pPr>
      <w:r w:rsidDel="00000000" w:rsidR="00000000" w:rsidRPr="00000000">
        <w:rPr>
          <w:rFonts w:ascii="Arial" w:cs="Arial" w:eastAsia="Arial" w:hAnsi="Arial"/>
          <w:b w:val="1"/>
          <w:bCs w:val="1"/>
          <w:sz w:val="20"/>
          <w:szCs w:val="20"/>
          <w:rtl w:val="0"/>
        </w:rPr>
        <w:t xml:space="preserve">Module 3: Secure Cloud Infrastructure</w:t>
      </w:r>
      <w:r w:rsidDel="00000000" w:rsidR="00000000" w:rsidRPr="00000000">
        <w:rPr>
          <w:rFonts w:ascii="Arial" w:cs="Arial" w:eastAsia="Arial" w:hAnsi="Arial"/>
          <w:sz w:val="20"/>
          <w:szCs w:val="20"/>
          <w:rtl w:val="0"/>
        </w:rPr>
        <w:t xml:space="preserve"> AWS is utilized to securely manage user information, consultation records, and standard medical reports, while PostgreSQL handles relational mapping and scheduling.</w:t>
      </w:r>
    </w:p>
    <w:p w:rsidR="00000000" w:rsidDel="00000000" w:rsidP="00000000" w:rsidRDefault="00000000" w:rsidRPr="00000000" w14:paraId="0000001E">
      <w:pPr>
        <w:spacing w:line="360" w:lineRule="auto"/>
        <w:jc w:val="both"/>
        <w:rPr/>
      </w:pPr>
      <w:r w:rsidDel="00000000" w:rsidR="00000000" w:rsidRPr="00000000">
        <w:rPr>
          <w:rFonts w:ascii="Arial" w:cs="Arial" w:eastAsia="Arial" w:hAnsi="Arial"/>
          <w:smallCaps w:val="1"/>
          <w:rtl w:val="0"/>
        </w:rPr>
        <w:t xml:space="preserve">V. Experimental Results </w:t>
      </w:r>
      <w:r w:rsidDel="00000000" w:rsidR="00000000" w:rsidRPr="00000000">
        <w:rPr>
          <w:rtl w:val="0"/>
        </w:rPr>
      </w:r>
    </w:p>
    <w:p w:rsidR="00000000" w:rsidDel="00000000" w:rsidP="00000000" w:rsidRDefault="00000000" w:rsidRPr="00000000" w14:paraId="0000001F">
      <w:pPr>
        <w:spacing w:after="240" w:line="3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Testing and analysis were conducted using Linux tc/netem and Python to artificially simulate unstable rural networks.</w:t>
      </w:r>
    </w:p>
    <w:p w:rsidR="00000000" w:rsidDel="00000000" w:rsidP="00000000" w:rsidRDefault="00000000" w:rsidRPr="00000000" w14:paraId="00000020">
      <w:pPr>
        <w:numPr>
          <w:ilvl w:val="0"/>
          <w:numId w:val="1"/>
        </w:numPr>
        <w:spacing w:after="0" w:afterAutospacing="0" w:line="360" w:lineRule="auto"/>
        <w:ind w:left="720" w:hanging="360"/>
        <w:jc w:val="both"/>
        <w:rPr>
          <w:sz w:val="20"/>
          <w:szCs w:val="20"/>
        </w:rPr>
      </w:pPr>
      <w:r w:rsidDel="00000000" w:rsidR="00000000" w:rsidRPr="00000000">
        <w:rPr>
          <w:rFonts w:ascii="Arial" w:cs="Arial" w:eastAsia="Arial" w:hAnsi="Arial"/>
          <w:b w:val="1"/>
          <w:bCs w:val="1"/>
          <w:sz w:val="20"/>
          <w:szCs w:val="20"/>
          <w:rtl w:val="0"/>
        </w:rPr>
        <w:t xml:space="preserve">WebRTC Adaptability:</w:t>
      </w:r>
      <w:r w:rsidDel="00000000" w:rsidR="00000000" w:rsidRPr="00000000">
        <w:rPr>
          <w:rFonts w:ascii="Arial" w:cs="Arial" w:eastAsia="Arial" w:hAnsi="Arial"/>
          <w:sz w:val="20"/>
          <w:szCs w:val="20"/>
          <w:rtl w:val="0"/>
        </w:rPr>
        <w:t xml:space="preserve"> Under simulated 3G conditions with injected packet loss exceeding 5%, the Adaptive WebRTC algorithm successfully disabled the video stream within an average of 3 seconds. This prioritization of audio successfully maintained connection continuity, drastically reducing the total number of dropped calls compared to standard WebRTC implementations.</w:t>
      </w:r>
    </w:p>
    <w:p w:rsidR="00000000" w:rsidDel="00000000" w:rsidP="00000000" w:rsidRDefault="00000000" w:rsidRPr="00000000" w14:paraId="00000021">
      <w:pPr>
        <w:numPr>
          <w:ilvl w:val="0"/>
          <w:numId w:val="1"/>
        </w:numPr>
        <w:spacing w:after="0" w:afterAutospacing="0" w:line="360" w:lineRule="auto"/>
        <w:ind w:left="720" w:hanging="360"/>
        <w:jc w:val="both"/>
        <w:rPr>
          <w:sz w:val="20"/>
          <w:szCs w:val="20"/>
        </w:rPr>
      </w:pPr>
      <w:r w:rsidDel="00000000" w:rsidR="00000000" w:rsidRPr="00000000">
        <w:rPr>
          <w:rFonts w:ascii="Arial" w:cs="Arial" w:eastAsia="Arial" w:hAnsi="Arial"/>
          <w:b w:val="1"/>
          <w:bCs w:val="1"/>
          <w:sz w:val="20"/>
          <w:szCs w:val="20"/>
          <w:rtl w:val="0"/>
        </w:rPr>
        <w:t xml:space="preserve">USSD Latency:</w:t>
      </w:r>
      <w:r w:rsidDel="00000000" w:rsidR="00000000" w:rsidRPr="00000000">
        <w:rPr>
          <w:rFonts w:ascii="Arial" w:cs="Arial" w:eastAsia="Arial" w:hAnsi="Arial"/>
          <w:sz w:val="20"/>
          <w:szCs w:val="20"/>
          <w:rtl w:val="0"/>
        </w:rPr>
        <w:t xml:space="preserve"> The integration between the simulated telecom gateway and the blockchain testnet demonstrated that an EHR retrieval trigger could populate the doctor's dashboard in under 4 seconds, entirely bypassing the need for patient-side internet access.</w:t>
      </w:r>
    </w:p>
    <w:p w:rsidR="00000000" w:rsidDel="00000000" w:rsidP="00000000" w:rsidRDefault="00000000" w:rsidRPr="00000000" w14:paraId="00000022">
      <w:pPr>
        <w:numPr>
          <w:ilvl w:val="0"/>
          <w:numId w:val="1"/>
        </w:numPr>
        <w:spacing w:after="240" w:line="360" w:lineRule="auto"/>
        <w:ind w:left="720" w:hanging="360"/>
        <w:jc w:val="both"/>
        <w:rPr>
          <w:sz w:val="20"/>
          <w:szCs w:val="20"/>
        </w:rPr>
      </w:pPr>
      <w:r w:rsidDel="00000000" w:rsidR="00000000" w:rsidRPr="00000000">
        <w:rPr>
          <w:rFonts w:ascii="Arial" w:cs="Arial" w:eastAsia="Arial" w:hAnsi="Arial"/>
          <w:b w:val="1"/>
          <w:bCs w:val="1"/>
          <w:sz w:val="20"/>
          <w:szCs w:val="20"/>
          <w:rtl w:val="0"/>
        </w:rPr>
        <w:t xml:space="preserve">Hardware Efficiency:</w:t>
      </w:r>
      <w:r w:rsidDel="00000000" w:rsidR="00000000" w:rsidRPr="00000000">
        <w:rPr>
          <w:rFonts w:ascii="Arial" w:cs="Arial" w:eastAsia="Arial" w:hAnsi="Arial"/>
          <w:sz w:val="20"/>
          <w:szCs w:val="20"/>
          <w:rtl w:val="0"/>
        </w:rPr>
        <w:t xml:space="preserve"> The web-based system operated smoothly on standard hardware—smartphones, tablets, and basic computers equipped with standard cameras and microphones, validating its low-cost objective.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smallCaps w:val="1"/>
          <w:rtl w:val="0"/>
        </w:rPr>
        <w:t xml:space="preserve">VI. 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Fonts w:ascii="Arial" w:cs="Arial" w:eastAsia="Arial" w:hAnsi="Arial"/>
          <w:sz w:val="20"/>
          <w:szCs w:val="20"/>
          <w:rtl w:val="0"/>
        </w:rPr>
        <w:t xml:space="preserve">This research demonstrates that designing explicitly for constrained environments can effectively bridge the rural healthcare gap. By replacing the assumption of high-speed internet with an adaptive WebRTC architecture, the proposed Low-Cost Telehealth Solution for Villages significantly reduces video freezes and adapts video quality according to network conditions to maintain consultation continuity. Furthermore, the novel integration of legacy USSD telecom protocols with decentralized blockchain ledgers provides a highly secure, zero-internet method for managing and retrieving health records. This dual-pronged approach ensures that telemedicine is a scalable reality for under-resourced communities, actively working to reduce patients' travel time, transportation difficulties, and associated costs. Ultimately, this system provides a resilient blueprint for accessible care, making a tangible contribution toward SDG 3 – Good Health and Well-being.</w:t>
      </w:r>
      <w:r w:rsidDel="00000000" w:rsidR="00000000" w:rsidRPr="00000000">
        <w:rPr>
          <w:rtl w:val="0"/>
        </w:rPr>
        <w:t xml:space="preserve">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26">
      <w:pPr>
        <w:spacing w:line="360" w:lineRule="auto"/>
        <w:jc w:val="both"/>
        <w:rPr>
          <w:rFonts w:ascii="Arial" w:cs="Arial" w:eastAsia="Arial" w:hAnsi="Arial"/>
        </w:rPr>
      </w:pPr>
      <w:r w:rsidDel="00000000" w:rsidR="00000000" w:rsidRPr="00000000">
        <w:rPr>
          <w:rFonts w:ascii="Arial" w:cs="Arial" w:eastAsia="Arial" w:hAnsi="Arial"/>
          <w:smallCaps w:val="1"/>
          <w:rtl w:val="0"/>
        </w:rPr>
        <w:t xml:space="preserve">VII. Future Work </w:t>
      </w:r>
      <w:r w:rsidDel="00000000" w:rsidR="00000000" w:rsidRPr="00000000">
        <w:rPr>
          <w:rFonts w:ascii="Arial" w:cs="Arial" w:eastAsia="Arial" w:hAnsi="Arial"/>
          <w:rtl w:val="0"/>
        </w:rPr>
        <w:t xml:space="preserve"> </w:t>
      </w:r>
    </w:p>
    <w:p w:rsidR="00000000" w:rsidDel="00000000" w:rsidP="00000000" w:rsidRDefault="00000000" w:rsidRPr="00000000" w14:paraId="00000027">
      <w:pPr>
        <w:spacing w:line="360" w:lineRule="auto"/>
        <w:jc w:val="both"/>
        <w:rPr>
          <w:rFonts w:ascii="Arial" w:cs="Arial" w:eastAsia="Arial" w:hAnsi="Arial"/>
        </w:rPr>
      </w:pPr>
      <w:r w:rsidDel="00000000" w:rsidR="00000000" w:rsidRPr="00000000">
        <w:rPr>
          <w:rFonts w:ascii="Arial" w:cs="Arial" w:eastAsia="Arial" w:hAnsi="Arial"/>
          <w:sz w:val="20"/>
          <w:szCs w:val="20"/>
          <w:rtl w:val="0"/>
        </w:rPr>
        <w:t xml:space="preserve">Future iterations of this platform will focus on integrating Artificial Intelligence for clinical decision support, such as symptom-checking chatbots and automated triage systems for the incoming USSD requests. Additionally, migrating the blockchain infrastructure from testnets to a consortium mainnet partnered with government health initiatives (like Ayushman Bharat) will be critical for nationwide scalability.</w:t>
      </w: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smallCaps w:val="1"/>
        </w:rPr>
      </w:pPr>
      <w:r w:rsidDel="00000000" w:rsidR="00000000" w:rsidRPr="00000000">
        <w:rPr>
          <w:rFonts w:ascii="Arial" w:cs="Arial" w:eastAsia="Arial" w:hAnsi="Arial"/>
          <w:smallCaps w:val="1"/>
          <w:rtl w:val="0"/>
        </w:rPr>
        <w:t xml:space="preserve">VIII. References </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line="360" w:lineRule="auto"/>
        <w:ind w:left="432" w:right="0" w:hanging="432"/>
        <w:jc w:val="both"/>
        <w:rPr>
          <w:rFonts w:ascii="Arial" w:cs="Arial" w:eastAsia="Arial" w:hAnsi="Arial"/>
          <w:sz w:val="28"/>
          <w:szCs w:val="28"/>
        </w:rPr>
      </w:pPr>
      <w:r w:rsidDel="00000000" w:rsidR="00000000" w:rsidRPr="00000000">
        <w:rPr>
          <w:rFonts w:ascii="Arial" w:cs="Arial" w:eastAsia="Arial" w:hAnsi="Arial"/>
          <w:sz w:val="20"/>
          <w:szCs w:val="20"/>
          <w:rtl w:val="0"/>
        </w:rPr>
        <w:t xml:space="preserve">Farah, M. M. (2026). The impact of telehealth services on healthcare access in rural areas. </w:t>
      </w:r>
      <w:r w:rsidDel="00000000" w:rsidR="00000000" w:rsidRPr="00000000">
        <w:rPr>
          <w:rFonts w:ascii="Arial" w:cs="Arial" w:eastAsia="Arial" w:hAnsi="Arial"/>
          <w:i w:val="1"/>
          <w:iCs w:val="1"/>
          <w:sz w:val="20"/>
          <w:szCs w:val="20"/>
          <w:rtl w:val="0"/>
        </w:rPr>
        <w:t xml:space="preserve">BMC Public Health</w:t>
      </w:r>
      <w:r w:rsidDel="00000000" w:rsidR="00000000" w:rsidRPr="00000000">
        <w:rPr>
          <w:rFonts w:ascii="Arial" w:cs="Arial" w:eastAsia="Arial" w:hAnsi="Arial"/>
          <w:sz w:val="20"/>
          <w:szCs w:val="20"/>
          <w:rtl w:val="0"/>
        </w:rPr>
        <w:t xml:space="preserve">, 26, 2177.</w:t>
        <w:br w:type="textWrapping"/>
        <w:t xml:space="preserve"> PPTX</w:t>
      </w:r>
    </w:p>
    <w:p w:rsidR="00000000" w:rsidDel="00000000" w:rsidP="00000000" w:rsidRDefault="00000000" w:rsidRPr="00000000" w14:paraId="0000002A">
      <w:pPr>
        <w:numPr>
          <w:ilvl w:val="0"/>
          <w:numId w:val="3"/>
        </w:numPr>
        <w:spacing w:after="0" w:afterAutospacing="0" w:before="0" w:beforeAutospacing="0" w:line="360" w:lineRule="auto"/>
        <w:ind w:left="432"/>
        <w:jc w:val="both"/>
        <w:rPr>
          <w:rFonts w:ascii="Arial" w:cs="Arial" w:eastAsia="Arial" w:hAnsi="Arial"/>
          <w:sz w:val="26"/>
          <w:szCs w:val="26"/>
        </w:rPr>
      </w:pPr>
      <w:r w:rsidDel="00000000" w:rsidR="00000000" w:rsidRPr="00000000">
        <w:rPr>
          <w:rFonts w:ascii="Arial" w:cs="Arial" w:eastAsia="Arial" w:hAnsi="Arial"/>
          <w:sz w:val="20"/>
          <w:szCs w:val="20"/>
          <w:rtl w:val="0"/>
        </w:rPr>
        <w:t xml:space="preserve">Sairam, B., Reddy, M. R., Rameswarapu, R., &amp; Ramana, B. V. (2023). Analyzing the effectiveness of telemedicine in delivering mental health services to rural communities. </w:t>
      </w:r>
      <w:r w:rsidDel="00000000" w:rsidR="00000000" w:rsidRPr="00000000">
        <w:rPr>
          <w:rFonts w:ascii="Arial" w:cs="Arial" w:eastAsia="Arial" w:hAnsi="Arial"/>
          <w:i w:val="1"/>
          <w:iCs w:val="1"/>
          <w:sz w:val="20"/>
          <w:szCs w:val="20"/>
          <w:rtl w:val="0"/>
        </w:rPr>
        <w:t xml:space="preserve">International Journal of Academic Medicine and Pharmacy</w:t>
      </w:r>
      <w:r w:rsidDel="00000000" w:rsidR="00000000" w:rsidRPr="00000000">
        <w:rPr>
          <w:rFonts w:ascii="Arial" w:cs="Arial" w:eastAsia="Arial" w:hAnsi="Arial"/>
          <w:sz w:val="20"/>
          <w:szCs w:val="20"/>
          <w:rtl w:val="0"/>
        </w:rPr>
        <w:t xml:space="preserve">, 5(6), 887–890.</w:t>
        <w:br w:type="textWrapping"/>
        <w:t xml:space="preserve"> PPTX</w:t>
      </w:r>
    </w:p>
    <w:p w:rsidR="00000000" w:rsidDel="00000000" w:rsidP="00000000" w:rsidRDefault="00000000" w:rsidRPr="00000000" w14:paraId="0000002B">
      <w:pPr>
        <w:numPr>
          <w:ilvl w:val="0"/>
          <w:numId w:val="3"/>
        </w:numPr>
        <w:spacing w:after="0" w:afterAutospacing="0" w:before="0" w:beforeAutospacing="0" w:line="360" w:lineRule="auto"/>
        <w:ind w:left="432"/>
        <w:jc w:val="both"/>
        <w:rPr>
          <w:rFonts w:ascii="Arial" w:cs="Arial" w:eastAsia="Arial" w:hAnsi="Arial"/>
          <w:sz w:val="26"/>
          <w:szCs w:val="26"/>
        </w:rPr>
      </w:pPr>
      <w:r w:rsidDel="00000000" w:rsidR="00000000" w:rsidRPr="00000000">
        <w:rPr>
          <w:rFonts w:ascii="Arial" w:cs="Arial" w:eastAsia="Arial" w:hAnsi="Arial"/>
          <w:sz w:val="20"/>
          <w:szCs w:val="20"/>
          <w:rtl w:val="0"/>
        </w:rPr>
        <w:t xml:space="preserve">Uddin, J., &amp; Fariha, T. (2024). Bridging the Gap: Expanding Telehealth Services to Address Rural Health Disparities. </w:t>
      </w:r>
      <w:r w:rsidDel="00000000" w:rsidR="00000000" w:rsidRPr="00000000">
        <w:rPr>
          <w:rFonts w:ascii="Arial" w:cs="Arial" w:eastAsia="Arial" w:hAnsi="Arial"/>
          <w:i w:val="1"/>
          <w:iCs w:val="1"/>
          <w:sz w:val="20"/>
          <w:szCs w:val="20"/>
          <w:rtl w:val="0"/>
        </w:rPr>
        <w:t xml:space="preserve">Preprints.org</w:t>
      </w:r>
      <w:r w:rsidDel="00000000" w:rsidR="00000000" w:rsidRPr="00000000">
        <w:rPr>
          <w:rFonts w:ascii="Arial" w:cs="Arial" w:eastAsia="Arial" w:hAnsi="Arial"/>
          <w:sz w:val="20"/>
          <w:szCs w:val="20"/>
          <w:rtl w:val="0"/>
        </w:rPr>
        <w:t xml:space="preserve">.</w:t>
        <w:br w:type="textWrapping"/>
        <w:t xml:space="preserve"> PPTX</w:t>
      </w:r>
    </w:p>
    <w:p w:rsidR="00000000" w:rsidDel="00000000" w:rsidP="00000000" w:rsidRDefault="00000000" w:rsidRPr="00000000" w14:paraId="0000002C">
      <w:pPr>
        <w:numPr>
          <w:ilvl w:val="0"/>
          <w:numId w:val="3"/>
        </w:numPr>
        <w:spacing w:after="0" w:afterAutospacing="0" w:before="0" w:beforeAutospacing="0" w:line="360" w:lineRule="auto"/>
        <w:ind w:left="432"/>
        <w:jc w:val="both"/>
        <w:rPr>
          <w:rFonts w:ascii="Arial" w:cs="Arial" w:eastAsia="Arial" w:hAnsi="Arial"/>
          <w:sz w:val="26"/>
          <w:szCs w:val="26"/>
        </w:rPr>
      </w:pPr>
      <w:r w:rsidDel="00000000" w:rsidR="00000000" w:rsidRPr="00000000">
        <w:rPr>
          <w:rFonts w:ascii="Arial" w:cs="Arial" w:eastAsia="Arial" w:hAnsi="Arial"/>
          <w:sz w:val="20"/>
          <w:szCs w:val="20"/>
          <w:rtl w:val="0"/>
        </w:rPr>
        <w:t xml:space="preserve">Alenoghena, C. O., Onumanyi, A. J., Ohize, H. O., Adejo, A. O., Oligbi, M., Ali, S. I., &amp; Okoh, S. A. (2022). eHealth: A Survey of Architectures, Developments in mHealth, Security Concerns and Solutions. </w:t>
      </w:r>
      <w:r w:rsidDel="00000000" w:rsidR="00000000" w:rsidRPr="00000000">
        <w:rPr>
          <w:rFonts w:ascii="Arial" w:cs="Arial" w:eastAsia="Arial" w:hAnsi="Arial"/>
          <w:i w:val="1"/>
          <w:iCs w:val="1"/>
          <w:sz w:val="20"/>
          <w:szCs w:val="20"/>
          <w:rtl w:val="0"/>
        </w:rPr>
        <w:t xml:space="preserve">International Journal of Environmental Research and Public Health</w:t>
      </w:r>
      <w:r w:rsidDel="00000000" w:rsidR="00000000" w:rsidRPr="00000000">
        <w:rPr>
          <w:rFonts w:ascii="Arial" w:cs="Arial" w:eastAsia="Arial" w:hAnsi="Arial"/>
          <w:sz w:val="20"/>
          <w:szCs w:val="20"/>
          <w:rtl w:val="0"/>
        </w:rPr>
        <w:t xml:space="preserve">, 19(20), 13071.</w:t>
        <w:br w:type="textWrapping"/>
        <w:t xml:space="preserve"> PPTX</w:t>
      </w:r>
    </w:p>
    <w:p w:rsidR="00000000" w:rsidDel="00000000" w:rsidP="00000000" w:rsidRDefault="00000000" w:rsidRPr="00000000" w14:paraId="0000002D">
      <w:pPr>
        <w:numPr>
          <w:ilvl w:val="0"/>
          <w:numId w:val="3"/>
        </w:numPr>
        <w:spacing w:after="0" w:afterAutospacing="0" w:before="0" w:beforeAutospacing="0" w:line="360" w:lineRule="auto"/>
        <w:ind w:left="432"/>
        <w:jc w:val="both"/>
        <w:rPr>
          <w:rFonts w:ascii="Arial" w:cs="Arial" w:eastAsia="Arial" w:hAnsi="Arial"/>
          <w:sz w:val="26"/>
          <w:szCs w:val="26"/>
        </w:rPr>
      </w:pPr>
      <w:r w:rsidDel="00000000" w:rsidR="00000000" w:rsidRPr="00000000">
        <w:rPr>
          <w:rFonts w:ascii="Arial" w:cs="Arial" w:eastAsia="Arial" w:hAnsi="Arial"/>
          <w:sz w:val="20"/>
          <w:szCs w:val="20"/>
          <w:rtl w:val="0"/>
        </w:rPr>
        <w:t xml:space="preserve">Ramanadhan, S., Ganapathy, K., Nukala, L., Rajagopalan, S., &amp; Camillus, J. C. (2022). A model for sustainable, partnership-based telehealth services in rural India: An early process evaluation from Tuver village, Gujarat. </w:t>
      </w:r>
      <w:r w:rsidDel="00000000" w:rsidR="00000000" w:rsidRPr="00000000">
        <w:rPr>
          <w:rFonts w:ascii="Arial" w:cs="Arial" w:eastAsia="Arial" w:hAnsi="Arial"/>
          <w:i w:val="1"/>
          <w:iCs w:val="1"/>
          <w:sz w:val="20"/>
          <w:szCs w:val="20"/>
          <w:rtl w:val="0"/>
        </w:rPr>
        <w:t xml:space="preserve">PLOS ONE</w:t>
      </w:r>
      <w:r w:rsidDel="00000000" w:rsidR="00000000" w:rsidRPr="00000000">
        <w:rPr>
          <w:rFonts w:ascii="Arial" w:cs="Arial" w:eastAsia="Arial" w:hAnsi="Arial"/>
          <w:sz w:val="20"/>
          <w:szCs w:val="20"/>
          <w:rtl w:val="0"/>
        </w:rPr>
        <w:t xml:space="preserve">, 17(1), e0261907.</w:t>
        <w:br w:type="textWrapping"/>
        <w:t xml:space="preserve"> PPTX</w:t>
      </w:r>
    </w:p>
    <w:p w:rsidR="00000000" w:rsidDel="00000000" w:rsidP="00000000" w:rsidRDefault="00000000" w:rsidRPr="00000000" w14:paraId="0000002E">
      <w:pPr>
        <w:numPr>
          <w:ilvl w:val="0"/>
          <w:numId w:val="3"/>
        </w:numPr>
        <w:spacing w:after="0" w:afterAutospacing="0" w:before="0" w:beforeAutospacing="0" w:line="360" w:lineRule="auto"/>
        <w:ind w:left="432"/>
        <w:jc w:val="both"/>
        <w:rPr>
          <w:rFonts w:ascii="Arial" w:cs="Arial" w:eastAsia="Arial" w:hAnsi="Arial"/>
          <w:sz w:val="26"/>
          <w:szCs w:val="26"/>
        </w:rPr>
      </w:pPr>
      <w:r w:rsidDel="00000000" w:rsidR="00000000" w:rsidRPr="00000000">
        <w:rPr>
          <w:rFonts w:ascii="Arial" w:cs="Arial" w:eastAsia="Arial" w:hAnsi="Arial"/>
          <w:sz w:val="20"/>
          <w:szCs w:val="20"/>
          <w:rtl w:val="0"/>
        </w:rPr>
        <w:t xml:space="preserve">S, A., Kesarwani, S., &amp; Satheesh, S. S. (2023). A Narrative Review on Telehealth Services Adoption in Rural Areas and Related Barriers to Telehealth in India. </w:t>
      </w:r>
      <w:r w:rsidDel="00000000" w:rsidR="00000000" w:rsidRPr="00000000">
        <w:rPr>
          <w:rFonts w:ascii="Arial" w:cs="Arial" w:eastAsia="Arial" w:hAnsi="Arial"/>
          <w:i w:val="1"/>
          <w:iCs w:val="1"/>
          <w:sz w:val="20"/>
          <w:szCs w:val="20"/>
          <w:rtl w:val="0"/>
        </w:rPr>
        <w:t xml:space="preserve">The Indian Practitioner</w:t>
      </w:r>
      <w:r w:rsidDel="00000000" w:rsidR="00000000" w:rsidRPr="00000000">
        <w:rPr>
          <w:rFonts w:ascii="Arial" w:cs="Arial" w:eastAsia="Arial" w:hAnsi="Arial"/>
          <w:sz w:val="20"/>
          <w:szCs w:val="20"/>
          <w:rtl w:val="0"/>
        </w:rPr>
        <w:t xml:space="preserve">, 76(4), 13–21.</w:t>
        <w:br w:type="textWrapping"/>
        <w:t xml:space="preserve"> PPTX</w:t>
      </w:r>
    </w:p>
    <w:p w:rsidR="00000000" w:rsidDel="00000000" w:rsidP="00000000" w:rsidRDefault="00000000" w:rsidRPr="00000000" w14:paraId="0000002F">
      <w:pPr>
        <w:numPr>
          <w:ilvl w:val="0"/>
          <w:numId w:val="3"/>
        </w:numPr>
        <w:spacing w:after="0" w:afterAutospacing="0" w:before="0" w:beforeAutospacing="0" w:line="360" w:lineRule="auto"/>
        <w:ind w:left="432"/>
        <w:jc w:val="both"/>
        <w:rPr>
          <w:rFonts w:ascii="Arial" w:cs="Arial" w:eastAsia="Arial" w:hAnsi="Arial"/>
          <w:sz w:val="26"/>
          <w:szCs w:val="26"/>
        </w:rPr>
      </w:pPr>
      <w:r w:rsidDel="00000000" w:rsidR="00000000" w:rsidRPr="00000000">
        <w:rPr>
          <w:rFonts w:ascii="Arial" w:cs="Arial" w:eastAsia="Arial" w:hAnsi="Arial"/>
          <w:sz w:val="20"/>
          <w:szCs w:val="20"/>
          <w:rtl w:val="0"/>
        </w:rPr>
        <w:t xml:space="preserve">Chandrakar, M. (2024). Telehealth and digital tools enhancing healthcare access in rural systems. </w:t>
      </w:r>
      <w:r w:rsidDel="00000000" w:rsidR="00000000" w:rsidRPr="00000000">
        <w:rPr>
          <w:rFonts w:ascii="Arial" w:cs="Arial" w:eastAsia="Arial" w:hAnsi="Arial"/>
          <w:i w:val="1"/>
          <w:iCs w:val="1"/>
          <w:sz w:val="20"/>
          <w:szCs w:val="20"/>
          <w:rtl w:val="0"/>
        </w:rPr>
        <w:t xml:space="preserve">Discover Public Health</w:t>
      </w:r>
      <w:r w:rsidDel="00000000" w:rsidR="00000000" w:rsidRPr="00000000">
        <w:rPr>
          <w:rFonts w:ascii="Arial" w:cs="Arial" w:eastAsia="Arial" w:hAnsi="Arial"/>
          <w:sz w:val="20"/>
          <w:szCs w:val="20"/>
          <w:rtl w:val="0"/>
        </w:rPr>
        <w:t xml:space="preserve">, 21(144).</w:t>
        <w:br w:type="textWrapping"/>
        <w:t xml:space="preserve"> PPTX</w:t>
      </w:r>
    </w:p>
    <w:p w:rsidR="00000000" w:rsidDel="00000000" w:rsidP="00000000" w:rsidRDefault="00000000" w:rsidRPr="00000000" w14:paraId="00000030">
      <w:pPr>
        <w:numPr>
          <w:ilvl w:val="0"/>
          <w:numId w:val="3"/>
        </w:numPr>
        <w:spacing w:after="0" w:afterAutospacing="0" w:before="0" w:beforeAutospacing="0" w:line="360" w:lineRule="auto"/>
        <w:ind w:left="432"/>
        <w:jc w:val="both"/>
        <w:rPr>
          <w:rFonts w:ascii="Arial" w:cs="Arial" w:eastAsia="Arial" w:hAnsi="Arial"/>
          <w:sz w:val="26"/>
          <w:szCs w:val="26"/>
        </w:rPr>
      </w:pPr>
      <w:r w:rsidDel="00000000" w:rsidR="00000000" w:rsidRPr="00000000">
        <w:rPr>
          <w:rFonts w:ascii="Arial" w:cs="Arial" w:eastAsia="Arial" w:hAnsi="Arial"/>
          <w:sz w:val="20"/>
          <w:szCs w:val="20"/>
          <w:rtl w:val="0"/>
        </w:rPr>
        <w:t xml:space="preserve">Mathur, P., &amp; Bidare, N. K. S. (2025). Telemedicine in rural settings: A cross-sectional study on its promoters &amp; barriers. </w:t>
      </w:r>
      <w:r w:rsidDel="00000000" w:rsidR="00000000" w:rsidRPr="00000000">
        <w:rPr>
          <w:rFonts w:ascii="Arial" w:cs="Arial" w:eastAsia="Arial" w:hAnsi="Arial"/>
          <w:i w:val="1"/>
          <w:iCs w:val="1"/>
          <w:sz w:val="20"/>
          <w:szCs w:val="20"/>
          <w:rtl w:val="0"/>
        </w:rPr>
        <w:t xml:space="preserve">Indian Journal of Medical Research</w:t>
      </w:r>
      <w:r w:rsidDel="00000000" w:rsidR="00000000" w:rsidRPr="00000000">
        <w:rPr>
          <w:rFonts w:ascii="Arial" w:cs="Arial" w:eastAsia="Arial" w:hAnsi="Arial"/>
          <w:sz w:val="20"/>
          <w:szCs w:val="20"/>
          <w:rtl w:val="0"/>
        </w:rPr>
        <w:t xml:space="preserve">, 162, 792–795.</w:t>
        <w:br w:type="textWrapping"/>
        <w:t xml:space="preserve"> PPTX</w:t>
      </w:r>
    </w:p>
    <w:p w:rsidR="00000000" w:rsidDel="00000000" w:rsidP="00000000" w:rsidRDefault="00000000" w:rsidRPr="00000000" w14:paraId="00000031">
      <w:pPr>
        <w:numPr>
          <w:ilvl w:val="0"/>
          <w:numId w:val="3"/>
        </w:numPr>
        <w:spacing w:after="0" w:afterAutospacing="0" w:before="0" w:beforeAutospacing="0" w:line="360" w:lineRule="auto"/>
        <w:ind w:left="432"/>
        <w:jc w:val="both"/>
        <w:rPr>
          <w:rFonts w:ascii="Arial" w:cs="Arial" w:eastAsia="Arial" w:hAnsi="Arial"/>
          <w:sz w:val="26"/>
          <w:szCs w:val="26"/>
        </w:rPr>
      </w:pPr>
      <w:r w:rsidDel="00000000" w:rsidR="00000000" w:rsidRPr="00000000">
        <w:rPr>
          <w:rFonts w:ascii="Arial" w:cs="Arial" w:eastAsia="Arial" w:hAnsi="Arial"/>
          <w:sz w:val="20"/>
          <w:szCs w:val="20"/>
          <w:rtl w:val="0"/>
        </w:rPr>
        <w:t xml:space="preserve">Alnasser, Y., Proaño, A., Loock, C., Chuo, J., &amp; Gilman, R. H. (2024). Telemedicine and Pediatric Care in Rural and Remote Areas of Middle- and-Low-Income Countries. </w:t>
      </w:r>
      <w:r w:rsidDel="00000000" w:rsidR="00000000" w:rsidRPr="00000000">
        <w:rPr>
          <w:rFonts w:ascii="Arial" w:cs="Arial" w:eastAsia="Arial" w:hAnsi="Arial"/>
          <w:i w:val="1"/>
          <w:iCs w:val="1"/>
          <w:sz w:val="20"/>
          <w:szCs w:val="20"/>
          <w:rtl w:val="0"/>
        </w:rPr>
        <w:t xml:space="preserve">Journal of Epidemiology and Global Health</w:t>
      </w:r>
      <w:r w:rsidDel="00000000" w:rsidR="00000000" w:rsidRPr="00000000">
        <w:rPr>
          <w:rFonts w:ascii="Arial" w:cs="Arial" w:eastAsia="Arial" w:hAnsi="Arial"/>
          <w:sz w:val="20"/>
          <w:szCs w:val="20"/>
          <w:rtl w:val="0"/>
        </w:rPr>
        <w:t xml:space="preserve">, 14, 779–786.</w:t>
        <w:br w:type="textWrapping"/>
        <w:t xml:space="preserve"> PPTX</w:t>
      </w:r>
    </w:p>
    <w:p w:rsidR="00000000" w:rsidDel="00000000" w:rsidP="00000000" w:rsidRDefault="00000000" w:rsidRPr="00000000" w14:paraId="00000032">
      <w:pPr>
        <w:numPr>
          <w:ilvl w:val="0"/>
          <w:numId w:val="3"/>
        </w:numPr>
        <w:spacing w:after="0" w:afterAutospacing="0" w:before="0" w:beforeAutospacing="0" w:line="360" w:lineRule="auto"/>
        <w:ind w:left="432"/>
        <w:jc w:val="both"/>
        <w:rPr>
          <w:rFonts w:ascii="Arial" w:cs="Arial" w:eastAsia="Arial" w:hAnsi="Arial"/>
          <w:sz w:val="26"/>
          <w:szCs w:val="26"/>
        </w:rPr>
      </w:pPr>
      <w:r w:rsidDel="00000000" w:rsidR="00000000" w:rsidRPr="00000000">
        <w:rPr>
          <w:rFonts w:ascii="Arial" w:cs="Arial" w:eastAsia="Arial" w:hAnsi="Arial"/>
          <w:sz w:val="20"/>
          <w:szCs w:val="20"/>
          <w:rtl w:val="0"/>
        </w:rPr>
        <w:t xml:space="preserve">Smith, A. C., Bensink, M., Armfield, N., Stillman, J., &amp; Caffery, L. (2005). Telemedicine and rural health care applications. </w:t>
      </w:r>
      <w:r w:rsidDel="00000000" w:rsidR="00000000" w:rsidRPr="00000000">
        <w:rPr>
          <w:rFonts w:ascii="Arial" w:cs="Arial" w:eastAsia="Arial" w:hAnsi="Arial"/>
          <w:i w:val="1"/>
          <w:iCs w:val="1"/>
          <w:sz w:val="20"/>
          <w:szCs w:val="20"/>
          <w:rtl w:val="0"/>
        </w:rPr>
        <w:t xml:space="preserve">Journal of Postgraduate Medicine</w:t>
      </w:r>
      <w:r w:rsidDel="00000000" w:rsidR="00000000" w:rsidRPr="00000000">
        <w:rPr>
          <w:rFonts w:ascii="Arial" w:cs="Arial" w:eastAsia="Arial" w:hAnsi="Arial"/>
          <w:sz w:val="20"/>
          <w:szCs w:val="20"/>
          <w:rtl w:val="0"/>
        </w:rPr>
        <w:t xml:space="preserve">, 51(4), 286–293.</w:t>
        <w:br w:type="textWrapping"/>
        <w:t xml:space="preserve"> PPTX</w:t>
      </w:r>
    </w:p>
    <w:p w:rsidR="00000000" w:rsidDel="00000000" w:rsidP="00000000" w:rsidRDefault="00000000" w:rsidRPr="00000000" w14:paraId="00000033">
      <w:pPr>
        <w:numPr>
          <w:ilvl w:val="0"/>
          <w:numId w:val="3"/>
        </w:numPr>
        <w:spacing w:after="0" w:afterAutospacing="0" w:before="0" w:beforeAutospacing="0" w:line="360" w:lineRule="auto"/>
        <w:ind w:left="432"/>
        <w:jc w:val="both"/>
        <w:rPr>
          <w:rFonts w:ascii="Arial" w:cs="Arial" w:eastAsia="Arial" w:hAnsi="Arial"/>
          <w:sz w:val="26"/>
          <w:szCs w:val="26"/>
        </w:rPr>
      </w:pPr>
      <w:r w:rsidDel="00000000" w:rsidR="00000000" w:rsidRPr="00000000">
        <w:rPr>
          <w:rFonts w:ascii="Arial" w:cs="Arial" w:eastAsia="Arial" w:hAnsi="Arial"/>
          <w:sz w:val="20"/>
          <w:szCs w:val="20"/>
          <w:rtl w:val="0"/>
        </w:rPr>
        <w:t xml:space="preserve">Indian Council of Medical Research. (2024). Role of blockchain technology in boosting Ayushman Bharat scheme implementation in India. </w:t>
      </w:r>
      <w:r w:rsidDel="00000000" w:rsidR="00000000" w:rsidRPr="00000000">
        <w:rPr>
          <w:rFonts w:ascii="Arial" w:cs="Arial" w:eastAsia="Arial" w:hAnsi="Arial"/>
          <w:i w:val="1"/>
          <w:iCs w:val="1"/>
          <w:sz w:val="20"/>
          <w:szCs w:val="20"/>
          <w:rtl w:val="0"/>
        </w:rPr>
        <w:t xml:space="preserve">Indian Journal of Medical Research</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4">
      <w:pPr>
        <w:numPr>
          <w:ilvl w:val="0"/>
          <w:numId w:val="3"/>
        </w:numPr>
        <w:spacing w:after="240" w:before="0" w:beforeAutospacing="0" w:line="360" w:lineRule="auto"/>
        <w:ind w:left="432"/>
        <w:jc w:val="both"/>
        <w:rPr>
          <w:rFonts w:ascii="Arial" w:cs="Arial" w:eastAsia="Arial" w:hAnsi="Arial"/>
          <w:sz w:val="26"/>
          <w:szCs w:val="26"/>
        </w:rPr>
        <w:sectPr>
          <w:type w:val="continuous"/>
          <w:pgSz w:h="16838" w:w="11906" w:orient="portrait"/>
          <w:pgMar w:bottom="2438" w:top="1077" w:left="811" w:right="811" w:header="709" w:footer="709"/>
          <w:cols w:equalWidth="0" w:num="2">
            <w:col w:space="238" w:w="5023.000000000001"/>
            <w:col w:space="0" w:w="5023.000000000001"/>
          </w:cols>
        </w:sectPr>
      </w:pPr>
      <w:r w:rsidDel="00000000" w:rsidR="00000000" w:rsidRPr="00000000">
        <w:rPr>
          <w:rFonts w:ascii="Arial" w:cs="Arial" w:eastAsia="Arial" w:hAnsi="Arial"/>
          <w:sz w:val="20"/>
          <w:szCs w:val="20"/>
          <w:rtl w:val="0"/>
        </w:rPr>
        <w:t xml:space="preserve">RSIS International. (2026). Blockchain-Based Electronic Health Record System. </w:t>
      </w:r>
      <w:r w:rsidDel="00000000" w:rsidR="00000000" w:rsidRPr="00000000">
        <w:rPr>
          <w:rFonts w:ascii="Arial" w:cs="Arial" w:eastAsia="Arial" w:hAnsi="Arial"/>
          <w:i w:val="1"/>
          <w:iCs w:val="1"/>
          <w:sz w:val="20"/>
          <w:szCs w:val="20"/>
          <w:rtl w:val="0"/>
        </w:rPr>
        <w:t xml:space="preserve">International Journal of Research and Scientific Innovation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table" w:styleId="TableNormal" w:default="1">
    <w:name w:val="Normal Table"/>
    <w:semiHidden w:val="1"/>
    <w:tblPr>
      <w:tblInd w:w="0.0" w:type="dxa"/>
      <w:tblCellMar>
        <w:top w:w="0.0" w:type="dxa"/>
        <w:left w:w="108.0" w:type="dxa"/>
        <w:bottom w:w="0.0" w:type="dxa"/>
        <w:right w:w="108.0" w:type="dxa"/>
      </w:tblCellMar>
    </w:tblPr>
  </w:style>
  <w:style w:type="numbering" w:styleId="NoList" w:default="1">
    <w:name w:val="No List"/>
    <w:semiHidden w:val="1"/>
  </w:style>
  <w:style w:type="paragraph" w:styleId="IEEEAuthorName" w:customStyle="1">
    <w:name w:val="IEEE Author Name"/>
    <w:basedOn w:val="Normal"/>
    <w:next w:val="Normal"/>
    <w:rsid w:val="00081EBE"/>
    <w:pPr>
      <w:adjustRightInd w:val="0"/>
      <w:snapToGrid w:val="0"/>
      <w:spacing w:after="120" w:before="120"/>
      <w:jc w:val="center"/>
    </w:pPr>
    <w:rPr>
      <w:rFonts w:eastAsia="Times New Roman"/>
      <w:sz w:val="22"/>
      <w:lang w:eastAsia="en-GB" w:val="en-GB"/>
    </w:rPr>
  </w:style>
  <w:style w:type="paragraph" w:styleId="IEEEAuthorAffiliation" w:customStyle="1">
    <w:name w:val="IEEE Author Affiliation"/>
    <w:basedOn w:val="Normal"/>
    <w:next w:val="Normal"/>
    <w:rsid w:val="00081EBE"/>
    <w:pPr>
      <w:spacing w:after="60"/>
      <w:jc w:val="center"/>
    </w:pPr>
    <w:rPr>
      <w:rFonts w:eastAsia="Times New Roman"/>
      <w:i w:val="1"/>
      <w:sz w:val="20"/>
      <w:lang w:eastAsia="en-GB" w:val="en-GB"/>
    </w:rPr>
  </w:style>
  <w:style w:type="paragraph" w:styleId="IEEEHeading2" w:customStyle="1">
    <w:name w:val="IEEE Heading 2"/>
    <w:basedOn w:val="Normal"/>
    <w:next w:val="IEEEParagraph"/>
    <w:rsid w:val="00273D2C"/>
    <w:pPr>
      <w:numPr>
        <w:numId w:val="37"/>
      </w:numPr>
      <w:adjustRightInd w:val="0"/>
      <w:snapToGrid w:val="0"/>
      <w:spacing w:after="60" w:before="150"/>
      <w:ind w:left="289" w:hanging="289"/>
    </w:pPr>
    <w:rPr>
      <w:i w:val="1"/>
      <w:sz w:val="20"/>
    </w:rPr>
  </w:style>
  <w:style w:type="paragraph" w:styleId="IEEEAuthorEmail" w:customStyle="1">
    <w:name w:val="IEEE Author Email"/>
    <w:next w:val="IEEEAuthorAffiliation"/>
    <w:rsid w:val="00081EBE"/>
    <w:pPr>
      <w:spacing w:after="60"/>
      <w:jc w:val="center"/>
    </w:pPr>
    <w:rPr>
      <w:rFonts w:ascii="Courier" w:eastAsia="Times New Roman" w:hAnsi="Courier"/>
      <w:sz w:val="18"/>
      <w:szCs w:val="24"/>
      <w:lang w:eastAsia="en-GB" w:val="en-GB"/>
    </w:rPr>
  </w:style>
  <w:style w:type="paragraph" w:styleId="IEEEAbstractHeading" w:customStyle="1">
    <w:name w:val="IEEE Abstract Heading"/>
    <w:basedOn w:val="IEEEAbtract"/>
    <w:next w:val="IEEEAbtract"/>
    <w:link w:val="IEEEAbstractHeadingChar"/>
    <w:rsid w:val="00D41274"/>
    <w:rPr>
      <w:i w:val="1"/>
    </w:rPr>
  </w:style>
  <w:style w:type="character" w:styleId="IEEEAbstractHeadingChar" w:customStyle="1">
    <w:name w:val="IEEE Abstract Heading Char"/>
    <w:link w:val="IEEEAbstractHeading"/>
    <w:rsid w:val="00D41274"/>
    <w:rPr>
      <w:rFonts w:eastAsia="SimSun"/>
      <w:b w:val="1"/>
      <w:i w:val="1"/>
      <w:sz w:val="18"/>
      <w:szCs w:val="24"/>
      <w:lang w:bidi="ar-SA" w:eastAsia="en-GB" w:val="en-GB"/>
    </w:rPr>
  </w:style>
  <w:style w:type="paragraph" w:styleId="IEEEAbtract" w:customStyle="1">
    <w:name w:val="IEEE Abtract"/>
    <w:basedOn w:val="Normal"/>
    <w:next w:val="Normal"/>
    <w:link w:val="IEEEAbtractChar"/>
    <w:rsid w:val="00D41274"/>
    <w:pPr>
      <w:adjustRightInd w:val="0"/>
      <w:snapToGrid w:val="0"/>
      <w:jc w:val="both"/>
    </w:pPr>
    <w:rPr>
      <w:b w:val="1"/>
      <w:sz w:val="18"/>
      <w:lang w:eastAsia="en-GB" w:val="en-GB"/>
    </w:rPr>
  </w:style>
  <w:style w:type="character" w:styleId="IEEEAbtractChar" w:customStyle="1">
    <w:name w:val="IEEE Abtract Char"/>
    <w:link w:val="IEEEAbtract"/>
    <w:rsid w:val="00D41274"/>
    <w:rPr>
      <w:rFonts w:eastAsia="SimSun"/>
      <w:b w:val="1"/>
      <w:sz w:val="18"/>
      <w:szCs w:val="24"/>
      <w:lang w:bidi="ar-SA" w:eastAsia="en-GB" w:val="en-GB"/>
    </w:rPr>
  </w:style>
  <w:style w:type="paragraph" w:styleId="IEEEParagraph" w:customStyle="1">
    <w:name w:val="IEEE Paragraph"/>
    <w:basedOn w:val="Normal"/>
    <w:link w:val="IEEEParagraphChar"/>
    <w:rsid w:val="004A6605"/>
    <w:pPr>
      <w:adjustRightInd w:val="0"/>
      <w:snapToGrid w:val="0"/>
      <w:ind w:firstLine="216"/>
      <w:jc w:val="both"/>
    </w:pPr>
  </w:style>
  <w:style w:type="paragraph" w:styleId="IEEEHeading1" w:customStyle="1">
    <w:name w:val="IEEE Heading 1"/>
    <w:basedOn w:val="Normal"/>
    <w:next w:val="IEEEParagraph"/>
    <w:rsid w:val="00273D2C"/>
    <w:pPr>
      <w:numPr>
        <w:numId w:val="46"/>
      </w:numPr>
      <w:adjustRightInd w:val="0"/>
      <w:snapToGrid w:val="0"/>
      <w:spacing w:after="60" w:before="180"/>
      <w:ind w:left="289" w:hanging="289"/>
      <w:jc w:val="center"/>
    </w:pPr>
    <w:rPr>
      <w:smallCaps w:val="1"/>
      <w:sz w:val="20"/>
    </w:rPr>
  </w:style>
  <w:style w:type="table" w:styleId="TableGrid">
    <w:name w:val="Table Grid"/>
    <w:basedOn w:val="TableNormal"/>
    <w:rsid w:val="00A03E75"/>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IEEETableCell" w:customStyle="1">
    <w:name w:val="IEEE Table Cell"/>
    <w:basedOn w:val="IEEEParagraph"/>
    <w:rsid w:val="00331F84"/>
    <w:pPr>
      <w:ind w:firstLine="0"/>
      <w:jc w:val="left"/>
    </w:pPr>
    <w:rPr>
      <w:sz w:val="18"/>
    </w:rPr>
  </w:style>
  <w:style w:type="paragraph" w:styleId="IEEETitle" w:customStyle="1">
    <w:name w:val="IEEE Title"/>
    <w:basedOn w:val="Normal"/>
    <w:next w:val="IEEEAuthorName"/>
    <w:rsid w:val="00E32853"/>
    <w:pPr>
      <w:adjustRightInd w:val="0"/>
      <w:snapToGrid w:val="0"/>
      <w:jc w:val="center"/>
    </w:pPr>
    <w:rPr>
      <w:sz w:val="48"/>
    </w:rPr>
  </w:style>
  <w:style w:type="paragraph" w:styleId="IEEEHeading3" w:customStyle="1">
    <w:name w:val="IEEE Heading 3"/>
    <w:basedOn w:val="Normal"/>
    <w:next w:val="IEEEParagraph"/>
    <w:link w:val="IEEEHeading3Char"/>
    <w:rsid w:val="00321304"/>
    <w:pPr>
      <w:numPr>
        <w:numId w:val="24"/>
      </w:numPr>
      <w:adjustRightInd w:val="0"/>
      <w:snapToGrid w:val="0"/>
      <w:spacing w:after="60" w:before="120"/>
      <w:ind w:firstLine="216"/>
      <w:jc w:val="both"/>
    </w:pPr>
    <w:rPr>
      <w:i w:val="1"/>
      <w:sz w:val="20"/>
    </w:rPr>
  </w:style>
  <w:style w:type="paragraph" w:styleId="IEEETableCaption" w:customStyle="1">
    <w:name w:val="IEEE Table Caption"/>
    <w:basedOn w:val="Normal"/>
    <w:next w:val="IEEEParagraph"/>
    <w:rsid w:val="00A45FCE"/>
    <w:pPr>
      <w:spacing w:after="120" w:before="120"/>
      <w:jc w:val="center"/>
    </w:pPr>
    <w:rPr>
      <w:smallCaps w:val="1"/>
      <w:sz w:val="16"/>
    </w:rPr>
  </w:style>
  <w:style w:type="paragraph" w:styleId="Caption">
    <w:name w:val="caption"/>
    <w:basedOn w:val="Normal"/>
    <w:next w:val="Normal"/>
    <w:qFormat w:val="1"/>
    <w:rsid w:val="00A45FCE"/>
    <w:pPr>
      <w:spacing w:after="120" w:before="120"/>
    </w:pPr>
    <w:rPr>
      <w:b w:val="1"/>
      <w:bCs w:val="1"/>
      <w:sz w:val="20"/>
      <w:szCs w:val="20"/>
    </w:rPr>
  </w:style>
  <w:style w:type="character" w:styleId="IEEEParagraphChar" w:customStyle="1">
    <w:name w:val="IEEE Paragraph Char"/>
    <w:link w:val="IEEEParagraph"/>
    <w:rsid w:val="004A6605"/>
    <w:rPr>
      <w:rFonts w:eastAsia="SimSun"/>
      <w:sz w:val="24"/>
      <w:szCs w:val="24"/>
      <w:lang w:bidi="ar-SA" w:eastAsia="zh-CN" w:val="en-AU"/>
    </w:rPr>
  </w:style>
  <w:style w:type="numbering" w:styleId="IEEEBullet1" w:customStyle="1">
    <w:name w:val="IEEE Bullet 1"/>
    <w:basedOn w:val="NoList"/>
    <w:rsid w:val="00955B59"/>
    <w:pPr>
      <w:numPr>
        <w:numId w:val="43"/>
      </w:numPr>
    </w:pPr>
  </w:style>
  <w:style w:type="paragraph" w:styleId="IEEEFigureCaptionSingle-Line" w:customStyle="1">
    <w:name w:val="IEEE Figure Caption Single-Line"/>
    <w:basedOn w:val="IEEETableCaption"/>
    <w:next w:val="IEEEParagraph"/>
    <w:rsid w:val="00FA4909"/>
    <w:rPr>
      <w:smallCaps w:val="0"/>
    </w:rPr>
  </w:style>
  <w:style w:type="character" w:styleId="IEEEHeading3Char" w:customStyle="1">
    <w:name w:val="IEEE Heading 3 Char"/>
    <w:link w:val="IEEEHeading3"/>
    <w:rsid w:val="00321304"/>
    <w:rPr>
      <w:rFonts w:eastAsia="SimSun"/>
      <w:i w:val="1"/>
      <w:szCs w:val="24"/>
      <w:lang w:bidi="ar-SA" w:eastAsia="zh-CN" w:val="en-AU"/>
    </w:rPr>
  </w:style>
  <w:style w:type="paragraph" w:styleId="IEEEFigure" w:customStyle="1">
    <w:name w:val="IEEE Figure"/>
    <w:basedOn w:val="Normal"/>
    <w:next w:val="IEEEFigureCaptionSingle-Line"/>
    <w:rsid w:val="00D36B52"/>
    <w:pPr>
      <w:jc w:val="center"/>
    </w:pPr>
  </w:style>
  <w:style w:type="paragraph" w:styleId="IEEEReferenceItem" w:customStyle="1">
    <w:name w:val="IEEE Reference Item"/>
    <w:basedOn w:val="Normal"/>
    <w:rsid w:val="00CD4F3F"/>
    <w:pPr>
      <w:numPr>
        <w:numId w:val="47"/>
      </w:numPr>
      <w:adjustRightInd w:val="0"/>
      <w:snapToGrid w:val="0"/>
      <w:jc w:val="both"/>
    </w:pPr>
    <w:rPr>
      <w:sz w:val="16"/>
      <w:lang w:val="en-US"/>
    </w:rPr>
  </w:style>
  <w:style w:type="paragraph" w:styleId="IEEEFigureCaptionMulti-Lines" w:customStyle="1">
    <w:name w:val="IEEE Figure Caption Multi-Lines"/>
    <w:basedOn w:val="IEEEFigureCaptionSingle-Line"/>
    <w:next w:val="IEEEParagraph"/>
    <w:rsid w:val="00D36B52"/>
    <w:pPr>
      <w:jc w:val="both"/>
    </w:pPr>
  </w:style>
  <w:style w:type="paragraph" w:styleId="IEEETableHeaderCentered" w:customStyle="1">
    <w:name w:val="IEEE Table Header Centered"/>
    <w:basedOn w:val="IEEETableCell"/>
    <w:rsid w:val="00D36B52"/>
    <w:pPr>
      <w:jc w:val="center"/>
    </w:pPr>
    <w:rPr>
      <w:b w:val="1"/>
      <w:bCs w:val="1"/>
    </w:rPr>
  </w:style>
  <w:style w:type="paragraph" w:styleId="IEEETableHeaderLeft-Justified" w:customStyle="1">
    <w:name w:val="IEEE Table Header Left-Justified"/>
    <w:basedOn w:val="IEEETableCell"/>
    <w:rsid w:val="00D36B52"/>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bJjrh4x4oGD87RHeDFloIJhNA==">CgMxLjA4AHIhMXdVODNKVlNFN096anAxZGE1N2NHVTRMa0FpaEY5c2p0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2012-07-13T07:50:00Z</dcterms:created>
  <dc:creator>Causal Productions</dc:creator>
</cp:coreProperties>
</file>