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line="240" w:lineRule="auto"/>
        <w:jc w:val="center"/>
      </w:pPr>
      <w:r>
        <w:rPr>
          <w:rFonts w:ascii="Arial" w:hAnsi="Arial"/>
          <w:b/>
          <w:color w:val="000000"/>
          <w:sz w:val="52"/>
        </w:rPr>
        <w:t>MoneyPlant</w:t>
      </w:r>
    </w:p>
    <w:p>
      <w:pPr>
        <w:spacing w:before="0" w:after="40" w:line="240" w:lineRule="auto"/>
        <w:jc w:val="center"/>
      </w:pPr>
      <w:r>
        <w:rPr>
          <w:rFonts w:ascii="Arial" w:hAnsi="Arial"/>
          <w:b/>
          <w:color w:val="000000"/>
          <w:sz w:val="36"/>
        </w:rPr>
        <w:t>Phase 1 Database Design</w:t>
      </w:r>
    </w:p>
    <w:p>
      <w:pPr>
        <w:spacing w:before="0" w:after="360" w:line="276" w:lineRule="auto"/>
        <w:jc w:val="center"/>
      </w:pPr>
      <w:r>
        <w:rPr>
          <w:rFonts w:ascii="Arial" w:hAnsi="Arial"/>
          <w:i/>
          <w:color w:val="000000"/>
          <w:sz w:val="22"/>
        </w:rPr>
        <w:t>Proposed PostgreSQL schema, relationships, constraints, and implementation decisions</w:t>
      </w:r>
    </w:p>
    <w:p>
      <w:pPr>
        <w:spacing w:before="0" w:after="120" w:line="300" w:lineRule="auto"/>
      </w:pPr>
      <w:r>
        <w:rPr>
          <w:rFonts w:ascii="Arial" w:hAnsi="Arial"/>
          <w:b/>
          <w:color w:val="000000"/>
          <w:sz w:val="22"/>
        </w:rPr>
        <w:t>Status:</w:t>
      </w:r>
      <w:r>
        <w:rPr>
          <w:rFonts w:ascii="Arial" w:hAnsi="Arial"/>
          <w:color w:val="000000"/>
          <w:sz w:val="22"/>
        </w:rPr>
        <w:t xml:space="preserve"> Proposed design for review before SQL migrations.</w:t>
      </w:r>
    </w:p>
    <w:p>
      <w:pPr>
        <w:pStyle w:val="Heading1"/>
      </w:pPr>
      <w:r>
        <w:rPr>
          <w:rFonts w:ascii="Arial" w:hAnsi="Arial"/>
          <w:color w:val="000000"/>
          <w:sz w:val="32"/>
        </w:rPr>
        <w:t>1. Purpose and scope</w:t>
      </w:r>
    </w:p>
    <w:p>
      <w:pPr>
        <w:spacing w:before="0" w:after="120" w:line="300" w:lineRule="auto"/>
      </w:pPr>
      <w:r>
        <w:rPr>
          <w:rFonts w:ascii="Arial" w:hAnsi="Arial"/>
          <w:color w:val="000000"/>
          <w:sz w:val="22"/>
        </w:rPr>
        <w:t>This document defines the PostgreSQL database design for MoneyPlant Phase 1. It is detailed enough for another data engineer to understand the warehouse model, implement migrations, build repository functions, and preserve the reasoning behind the design.</w:t>
      </w:r>
    </w:p>
    <w:p>
      <w:pPr>
        <w:spacing w:before="0" w:after="120" w:line="300" w:lineRule="auto"/>
      </w:pPr>
      <w:r>
        <w:rPr>
          <w:rFonts w:ascii="Arial" w:hAnsi="Arial"/>
          <w:color w:val="000000"/>
          <w:sz w:val="22"/>
        </w:rPr>
        <w:t>Phase 1 stores historical market candles, macroeconomic observations, instrument identities, provider-specific identifiers, and ingestion-run metadata. The database is local-first and runs in PostgreSQL 18 through Docker.</w:t>
      </w:r>
    </w:p>
    <w:p>
      <w:pPr>
        <w:spacing w:before="0" w:after="120" w:line="300" w:lineRule="auto"/>
      </w:pPr>
      <w:r>
        <w:rPr>
          <w:rFonts w:ascii="Arial" w:hAnsi="Arial"/>
          <w:color w:val="000000"/>
          <w:sz w:val="22"/>
        </w:rPr>
        <w:t>The design does not store live ticks, order books, orders, holdings, account balances, personal finance transactions, ML features, or LLM-generated analysis.</w:t>
      </w:r>
    </w:p>
    <w:p>
      <w:pPr>
        <w:pStyle w:val="Heading1"/>
      </w:pPr>
      <w:r>
        <w:rPr>
          <w:rFonts w:ascii="Arial" w:hAnsi="Arial"/>
          <w:color w:val="000000"/>
          <w:sz w:val="32"/>
        </w:rPr>
        <w:t>2. Design goals</w:t>
      </w:r>
    </w:p>
    <w:p>
      <w:pPr>
        <w:pStyle w:val="ListBullet"/>
        <w:spacing w:before="0" w:after="40" w:line="276" w:lineRule="auto"/>
        <w:ind w:left="540" w:hanging="271"/>
      </w:pPr>
      <w:r>
        <w:rPr>
          <w:rFonts w:ascii="Arial" w:hAnsi="Arial"/>
          <w:color w:val="000000"/>
          <w:sz w:val="22"/>
        </w:rPr>
        <w:t>Keep source-specific API shapes out of the normalized tables.</w:t>
      </w:r>
    </w:p>
    <w:p>
      <w:pPr>
        <w:pStyle w:val="ListBullet"/>
        <w:spacing w:before="0" w:after="40" w:line="276" w:lineRule="auto"/>
        <w:ind w:left="540" w:hanging="271"/>
      </w:pPr>
      <w:r>
        <w:rPr>
          <w:rFonts w:ascii="Arial" w:hAnsi="Arial"/>
          <w:color w:val="000000"/>
          <w:sz w:val="22"/>
        </w:rPr>
        <w:t>Store one stable identity for each financial instrument.</w:t>
      </w:r>
    </w:p>
    <w:p>
      <w:pPr>
        <w:pStyle w:val="ListBullet"/>
        <w:spacing w:before="0" w:after="40" w:line="276" w:lineRule="auto"/>
        <w:ind w:left="540" w:hanging="271"/>
      </w:pPr>
      <w:r>
        <w:rPr>
          <w:rFonts w:ascii="Arial" w:hAnsi="Arial"/>
          <w:color w:val="000000"/>
          <w:sz w:val="22"/>
        </w:rPr>
        <w:t>Preserve provider and provenance information so records can be audited.</w:t>
      </w:r>
    </w:p>
    <w:p>
      <w:pPr>
        <w:pStyle w:val="ListBullet"/>
        <w:spacing w:before="0" w:after="40" w:line="276" w:lineRule="auto"/>
        <w:ind w:left="540" w:hanging="271"/>
      </w:pPr>
      <w:r>
        <w:rPr>
          <w:rFonts w:ascii="Arial" w:hAnsi="Arial"/>
          <w:color w:val="000000"/>
          <w:sz w:val="22"/>
        </w:rPr>
        <w:t>Prevent duplicate candles and duplicate macro observations at the database level.</w:t>
      </w:r>
    </w:p>
    <w:p>
      <w:pPr>
        <w:pStyle w:val="ListBullet"/>
        <w:spacing w:before="0" w:after="40" w:line="276" w:lineRule="auto"/>
        <w:ind w:left="540" w:hanging="271"/>
      </w:pPr>
      <w:r>
        <w:rPr>
          <w:rFonts w:ascii="Arial" w:hAnsi="Arial"/>
          <w:color w:val="000000"/>
          <w:sz w:val="22"/>
        </w:rPr>
        <w:t>Use idempotent upserts so an ingestion job can be safely repeated.</w:t>
      </w:r>
    </w:p>
    <w:p>
      <w:pPr>
        <w:pStyle w:val="ListBullet"/>
        <w:spacing w:before="0" w:after="40" w:line="276" w:lineRule="auto"/>
        <w:ind w:left="540" w:hanging="271"/>
      </w:pPr>
      <w:r>
        <w:rPr>
          <w:rFonts w:ascii="Arial" w:hAnsi="Arial"/>
          <w:color w:val="000000"/>
          <w:sz w:val="22"/>
        </w:rPr>
        <w:t>Represent money and prices with exact numeric types rather than binary floating-point types.</w:t>
      </w:r>
    </w:p>
    <w:p>
      <w:pPr>
        <w:pStyle w:val="ListBullet"/>
        <w:spacing w:before="0" w:after="40" w:line="276" w:lineRule="auto"/>
        <w:ind w:left="540" w:hanging="271"/>
      </w:pPr>
      <w:r>
        <w:rPr>
          <w:rFonts w:ascii="Arial" w:hAnsi="Arial"/>
          <w:color w:val="000000"/>
          <w:sz w:val="22"/>
        </w:rPr>
        <w:t>Store timestamps consistently and make date semantics explicit for macroeconomic data.</w:t>
      </w:r>
    </w:p>
    <w:p>
      <w:pPr>
        <w:pStyle w:val="ListBullet"/>
        <w:spacing w:before="0" w:after="40" w:line="276" w:lineRule="auto"/>
        <w:ind w:left="540" w:hanging="271"/>
      </w:pPr>
      <w:r>
        <w:rPr>
          <w:rFonts w:ascii="Arial" w:hAnsi="Arial"/>
          <w:color w:val="000000"/>
          <w:sz w:val="22"/>
        </w:rPr>
        <w:t>Support Binance, Yahoo Finance, and the future Angel One adapter without changing the core candle model.</w:t>
      </w:r>
    </w:p>
    <w:p>
      <w:pPr>
        <w:pStyle w:val="ListBullet"/>
        <w:spacing w:before="0" w:after="40" w:line="276" w:lineRule="auto"/>
        <w:ind w:left="540" w:hanging="271"/>
      </w:pPr>
      <w:r>
        <w:rPr>
          <w:rFonts w:ascii="Arial" w:hAnsi="Arial"/>
          <w:color w:val="000000"/>
          <w:sz w:val="22"/>
        </w:rPr>
        <w:t>Keep the first schema understandable and small enough for learning.</w:t>
      </w:r>
    </w:p>
    <w:p>
      <w:pPr>
        <w:pStyle w:val="Heading1"/>
      </w:pPr>
      <w:r>
        <w:rPr>
          <w:rFonts w:ascii="Arial" w:hAnsi="Arial"/>
          <w:color w:val="000000"/>
          <w:sz w:val="32"/>
        </w:rPr>
        <w:t>3. High-level model</w:t>
      </w:r>
    </w:p>
    <w:p>
      <w:pPr>
        <w:spacing w:before="0" w:after="120" w:line="300" w:lineRule="auto"/>
      </w:pPr>
      <w:r>
        <w:rPr>
          <w:rFonts w:ascii="Arial" w:hAnsi="Arial"/>
          <w:color w:val="000000"/>
          <w:sz w:val="22"/>
        </w:rPr>
        <w:t>The design has six tables. Four are the main domain tables and two are supporting reference tables.</w:t>
      </w:r>
    </w:p>
    <w:p>
      <w:pPr>
        <w:numPr>
          <w:ilvl w:val="0"/>
          <w:numId w:val="10"/>
        </w:numPr>
        <w:spacing w:before="0" w:after="40" w:line="276" w:lineRule="auto"/>
        <w:ind w:left="540" w:hanging="271"/>
      </w:pPr>
      <w:r>
        <w:rPr>
          <w:rFonts w:ascii="Roboto Mono" w:hAnsi="Roboto Mono"/>
          <w:color w:val="0B2545"/>
          <w:sz w:val="20"/>
        </w:rPr>
        <w:t>instruments</w:t>
      </w:r>
      <w:r>
        <w:rPr>
          <w:rFonts w:ascii="Arial" w:hAnsi="Arial"/>
          <w:color w:val="000000"/>
          <w:sz w:val="22"/>
        </w:rPr>
        <w:t xml:space="preserve"> stores canonical asset identities.</w:t>
      </w:r>
    </w:p>
    <w:p>
      <w:pPr>
        <w:numPr>
          <w:ilvl w:val="0"/>
          <w:numId w:val="10"/>
        </w:numPr>
        <w:spacing w:before="0" w:after="40" w:line="276" w:lineRule="auto"/>
        <w:ind w:left="540" w:hanging="271"/>
      </w:pPr>
      <w:r>
        <w:rPr>
          <w:rFonts w:ascii="Roboto Mono" w:hAnsi="Roboto Mono"/>
          <w:color w:val="0B2545"/>
          <w:sz w:val="20"/>
        </w:rPr>
        <w:t>instrument_sources</w:t>
      </w:r>
      <w:r>
        <w:rPr>
          <w:rFonts w:ascii="Arial" w:hAnsi="Arial"/>
          <w:color w:val="000000"/>
          <w:sz w:val="22"/>
        </w:rPr>
        <w:t xml:space="preserve"> stores provider-specific symbols, tokens, and source metadata.</w:t>
      </w:r>
    </w:p>
    <w:p>
      <w:pPr>
        <w:numPr>
          <w:ilvl w:val="0"/>
          <w:numId w:val="10"/>
        </w:numPr>
        <w:spacing w:before="0" w:after="40" w:line="276" w:lineRule="auto"/>
        <w:ind w:left="540" w:hanging="271"/>
      </w:pPr>
      <w:r>
        <w:rPr>
          <w:rFonts w:ascii="Roboto Mono" w:hAnsi="Roboto Mono"/>
          <w:color w:val="0B2545"/>
          <w:sz w:val="20"/>
        </w:rPr>
        <w:t>market_candles</w:t>
      </w:r>
      <w:r>
        <w:rPr>
          <w:rFonts w:ascii="Arial" w:hAnsi="Arial"/>
          <w:color w:val="000000"/>
          <w:sz w:val="22"/>
        </w:rPr>
        <w:t xml:space="preserve"> stores normalized OHLCV observations.</w:t>
      </w:r>
    </w:p>
    <w:p>
      <w:pPr>
        <w:numPr>
          <w:ilvl w:val="0"/>
          <w:numId w:val="10"/>
        </w:numPr>
        <w:spacing w:before="0" w:after="40" w:line="276" w:lineRule="auto"/>
        <w:ind w:left="540" w:hanging="271"/>
      </w:pPr>
      <w:r>
        <w:rPr>
          <w:rFonts w:ascii="Roboto Mono" w:hAnsi="Roboto Mono"/>
          <w:color w:val="0B2545"/>
          <w:sz w:val="20"/>
        </w:rPr>
        <w:t>macro_datasets</w:t>
      </w:r>
      <w:r>
        <w:rPr>
          <w:rFonts w:ascii="Arial" w:hAnsi="Arial"/>
          <w:color w:val="000000"/>
          <w:sz w:val="22"/>
        </w:rPr>
        <w:t xml:space="preserve"> stores the definition and provenance of CPI and repo-rate series.</w:t>
      </w:r>
    </w:p>
    <w:p>
      <w:pPr>
        <w:numPr>
          <w:ilvl w:val="0"/>
          <w:numId w:val="10"/>
        </w:numPr>
        <w:spacing w:before="0" w:after="40" w:line="276" w:lineRule="auto"/>
        <w:ind w:left="540" w:hanging="271"/>
      </w:pPr>
      <w:r>
        <w:rPr>
          <w:rFonts w:ascii="Roboto Mono" w:hAnsi="Roboto Mono"/>
          <w:color w:val="0B2545"/>
          <w:sz w:val="20"/>
        </w:rPr>
        <w:t>macro_observations</w:t>
      </w:r>
      <w:r>
        <w:rPr>
          <w:rFonts w:ascii="Arial" w:hAnsi="Arial"/>
          <w:color w:val="000000"/>
          <w:sz w:val="22"/>
        </w:rPr>
        <w:t xml:space="preserve"> stores dated numeric observations for those series.</w:t>
      </w:r>
    </w:p>
    <w:p>
      <w:pPr>
        <w:numPr>
          <w:ilvl w:val="0"/>
          <w:numId w:val="10"/>
        </w:numPr>
        <w:spacing w:before="0" w:after="40" w:line="276" w:lineRule="auto"/>
        <w:ind w:left="540" w:hanging="271"/>
      </w:pPr>
      <w:r>
        <w:rPr>
          <w:rFonts w:ascii="Roboto Mono" w:hAnsi="Roboto Mono"/>
          <w:color w:val="0B2545"/>
          <w:sz w:val="20"/>
        </w:rPr>
        <w:t>ingestion_runs</w:t>
      </w:r>
      <w:r>
        <w:rPr>
          <w:rFonts w:ascii="Arial" w:hAnsi="Arial"/>
          <w:color w:val="000000"/>
          <w:sz w:val="22"/>
        </w:rPr>
        <w:t xml:space="preserve"> stores the audit record for every collection attempt.</w:t>
      </w:r>
    </w:p>
    <w:p>
      <w:pPr>
        <w:spacing w:before="0" w:after="120" w:line="300" w:lineRule="auto"/>
      </w:pPr>
      <w:r>
        <w:rPr>
          <w:rFonts w:ascii="Arial" w:hAnsi="Arial"/>
          <w:color w:val="000000"/>
          <w:sz w:val="22"/>
        </w:rPr>
        <w:t>The two supporting tables are necessary because the same canonical instrument can have different identifiers at different providers, and a macro observation needs a stable dataset definition rather than repeating CPI or repo-rate metadata on every row.</w:t>
      </w:r>
    </w:p>
    <w:p>
      <w:pPr>
        <w:pStyle w:val="Heading1"/>
      </w:pPr>
      <w:r>
        <w:rPr>
          <w:rFonts w:ascii="Arial" w:hAnsi="Arial"/>
          <w:color w:val="000000"/>
          <w:sz w:val="32"/>
        </w:rPr>
        <w:t>4. Relationship model</w:t>
      </w:r>
    </w:p>
    <w:p>
      <w:pPr>
        <w:spacing w:before="0" w:after="120" w:line="300" w:lineRule="auto"/>
      </w:pPr>
      <w:r>
        <w:rPr>
          <w:rFonts w:ascii="Arial" w:hAnsi="Arial"/>
          <w:color w:val="000000"/>
          <w:sz w:val="22"/>
        </w:rPr>
        <w:t>An instrument can have many provider mappings. A provider mapping can have many candles. A macro dataset can have many observations. An ingestion run describes the scope and result of a collection attempt.</w:t>
      </w:r>
    </w:p>
    <w:p>
      <w:pPr>
        <w:spacing w:before="40" w:after="160" w:line="240" w:lineRule="auto"/>
        <w:ind w:left="288"/>
      </w:pPr>
      <w:r>
        <w:rPr>
          <w:rFonts w:ascii="Roboto Mono" w:hAnsi="Roboto Mono"/>
          <w:color w:val="0B2545"/>
          <w:sz w:val="18"/>
        </w:rPr>
        <w:t>instruments 1 ---- many instrument_sources 1 ---- many market_candles</w:t>
        <w:br/>
        <w:br/>
        <w:t>macro_datasets 1 ---- many macro_observations</w:t>
        <w:br/>
        <w:br/>
        <w:t>ingestion_runs records the attempt, scope, counts, status, and errors</w:t>
        <w:br/>
        <w:t>for market or macro ingestion.</w:t>
      </w:r>
    </w:p>
    <w:p>
      <w:pPr>
        <w:spacing w:before="0" w:after="120" w:line="300" w:lineRule="auto"/>
      </w:pPr>
      <w:r>
        <w:rPr>
          <w:rFonts w:ascii="Roboto Mono" w:hAnsi="Roboto Mono"/>
          <w:color w:val="0B2545"/>
          <w:sz w:val="20"/>
        </w:rPr>
        <w:t>market_candles</w:t>
      </w:r>
      <w:r>
        <w:rPr>
          <w:rFonts w:ascii="Arial" w:hAnsi="Arial"/>
          <w:color w:val="000000"/>
          <w:sz w:val="22"/>
        </w:rPr>
        <w:t xml:space="preserve"> references </w:t>
      </w:r>
      <w:r>
        <w:rPr>
          <w:rFonts w:ascii="Roboto Mono" w:hAnsi="Roboto Mono"/>
          <w:color w:val="0B2545"/>
          <w:sz w:val="20"/>
        </w:rPr>
        <w:t>instrument_sources</w:t>
      </w:r>
      <w:r>
        <w:rPr>
          <w:rFonts w:ascii="Arial" w:hAnsi="Arial"/>
          <w:color w:val="000000"/>
          <w:sz w:val="22"/>
        </w:rPr>
        <w:t xml:space="preserve"> instead of storing a free-text symbol. This preserves the exact provider identity used to collect the record. The canonical instrument remains available through the relationship.</w:t>
      </w:r>
    </w:p>
    <w:p>
      <w:pPr>
        <w:pStyle w:val="Heading1"/>
      </w:pPr>
      <w:r>
        <w:rPr>
          <w:rFonts w:ascii="Arial" w:hAnsi="Arial"/>
          <w:color w:val="000000"/>
          <w:sz w:val="32"/>
        </w:rPr>
        <w:t>5. PostgreSQL conventions</w:t>
      </w:r>
    </w:p>
    <w:p>
      <w:pPr>
        <w:pStyle w:val="Heading2"/>
      </w:pPr>
      <w:r>
        <w:rPr>
          <w:rFonts w:ascii="Arial" w:hAnsi="Arial"/>
          <w:color w:val="000000"/>
          <w:sz w:val="26"/>
        </w:rPr>
        <w:t>5.1 Schema and identifiers</w:t>
      </w:r>
    </w:p>
    <w:p>
      <w:pPr>
        <w:spacing w:before="0" w:after="120" w:line="300" w:lineRule="auto"/>
      </w:pPr>
      <w:r>
        <w:rPr>
          <w:rFonts w:ascii="Arial" w:hAnsi="Arial"/>
          <w:color w:val="000000"/>
          <w:sz w:val="22"/>
        </w:rPr>
        <w:t xml:space="preserve">Phase 1 uses PostgreSQL's </w:t>
      </w:r>
      <w:r>
        <w:rPr>
          <w:rFonts w:ascii="Roboto Mono" w:hAnsi="Roboto Mono"/>
          <w:color w:val="0B2545"/>
          <w:sz w:val="20"/>
        </w:rPr>
        <w:t>public</w:t>
      </w:r>
      <w:r>
        <w:rPr>
          <w:rFonts w:ascii="Arial" w:hAnsi="Arial"/>
          <w:color w:val="000000"/>
          <w:sz w:val="22"/>
        </w:rPr>
        <w:t xml:space="preserve"> schema and lowercase snake_case identifiers. Primary keys use </w:t>
      </w:r>
      <w:r>
        <w:rPr>
          <w:rFonts w:ascii="Roboto Mono" w:hAnsi="Roboto Mono"/>
          <w:color w:val="0B2545"/>
          <w:sz w:val="20"/>
        </w:rPr>
        <w:t>bigint GENERATED ALWAYS AS IDENTITY</w:t>
      </w:r>
      <w:r>
        <w:rPr>
          <w:rFonts w:ascii="Arial" w:hAnsi="Arial"/>
          <w:color w:val="000000"/>
          <w:sz w:val="22"/>
        </w:rPr>
        <w:t>. The application must not use provider symbols as internal primary keys because symbols and provider tokens can change.</w:t>
      </w:r>
    </w:p>
    <w:p>
      <w:pPr>
        <w:pStyle w:val="Heading2"/>
      </w:pPr>
      <w:r>
        <w:rPr>
          <w:rFonts w:ascii="Arial" w:hAnsi="Arial"/>
          <w:color w:val="000000"/>
          <w:sz w:val="26"/>
        </w:rPr>
        <w:t>5.2 Time and date handling</w:t>
      </w:r>
    </w:p>
    <w:p>
      <w:pPr>
        <w:spacing w:before="0" w:after="120" w:line="300" w:lineRule="auto"/>
      </w:pPr>
      <w:r>
        <w:rPr>
          <w:rFonts w:ascii="Arial" w:hAnsi="Arial"/>
          <w:color w:val="000000"/>
          <w:sz w:val="22"/>
        </w:rPr>
        <w:t xml:space="preserve">Market timestamps use </w:t>
      </w:r>
      <w:r>
        <w:rPr>
          <w:rFonts w:ascii="Roboto Mono" w:hAnsi="Roboto Mono"/>
          <w:color w:val="0B2545"/>
          <w:sz w:val="20"/>
        </w:rPr>
        <w:t>timestamptz</w:t>
      </w:r>
      <w:r>
        <w:rPr>
          <w:rFonts w:ascii="Arial" w:hAnsi="Arial"/>
          <w:color w:val="000000"/>
          <w:sz w:val="22"/>
        </w:rPr>
        <w:t xml:space="preserve"> and are stored in UTC. A candle's </w:t>
      </w:r>
      <w:r>
        <w:rPr>
          <w:rFonts w:ascii="Roboto Mono" w:hAnsi="Roboto Mono"/>
          <w:color w:val="0B2545"/>
          <w:sz w:val="20"/>
        </w:rPr>
        <w:t>observed_at</w:t>
      </w:r>
      <w:r>
        <w:rPr>
          <w:rFonts w:ascii="Arial" w:hAnsi="Arial"/>
          <w:color w:val="000000"/>
          <w:sz w:val="22"/>
        </w:rPr>
        <w:t xml:space="preserve"> means the beginning of the provider candle interval. The original provider close time is retained separately when available.</w:t>
      </w:r>
    </w:p>
    <w:p>
      <w:pPr>
        <w:spacing w:before="0" w:after="120" w:line="300" w:lineRule="auto"/>
      </w:pPr>
      <w:r>
        <w:rPr>
          <w:rFonts w:ascii="Arial" w:hAnsi="Arial"/>
          <w:color w:val="000000"/>
          <w:sz w:val="22"/>
        </w:rPr>
        <w:t xml:space="preserve">Macro observations use </w:t>
      </w:r>
      <w:r>
        <w:rPr>
          <w:rFonts w:ascii="Roboto Mono" w:hAnsi="Roboto Mono"/>
          <w:color w:val="0B2545"/>
          <w:sz w:val="20"/>
        </w:rPr>
        <w:t>date</w:t>
      </w:r>
      <w:r>
        <w:rPr>
          <w:rFonts w:ascii="Arial" w:hAnsi="Arial"/>
          <w:color w:val="000000"/>
          <w:sz w:val="22"/>
        </w:rPr>
        <w:t xml:space="preserve"> in </w:t>
      </w:r>
      <w:r>
        <w:rPr>
          <w:rFonts w:ascii="Roboto Mono" w:hAnsi="Roboto Mono"/>
          <w:color w:val="0B2545"/>
          <w:sz w:val="20"/>
        </w:rPr>
        <w:t>observed_on</w:t>
      </w:r>
      <w:r>
        <w:rPr>
          <w:rFonts w:ascii="Arial" w:hAnsi="Arial"/>
          <w:color w:val="000000"/>
          <w:sz w:val="22"/>
        </w:rPr>
        <w:t xml:space="preserve">. CPI is a monthly reference period, not a precise market timestamp. Repo-rate data may represent an announcement date or an effective date, so the dataset records that meaning in </w:t>
      </w:r>
      <w:r>
        <w:rPr>
          <w:rFonts w:ascii="Roboto Mono" w:hAnsi="Roboto Mono"/>
          <w:color w:val="0B2545"/>
          <w:sz w:val="20"/>
        </w:rPr>
        <w:t>observation_type</w:t>
      </w:r>
      <w:r>
        <w:rPr>
          <w:rFonts w:ascii="Arial" w:hAnsi="Arial"/>
          <w:color w:val="000000"/>
          <w:sz w:val="22"/>
        </w:rPr>
        <w:t xml:space="preserve">. An optional </w:t>
      </w:r>
      <w:r>
        <w:rPr>
          <w:rFonts w:ascii="Roboto Mono" w:hAnsi="Roboto Mono"/>
          <w:color w:val="0B2545"/>
          <w:sz w:val="20"/>
        </w:rPr>
        <w:t>published_at</w:t>
      </w:r>
      <w:r>
        <w:rPr>
          <w:rFonts w:ascii="Arial" w:hAnsi="Arial"/>
          <w:color w:val="000000"/>
          <w:sz w:val="22"/>
        </w:rPr>
        <w:t xml:space="preserve"> timestamp can preserve publication timing when available.</w:t>
      </w:r>
    </w:p>
    <w:p>
      <w:pPr>
        <w:spacing w:before="0" w:after="120" w:line="300" w:lineRule="auto"/>
      </w:pPr>
      <w:r>
        <w:rPr>
          <w:rFonts w:ascii="Arial" w:hAnsi="Arial"/>
          <w:color w:val="000000"/>
          <w:sz w:val="22"/>
        </w:rPr>
        <w:t>The Go API may serialize both forms as ISO-8601 values, but the database does not invent a time of day for a macro observation.</w:t>
      </w:r>
    </w:p>
    <w:p>
      <w:pPr>
        <w:pStyle w:val="Heading2"/>
      </w:pPr>
      <w:r>
        <w:rPr>
          <w:rFonts w:ascii="Arial" w:hAnsi="Arial"/>
          <w:color w:val="000000"/>
          <w:sz w:val="26"/>
        </w:rPr>
        <w:t>5.3 Numeric handling</w:t>
      </w:r>
    </w:p>
    <w:p>
      <w:pPr>
        <w:spacing w:before="0" w:after="120" w:line="300" w:lineRule="auto"/>
      </w:pPr>
      <w:r>
        <w:rPr>
          <w:rFonts w:ascii="Arial" w:hAnsi="Arial"/>
          <w:color w:val="000000"/>
          <w:sz w:val="22"/>
        </w:rPr>
        <w:t xml:space="preserve">Prices, volumes, rates, and macro values use PostgreSQL </w:t>
      </w:r>
      <w:r>
        <w:rPr>
          <w:rFonts w:ascii="Roboto Mono" w:hAnsi="Roboto Mono"/>
          <w:color w:val="0B2545"/>
          <w:sz w:val="20"/>
        </w:rPr>
        <w:t>numeric</w:t>
      </w:r>
      <w:r>
        <w:rPr>
          <w:rFonts w:ascii="Arial" w:hAnsi="Arial"/>
          <w:color w:val="000000"/>
          <w:sz w:val="22"/>
        </w:rPr>
        <w:t xml:space="preserve">, not </w:t>
      </w:r>
      <w:r>
        <w:rPr>
          <w:rFonts w:ascii="Roboto Mono" w:hAnsi="Roboto Mono"/>
          <w:color w:val="0B2545"/>
          <w:sz w:val="20"/>
        </w:rPr>
        <w:t>real</w:t>
      </w:r>
      <w:r>
        <w:rPr>
          <w:rFonts w:ascii="Arial" w:hAnsi="Arial"/>
          <w:color w:val="000000"/>
          <w:sz w:val="22"/>
        </w:rPr>
        <w:t xml:space="preserve"> or </w:t>
      </w:r>
      <w:r>
        <w:rPr>
          <w:rFonts w:ascii="Roboto Mono" w:hAnsi="Roboto Mono"/>
          <w:color w:val="0B2545"/>
          <w:sz w:val="20"/>
        </w:rPr>
        <w:t>double precision</w:t>
      </w:r>
      <w:r>
        <w:rPr>
          <w:rFonts w:ascii="Arial" w:hAnsi="Arial"/>
          <w:color w:val="000000"/>
          <w:sz w:val="22"/>
        </w:rPr>
        <w:t>. Exact numeric storage avoids binary floating-point rounding during comparisons, validation, and display.</w:t>
      </w:r>
    </w:p>
    <w:p>
      <w:pPr>
        <w:spacing w:before="0" w:after="120" w:line="300" w:lineRule="auto"/>
      </w:pPr>
      <w:r>
        <w:rPr>
          <w:rFonts w:ascii="Arial" w:hAnsi="Arial"/>
          <w:color w:val="000000"/>
          <w:sz w:val="22"/>
        </w:rPr>
        <w:t xml:space="preserve">The initial proposed types are </w:t>
      </w:r>
      <w:r>
        <w:rPr>
          <w:rFonts w:ascii="Roboto Mono" w:hAnsi="Roboto Mono"/>
          <w:color w:val="0B2545"/>
          <w:sz w:val="20"/>
        </w:rPr>
        <w:t>numeric(30,10)</w:t>
      </w:r>
      <w:r>
        <w:rPr>
          <w:rFonts w:ascii="Arial" w:hAnsi="Arial"/>
          <w:color w:val="000000"/>
          <w:sz w:val="22"/>
        </w:rPr>
        <w:t xml:space="preserve"> for prices and </w:t>
      </w:r>
      <w:r>
        <w:rPr>
          <w:rFonts w:ascii="Roboto Mono" w:hAnsi="Roboto Mono"/>
          <w:color w:val="0B2545"/>
          <w:sz w:val="20"/>
        </w:rPr>
        <w:t>numeric(38,18)</w:t>
      </w:r>
      <w:r>
        <w:rPr>
          <w:rFonts w:ascii="Arial" w:hAnsi="Arial"/>
          <w:color w:val="000000"/>
          <w:sz w:val="22"/>
        </w:rPr>
        <w:t xml:space="preserve"> for volumes. Macro values use </w:t>
      </w:r>
      <w:r>
        <w:rPr>
          <w:rFonts w:ascii="Roboto Mono" w:hAnsi="Roboto Mono"/>
          <w:color w:val="0B2545"/>
          <w:sz w:val="20"/>
        </w:rPr>
        <w:t>numeric(20,8)</w:t>
      </w:r>
      <w:r>
        <w:rPr>
          <w:rFonts w:ascii="Arial" w:hAnsi="Arial"/>
          <w:color w:val="000000"/>
          <w:sz w:val="22"/>
        </w:rPr>
        <w:t>. These are capacity choices, not claims that every source provides that many meaningful decimal places.</w:t>
      </w:r>
    </w:p>
    <w:p>
      <w:pPr>
        <w:pStyle w:val="Heading2"/>
      </w:pPr>
      <w:r>
        <w:rPr>
          <w:rFonts w:ascii="Arial" w:hAnsi="Arial"/>
          <w:color w:val="000000"/>
          <w:sz w:val="26"/>
        </w:rPr>
        <w:t>5.4 Provenance</w:t>
      </w:r>
    </w:p>
    <w:p>
      <w:pPr>
        <w:spacing w:before="0" w:after="120" w:line="300" w:lineRule="auto"/>
      </w:pPr>
      <w:r>
        <w:rPr>
          <w:rFonts w:ascii="Arial" w:hAnsi="Arial"/>
          <w:color w:val="000000"/>
          <w:sz w:val="22"/>
        </w:rPr>
        <w:t>Every market candle identifies its provider mapping. Every macro dataset records its source URL, metric, unit, frequency, and retrieval metadata. Ingestion runs record when and how collection happened. Raw provider payloads are kept as local fixtures or source artifacts for tests; the normalized tables are not intended to be unbounded raw-payload storage.</w:t>
      </w:r>
    </w:p>
    <w:p>
      <w:pPr>
        <w:pStyle w:val="Heading1"/>
      </w:pPr>
      <w:r>
        <w:rPr>
          <w:rFonts w:ascii="Arial" w:hAnsi="Arial"/>
          <w:color w:val="000000"/>
          <w:sz w:val="32"/>
        </w:rPr>
        <w:t xml:space="preserve">6. Table: </w:t>
      </w:r>
      <w:r>
        <w:rPr>
          <w:rFonts w:ascii="Roboto Mono" w:hAnsi="Roboto Mono"/>
          <w:color w:val="0B2545"/>
          <w:sz w:val="30"/>
        </w:rPr>
        <w:t>instruments</w:t>
      </w:r>
    </w:p>
    <w:p>
      <w:pPr>
        <w:pStyle w:val="Heading2"/>
      </w:pPr>
      <w:r>
        <w:rPr>
          <w:rFonts w:ascii="Arial" w:hAnsi="Arial"/>
          <w:color w:val="000000"/>
          <w:sz w:val="26"/>
        </w:rPr>
        <w:t>Purpose</w:t>
      </w:r>
    </w:p>
    <w:p>
      <w:pPr>
        <w:spacing w:before="0" w:after="120" w:line="300" w:lineRule="auto"/>
      </w:pPr>
      <w:r>
        <w:rPr>
          <w:rFonts w:ascii="Arial" w:hAnsi="Arial"/>
          <w:color w:val="000000"/>
          <w:sz w:val="22"/>
        </w:rPr>
        <w:t>Stores the canonical identity of a financial instrument independent of any one provider. It prevents repeated names, asset classifications, exchanges, and currencies from being copied into every candle row.</w:t>
      </w:r>
    </w:p>
    <w:p>
      <w:pPr>
        <w:pStyle w:val="Heading2"/>
      </w:pPr>
      <w:r>
        <w:rPr>
          <w:rFonts w:ascii="Arial" w:hAnsi="Arial"/>
          <w:color w:val="000000"/>
          <w:sz w:val="26"/>
        </w:rPr>
        <w:t>Columns</w:t>
      </w:r>
    </w:p>
    <w:tbl>
      <w:tblPr>
        <w:tblW w:type="dxa" w:w="9360"/>
        <w:jc w:val="left"/>
        <w:tblLayout w:type="fixed"/>
        <w:tblLook w:firstColumn="1" w:firstRow="1" w:lastColumn="0" w:lastRow="0" w:noHBand="0" w:noVBand="1" w:val="04A0"/>
        <w:tblBorders>
          <w:top w:val="single" w:sz="4" w:space="0" w:color="C7D2E0"/>
          <w:left w:val="single" w:sz="4" w:space="0" w:color="C7D2E0"/>
          <w:bottom w:val="single" w:sz="4" w:space="0" w:color="C7D2E0"/>
          <w:right w:val="single" w:sz="4" w:space="0" w:color="C7D2E0"/>
          <w:insideH w:val="single" w:sz="4" w:space="0" w:color="C7D2E0"/>
          <w:insideV w:val="single" w:sz="4" w:space="0" w:color="C7D2E0"/>
        </w:tblBorders>
        <w:tblInd w:w="120" w:type="dxa"/>
      </w:tblPr>
      <w:tblGrid>
        <w:gridCol w:w="1500"/>
        <w:gridCol w:w="1800"/>
        <w:gridCol w:w="700"/>
        <w:gridCol w:w="1700"/>
        <w:gridCol w:w="3660"/>
      </w:tblGrid>
      <w:tr>
        <w:trPr>
          <w:tblHeader w:val="true"/>
        </w:trPr>
        <w:tc>
          <w:tcPr>
            <w:tcW w:type="dxa" w:w="1500"/>
            <w:shd w:fill="E8EEF5"/>
            <w:tcMar>
              <w:top w:w="80" w:type="dxa"/>
              <w:start w:w="120" w:type="dxa"/>
              <w:bottom w:w="80" w:type="dxa"/>
              <w:end w:w="120" w:type="dxa"/>
            </w:tcMar>
            <w:vAlign w:val="center"/>
          </w:tcPr>
          <w:p>
            <w:pPr>
              <w:spacing w:before="0" w:after="0" w:line="276" w:lineRule="auto"/>
            </w:pPr>
            <w:r>
              <w:rPr>
                <w:rFonts w:ascii="Arial" w:hAnsi="Arial"/>
                <w:b/>
                <w:color w:val="0B2545"/>
                <w:sz w:val="19"/>
              </w:rPr>
              <w:t>Column</w:t>
            </w:r>
          </w:p>
        </w:tc>
        <w:tc>
          <w:tcPr>
            <w:tcW w:type="dxa" w:w="1800"/>
            <w:shd w:fill="E8EEF5"/>
            <w:tcMar>
              <w:top w:w="80" w:type="dxa"/>
              <w:start w:w="120" w:type="dxa"/>
              <w:bottom w:w="80" w:type="dxa"/>
              <w:end w:w="120" w:type="dxa"/>
            </w:tcMar>
            <w:vAlign w:val="center"/>
          </w:tcPr>
          <w:p>
            <w:pPr>
              <w:spacing w:before="0" w:after="0" w:line="276" w:lineRule="auto"/>
            </w:pPr>
            <w:r>
              <w:rPr>
                <w:rFonts w:ascii="Arial" w:hAnsi="Arial"/>
                <w:b/>
                <w:color w:val="0B2545"/>
                <w:sz w:val="19"/>
              </w:rPr>
              <w:t>PostgreSQL type</w:t>
            </w:r>
          </w:p>
        </w:tc>
        <w:tc>
          <w:tcPr>
            <w:tcW w:type="dxa" w:w="700"/>
            <w:shd w:fill="E8EEF5"/>
            <w:tcMar>
              <w:top w:w="80" w:type="dxa"/>
              <w:start w:w="120" w:type="dxa"/>
              <w:bottom w:w="80" w:type="dxa"/>
              <w:end w:w="120" w:type="dxa"/>
            </w:tcMar>
            <w:vAlign w:val="center"/>
          </w:tcPr>
          <w:p>
            <w:pPr>
              <w:spacing w:before="0" w:after="0" w:line="276" w:lineRule="auto"/>
            </w:pPr>
            <w:r>
              <w:rPr>
                <w:rFonts w:ascii="Arial" w:hAnsi="Arial"/>
                <w:b/>
                <w:color w:val="0B2545"/>
                <w:sz w:val="19"/>
              </w:rPr>
              <w:t>Null?</w:t>
            </w:r>
          </w:p>
        </w:tc>
        <w:tc>
          <w:tcPr>
            <w:tcW w:type="dxa" w:w="1700"/>
            <w:shd w:fill="E8EEF5"/>
            <w:tcMar>
              <w:top w:w="80" w:type="dxa"/>
              <w:start w:w="120" w:type="dxa"/>
              <w:bottom w:w="80" w:type="dxa"/>
              <w:end w:w="120" w:type="dxa"/>
            </w:tcMar>
            <w:vAlign w:val="center"/>
          </w:tcPr>
          <w:p>
            <w:pPr>
              <w:spacing w:before="0" w:after="0" w:line="276" w:lineRule="auto"/>
            </w:pPr>
            <w:r>
              <w:rPr>
                <w:rFonts w:ascii="Arial" w:hAnsi="Arial"/>
                <w:b/>
                <w:color w:val="0B2545"/>
                <w:sz w:val="19"/>
              </w:rPr>
              <w:t>Key/default</w:t>
            </w:r>
          </w:p>
        </w:tc>
        <w:tc>
          <w:tcPr>
            <w:tcW w:type="dxa" w:w="3660"/>
            <w:shd w:fill="E8EEF5"/>
            <w:tcMar>
              <w:top w:w="80" w:type="dxa"/>
              <w:start w:w="120" w:type="dxa"/>
              <w:bottom w:w="80" w:type="dxa"/>
              <w:end w:w="120" w:type="dxa"/>
            </w:tcMar>
            <w:vAlign w:val="center"/>
          </w:tcPr>
          <w:p>
            <w:pPr>
              <w:spacing w:before="0" w:after="0" w:line="276" w:lineRule="auto"/>
            </w:pPr>
            <w:r>
              <w:rPr>
                <w:rFonts w:ascii="Arial" w:hAnsi="Arial"/>
                <w:b/>
                <w:color w:val="0B2545"/>
                <w:sz w:val="19"/>
              </w:rPr>
              <w:t>What it stores and why</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id</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bigint</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r>
              <w:rPr>
                <w:rFonts w:ascii="Arial" w:hAnsi="Arial"/>
                <w:color w:val="000000"/>
                <w:sz w:val="19"/>
              </w:rPr>
              <w:t>Primary key, identity</w:t>
            </w: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Stable internal identifier referenced by provider mappings.</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canonical_symbol</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text</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r>
              <w:rPr>
                <w:rFonts w:ascii="Arial" w:hAnsi="Arial"/>
                <w:color w:val="000000"/>
                <w:sz w:val="19"/>
              </w:rPr>
              <w:t>Unique</w:t>
            </w: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 xml:space="preserve">MoneyPlant's stable symbol, such as </w:t>
            </w:r>
            <w:r>
              <w:rPr>
                <w:rFonts w:ascii="Roboto Mono" w:hAnsi="Roboto Mono"/>
                <w:color w:val="0B2545"/>
                <w:sz w:val="18"/>
              </w:rPr>
              <w:t>BTCUSDT</w:t>
            </w:r>
            <w:r>
              <w:rPr>
                <w:rFonts w:ascii="Arial" w:hAnsi="Arial"/>
                <w:color w:val="000000"/>
                <w:sz w:val="19"/>
              </w:rPr>
              <w:t xml:space="preserve"> or </w:t>
            </w:r>
            <w:r>
              <w:rPr>
                <w:rFonts w:ascii="Roboto Mono" w:hAnsi="Roboto Mono"/>
                <w:color w:val="0B2545"/>
                <w:sz w:val="18"/>
              </w:rPr>
              <w:t>SBIN</w:t>
            </w:r>
            <w:r>
              <w:rPr>
                <w:rFonts w:ascii="Arial" w:hAnsi="Arial"/>
                <w:color w:val="000000"/>
                <w:sz w:val="19"/>
              </w:rPr>
              <w:t>.</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name</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text</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 xml:space="preserve">Human-readable name, such as </w:t>
            </w:r>
            <w:r>
              <w:rPr>
                <w:rFonts w:ascii="Roboto Mono" w:hAnsi="Roboto Mono"/>
                <w:color w:val="0B2545"/>
                <w:sz w:val="18"/>
              </w:rPr>
              <w:t>Bitcoin / Tether</w:t>
            </w:r>
            <w:r>
              <w:rPr>
                <w:rFonts w:ascii="Arial" w:hAnsi="Arial"/>
                <w:color w:val="000000"/>
                <w:sz w:val="19"/>
              </w:rPr>
              <w:t xml:space="preserve"> or </w:t>
            </w:r>
            <w:r>
              <w:rPr>
                <w:rFonts w:ascii="Roboto Mono" w:hAnsi="Roboto Mono"/>
                <w:color w:val="0B2545"/>
                <w:sz w:val="18"/>
              </w:rPr>
              <w:t>State Bank of India</w:t>
            </w:r>
            <w:r>
              <w:rPr>
                <w:rFonts w:ascii="Arial" w:hAnsi="Arial"/>
                <w:color w:val="000000"/>
                <w:sz w:val="19"/>
              </w:rPr>
              <w:t>.</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asset_type</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text</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r>
              <w:rPr>
                <w:rFonts w:ascii="Arial" w:hAnsi="Arial"/>
                <w:color w:val="000000"/>
                <w:sz w:val="19"/>
              </w:rPr>
              <w:t>Check constraint</w:t>
            </w:r>
          </w:p>
        </w:tc>
        <w:tc>
          <w:tcPr>
            <w:tcW w:type="dxa" w:w="3660"/>
            <w:tcMar>
              <w:top w:w="80" w:type="dxa"/>
              <w:start w:w="120" w:type="dxa"/>
              <w:bottom w:w="80" w:type="dxa"/>
              <w:end w:w="120" w:type="dxa"/>
            </w:tcMar>
            <w:vAlign w:val="center"/>
          </w:tcPr>
          <w:p>
            <w:pPr>
              <w:spacing w:before="0" w:after="0" w:line="276" w:lineRule="auto"/>
            </w:pPr>
            <w:r>
              <w:rPr>
                <w:rFonts w:ascii="Roboto Mono" w:hAnsi="Roboto Mono"/>
                <w:color w:val="0B2545"/>
                <w:sz w:val="18"/>
              </w:rPr>
              <w:t>crypto</w:t>
            </w:r>
            <w:r>
              <w:rPr>
                <w:rFonts w:ascii="Arial" w:hAnsi="Arial"/>
                <w:color w:val="000000"/>
                <w:sz w:val="19"/>
              </w:rPr>
              <w:t xml:space="preserve">, </w:t>
            </w:r>
            <w:r>
              <w:rPr>
                <w:rFonts w:ascii="Roboto Mono" w:hAnsi="Roboto Mono"/>
                <w:color w:val="0B2545"/>
                <w:sz w:val="18"/>
              </w:rPr>
              <w:t>equity</w:t>
            </w:r>
            <w:r>
              <w:rPr>
                <w:rFonts w:ascii="Arial" w:hAnsi="Arial"/>
                <w:color w:val="000000"/>
                <w:sz w:val="19"/>
              </w:rPr>
              <w:t xml:space="preserve">, or </w:t>
            </w:r>
            <w:r>
              <w:rPr>
                <w:rFonts w:ascii="Roboto Mono" w:hAnsi="Roboto Mono"/>
                <w:color w:val="0B2545"/>
                <w:sz w:val="18"/>
              </w:rPr>
              <w:t>index</w:t>
            </w:r>
            <w:r>
              <w:rPr>
                <w:rFonts w:ascii="Arial" w:hAnsi="Arial"/>
                <w:color w:val="000000"/>
                <w:sz w:val="19"/>
              </w:rPr>
              <w:t xml:space="preserve"> in Phase 1.</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exchange</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text</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Yes</w:t>
            </w:r>
          </w:p>
        </w:tc>
        <w:tc>
          <w:tcPr>
            <w:tcW w:type="dxa" w:w="1700"/>
            <w:tcMar>
              <w:top w:w="80" w:type="dxa"/>
              <w:start w:w="120" w:type="dxa"/>
              <w:bottom w:w="80" w:type="dxa"/>
              <w:end w:w="120" w:type="dxa"/>
            </w:tcMar>
            <w:vAlign w:val="center"/>
          </w:tcPr>
          <w:p>
            <w:pPr>
              <w:spacing w:before="0" w:after="0" w:line="276" w:lineRule="auto"/>
            </w:pP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Market venue such as Binance, NSE, or an index publisher.</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currency</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char(3)</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 xml:space="preserve">Quote or reporting currency, such as </w:t>
            </w:r>
            <w:r>
              <w:rPr>
                <w:rFonts w:ascii="Roboto Mono" w:hAnsi="Roboto Mono"/>
                <w:color w:val="0B2545"/>
                <w:sz w:val="18"/>
              </w:rPr>
              <w:t>USD</w:t>
            </w:r>
            <w:r>
              <w:rPr>
                <w:rFonts w:ascii="Arial" w:hAnsi="Arial"/>
                <w:color w:val="000000"/>
                <w:sz w:val="19"/>
              </w:rPr>
              <w:t xml:space="preserve"> or </w:t>
            </w:r>
            <w:r>
              <w:rPr>
                <w:rFonts w:ascii="Roboto Mono" w:hAnsi="Roboto Mono"/>
                <w:color w:val="0B2545"/>
                <w:sz w:val="18"/>
              </w:rPr>
              <w:t>INR</w:t>
            </w:r>
            <w:r>
              <w:rPr>
                <w:rFonts w:ascii="Arial" w:hAnsi="Arial"/>
                <w:color w:val="000000"/>
                <w:sz w:val="19"/>
              </w:rPr>
              <w:t>.</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is_active</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boolean</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r>
              <w:rPr>
                <w:rFonts w:ascii="Arial" w:hAnsi="Arial"/>
                <w:color w:val="000000"/>
                <w:sz w:val="19"/>
              </w:rPr>
              <w:t xml:space="preserve">Default </w:t>
            </w:r>
            <w:r>
              <w:rPr>
                <w:rFonts w:ascii="Roboto Mono" w:hAnsi="Roboto Mono"/>
                <w:color w:val="0B2545"/>
                <w:sz w:val="18"/>
              </w:rPr>
              <w:t>true</w:t>
            </w: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Whether new ingestion jobs should include the instrument. Historical rows remain queryable when it becomes inactive.</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metadata</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jsonb</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r>
              <w:rPr>
                <w:rFonts w:ascii="Arial" w:hAnsi="Arial"/>
                <w:color w:val="000000"/>
                <w:sz w:val="19"/>
              </w:rPr>
              <w:t xml:space="preserve">Default </w:t>
            </w:r>
            <w:r>
              <w:rPr>
                <w:rFonts w:ascii="Roboto Mono" w:hAnsi="Roboto Mono"/>
                <w:color w:val="0B2545"/>
                <w:sz w:val="18"/>
              </w:rPr>
              <w:t>{}</w:t>
            </w: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Small, non-critical instrument attributes that do not justify a new column yet.</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created_at</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timestamptz</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r>
              <w:rPr>
                <w:rFonts w:ascii="Arial" w:hAnsi="Arial"/>
                <w:color w:val="000000"/>
                <w:sz w:val="19"/>
              </w:rPr>
              <w:t xml:space="preserve">Default </w:t>
            </w:r>
            <w:r>
              <w:rPr>
                <w:rFonts w:ascii="Roboto Mono" w:hAnsi="Roboto Mono"/>
                <w:color w:val="0B2545"/>
                <w:sz w:val="18"/>
              </w:rPr>
              <w:t>now()</w:t>
            </w: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When the internal record was created.</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updated_at</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timestamptz</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r>
              <w:rPr>
                <w:rFonts w:ascii="Arial" w:hAnsi="Arial"/>
                <w:color w:val="000000"/>
                <w:sz w:val="19"/>
              </w:rPr>
              <w:t xml:space="preserve">Default </w:t>
            </w:r>
            <w:r>
              <w:rPr>
                <w:rFonts w:ascii="Roboto Mono" w:hAnsi="Roboto Mono"/>
                <w:color w:val="0B2545"/>
                <w:sz w:val="18"/>
              </w:rPr>
              <w:t>now()</w:t>
            </w: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When canonical metadata was last changed.</w:t>
            </w:r>
          </w:p>
        </w:tc>
      </w:tr>
    </w:tbl>
    <w:p>
      <w:pPr>
        <w:spacing w:before="0" w:after="100" w:line="240" w:lineRule="auto"/>
      </w:pPr>
    </w:p>
    <w:p>
      <w:pPr>
        <w:pStyle w:val="Heading2"/>
      </w:pPr>
      <w:r>
        <w:rPr>
          <w:rFonts w:ascii="Arial" w:hAnsi="Arial"/>
          <w:color w:val="000000"/>
          <w:sz w:val="26"/>
        </w:rPr>
        <w:t>Constraints and indexes</w:t>
      </w:r>
    </w:p>
    <w:p>
      <w:pPr>
        <w:pStyle w:val="ListBullet"/>
        <w:spacing w:before="0" w:after="40" w:line="276" w:lineRule="auto"/>
        <w:ind w:left="540" w:hanging="271"/>
      </w:pPr>
      <w:r>
        <w:rPr>
          <w:rFonts w:ascii="Arial" w:hAnsi="Arial"/>
          <w:color w:val="000000"/>
          <w:sz w:val="22"/>
        </w:rPr>
        <w:t xml:space="preserve">Primary key: </w:t>
      </w:r>
      <w:r>
        <w:rPr>
          <w:rFonts w:ascii="Roboto Mono" w:hAnsi="Roboto Mono"/>
          <w:color w:val="0B2545"/>
          <w:sz w:val="20"/>
        </w:rPr>
        <w:t>id</w:t>
      </w:r>
      <w:r>
        <w:rPr>
          <w:rFonts w:ascii="Arial" w:hAnsi="Arial"/>
          <w:color w:val="000000"/>
          <w:sz w:val="22"/>
        </w:rPr>
        <w:t>.</w:t>
      </w:r>
    </w:p>
    <w:p>
      <w:pPr>
        <w:pStyle w:val="ListBullet"/>
        <w:spacing w:before="0" w:after="40" w:line="276" w:lineRule="auto"/>
        <w:ind w:left="540" w:hanging="271"/>
      </w:pPr>
      <w:r>
        <w:rPr>
          <w:rFonts w:ascii="Arial" w:hAnsi="Arial"/>
          <w:color w:val="000000"/>
          <w:sz w:val="22"/>
        </w:rPr>
        <w:t xml:space="preserve">Unique constraint: </w:t>
      </w:r>
      <w:r>
        <w:rPr>
          <w:rFonts w:ascii="Roboto Mono" w:hAnsi="Roboto Mono"/>
          <w:color w:val="0B2545"/>
          <w:sz w:val="20"/>
        </w:rPr>
        <w:t>canonical_symbol</w:t>
      </w:r>
      <w:r>
        <w:rPr>
          <w:rFonts w:ascii="Arial" w:hAnsi="Arial"/>
          <w:color w:val="000000"/>
          <w:sz w:val="22"/>
        </w:rPr>
        <w:t>.</w:t>
      </w:r>
    </w:p>
    <w:p>
      <w:pPr>
        <w:pStyle w:val="ListBullet"/>
        <w:spacing w:before="0" w:after="40" w:line="276" w:lineRule="auto"/>
        <w:ind w:left="540" w:hanging="271"/>
      </w:pPr>
      <w:r>
        <w:rPr>
          <w:rFonts w:ascii="Arial" w:hAnsi="Arial"/>
          <w:color w:val="000000"/>
          <w:sz w:val="22"/>
        </w:rPr>
        <w:t xml:space="preserve">Check: </w:t>
      </w:r>
      <w:r>
        <w:rPr>
          <w:rFonts w:ascii="Roboto Mono" w:hAnsi="Roboto Mono"/>
          <w:color w:val="0B2545"/>
          <w:sz w:val="20"/>
        </w:rPr>
        <w:t>canonical_symbol = upper(canonical_symbol)</w:t>
      </w:r>
      <w:r>
        <w:rPr>
          <w:rFonts w:ascii="Arial" w:hAnsi="Arial"/>
          <w:color w:val="000000"/>
          <w:sz w:val="22"/>
        </w:rPr>
        <w:t>.</w:t>
      </w:r>
    </w:p>
    <w:p>
      <w:pPr>
        <w:pStyle w:val="ListBullet"/>
        <w:spacing w:before="0" w:after="40" w:line="276" w:lineRule="auto"/>
        <w:ind w:left="540" w:hanging="271"/>
      </w:pPr>
      <w:r>
        <w:rPr>
          <w:rFonts w:ascii="Arial" w:hAnsi="Arial"/>
          <w:color w:val="000000"/>
          <w:sz w:val="22"/>
        </w:rPr>
        <w:t xml:space="preserve">Check: </w:t>
      </w:r>
      <w:r>
        <w:rPr>
          <w:rFonts w:ascii="Roboto Mono" w:hAnsi="Roboto Mono"/>
          <w:color w:val="0B2545"/>
          <w:sz w:val="20"/>
        </w:rPr>
        <w:t>asset_type</w:t>
      </w:r>
      <w:r>
        <w:rPr>
          <w:rFonts w:ascii="Arial" w:hAnsi="Arial"/>
          <w:color w:val="000000"/>
          <w:sz w:val="22"/>
        </w:rPr>
        <w:t xml:space="preserve"> must be one of the Phase 1 values.</w:t>
      </w:r>
    </w:p>
    <w:p>
      <w:pPr>
        <w:pStyle w:val="ListBullet"/>
        <w:spacing w:before="0" w:after="40" w:line="276" w:lineRule="auto"/>
        <w:ind w:left="540" w:hanging="271"/>
      </w:pPr>
      <w:r>
        <w:rPr>
          <w:rFonts w:ascii="Arial" w:hAnsi="Arial"/>
          <w:color w:val="000000"/>
          <w:sz w:val="22"/>
        </w:rPr>
        <w:t xml:space="preserve">Check: </w:t>
      </w:r>
      <w:r>
        <w:rPr>
          <w:rFonts w:ascii="Roboto Mono" w:hAnsi="Roboto Mono"/>
          <w:color w:val="0B2545"/>
          <w:sz w:val="20"/>
        </w:rPr>
        <w:t>currency</w:t>
      </w:r>
      <w:r>
        <w:rPr>
          <w:rFonts w:ascii="Arial" w:hAnsi="Arial"/>
          <w:color w:val="000000"/>
          <w:sz w:val="22"/>
        </w:rPr>
        <w:t xml:space="preserve"> must be three uppercase letters.</w:t>
      </w:r>
    </w:p>
    <w:p>
      <w:pPr>
        <w:pStyle w:val="ListBullet"/>
        <w:spacing w:before="0" w:after="40" w:line="276" w:lineRule="auto"/>
        <w:ind w:left="540" w:hanging="271"/>
      </w:pPr>
      <w:r>
        <w:rPr>
          <w:rFonts w:ascii="Arial" w:hAnsi="Arial"/>
          <w:color w:val="000000"/>
          <w:sz w:val="22"/>
        </w:rPr>
        <w:t xml:space="preserve">Index: </w:t>
      </w:r>
      <w:r>
        <w:rPr>
          <w:rFonts w:ascii="Roboto Mono" w:hAnsi="Roboto Mono"/>
          <w:color w:val="0B2545"/>
          <w:sz w:val="20"/>
        </w:rPr>
        <w:t>(asset_type, is_active)</w:t>
      </w:r>
      <w:r>
        <w:rPr>
          <w:rFonts w:ascii="Arial" w:hAnsi="Arial"/>
          <w:color w:val="000000"/>
          <w:sz w:val="22"/>
        </w:rPr>
        <w:t xml:space="preserve"> for instrument selection.</w:t>
      </w:r>
    </w:p>
    <w:p>
      <w:pPr>
        <w:pStyle w:val="Heading1"/>
      </w:pPr>
      <w:r>
        <w:rPr>
          <w:rFonts w:ascii="Arial" w:hAnsi="Arial"/>
          <w:color w:val="000000"/>
          <w:sz w:val="32"/>
        </w:rPr>
        <w:t xml:space="preserve">7. Table: </w:t>
      </w:r>
      <w:r>
        <w:rPr>
          <w:rFonts w:ascii="Roboto Mono" w:hAnsi="Roboto Mono"/>
          <w:color w:val="0B2545"/>
          <w:sz w:val="30"/>
        </w:rPr>
        <w:t>instrument_sources</w:t>
      </w:r>
    </w:p>
    <w:p>
      <w:pPr>
        <w:pStyle w:val="Heading2"/>
      </w:pPr>
      <w:r>
        <w:rPr>
          <w:rFonts w:ascii="Arial" w:hAnsi="Arial"/>
          <w:color w:val="000000"/>
          <w:sz w:val="26"/>
        </w:rPr>
        <w:t>Purpose</w:t>
      </w:r>
    </w:p>
    <w:p>
      <w:pPr>
        <w:spacing w:before="0" w:after="120" w:line="300" w:lineRule="auto"/>
      </w:pPr>
      <w:r>
        <w:rPr>
          <w:rFonts w:ascii="Arial" w:hAnsi="Arial"/>
          <w:color w:val="000000"/>
          <w:sz w:val="22"/>
        </w:rPr>
        <w:t xml:space="preserve">Stores the provider-specific identity for an instrument. This table is important because one asset can be represented as </w:t>
      </w:r>
      <w:r>
        <w:rPr>
          <w:rFonts w:ascii="Roboto Mono" w:hAnsi="Roboto Mono"/>
          <w:color w:val="0B2545"/>
          <w:sz w:val="20"/>
        </w:rPr>
        <w:t>SBIN</w:t>
      </w:r>
      <w:r>
        <w:rPr>
          <w:rFonts w:ascii="Arial" w:hAnsi="Arial"/>
          <w:color w:val="000000"/>
          <w:sz w:val="22"/>
        </w:rPr>
        <w:t xml:space="preserve"> at Angel One, </w:t>
      </w:r>
      <w:r>
        <w:rPr>
          <w:rFonts w:ascii="Roboto Mono" w:hAnsi="Roboto Mono"/>
          <w:color w:val="0B2545"/>
          <w:sz w:val="20"/>
        </w:rPr>
        <w:t>SBIN.NS</w:t>
      </w:r>
      <w:r>
        <w:rPr>
          <w:rFonts w:ascii="Arial" w:hAnsi="Arial"/>
          <w:color w:val="000000"/>
          <w:sz w:val="22"/>
        </w:rPr>
        <w:t xml:space="preserve"> at Yahoo Finance, and by a symbol/token pair at another provider. It also allows the authoritative provider and fallback provider to coexist without confusing their records.</w:t>
      </w:r>
    </w:p>
    <w:p>
      <w:pPr>
        <w:pStyle w:val="Heading2"/>
      </w:pPr>
      <w:r>
        <w:rPr>
          <w:rFonts w:ascii="Arial" w:hAnsi="Arial"/>
          <w:color w:val="000000"/>
          <w:sz w:val="26"/>
        </w:rPr>
        <w:t>Columns</w:t>
      </w:r>
    </w:p>
    <w:tbl>
      <w:tblPr>
        <w:tblW w:type="dxa" w:w="9360"/>
        <w:jc w:val="left"/>
        <w:tblLayout w:type="fixed"/>
        <w:tblLook w:firstColumn="1" w:firstRow="1" w:lastColumn="0" w:lastRow="0" w:noHBand="0" w:noVBand="1" w:val="04A0"/>
        <w:tblBorders>
          <w:top w:val="single" w:sz="4" w:space="0" w:color="C7D2E0"/>
          <w:left w:val="single" w:sz="4" w:space="0" w:color="C7D2E0"/>
          <w:bottom w:val="single" w:sz="4" w:space="0" w:color="C7D2E0"/>
          <w:right w:val="single" w:sz="4" w:space="0" w:color="C7D2E0"/>
          <w:insideH w:val="single" w:sz="4" w:space="0" w:color="C7D2E0"/>
          <w:insideV w:val="single" w:sz="4" w:space="0" w:color="C7D2E0"/>
        </w:tblBorders>
        <w:tblInd w:w="120" w:type="dxa"/>
      </w:tblPr>
      <w:tblGrid>
        <w:gridCol w:w="1500"/>
        <w:gridCol w:w="1800"/>
        <w:gridCol w:w="700"/>
        <w:gridCol w:w="1700"/>
        <w:gridCol w:w="3660"/>
      </w:tblGrid>
      <w:tr>
        <w:trPr>
          <w:tblHeader w:val="true"/>
        </w:trPr>
        <w:tc>
          <w:tcPr>
            <w:tcW w:type="dxa" w:w="1500"/>
            <w:shd w:fill="E8EEF5"/>
            <w:tcMar>
              <w:top w:w="80" w:type="dxa"/>
              <w:start w:w="120" w:type="dxa"/>
              <w:bottom w:w="80" w:type="dxa"/>
              <w:end w:w="120" w:type="dxa"/>
            </w:tcMar>
            <w:vAlign w:val="center"/>
          </w:tcPr>
          <w:p>
            <w:pPr>
              <w:spacing w:before="0" w:after="0" w:line="276" w:lineRule="auto"/>
            </w:pPr>
            <w:r>
              <w:rPr>
                <w:rFonts w:ascii="Arial" w:hAnsi="Arial"/>
                <w:b/>
                <w:color w:val="0B2545"/>
                <w:sz w:val="19"/>
              </w:rPr>
              <w:t>Column</w:t>
            </w:r>
          </w:p>
        </w:tc>
        <w:tc>
          <w:tcPr>
            <w:tcW w:type="dxa" w:w="1800"/>
            <w:shd w:fill="E8EEF5"/>
            <w:tcMar>
              <w:top w:w="80" w:type="dxa"/>
              <w:start w:w="120" w:type="dxa"/>
              <w:bottom w:w="80" w:type="dxa"/>
              <w:end w:w="120" w:type="dxa"/>
            </w:tcMar>
            <w:vAlign w:val="center"/>
          </w:tcPr>
          <w:p>
            <w:pPr>
              <w:spacing w:before="0" w:after="0" w:line="276" w:lineRule="auto"/>
            </w:pPr>
            <w:r>
              <w:rPr>
                <w:rFonts w:ascii="Arial" w:hAnsi="Arial"/>
                <w:b/>
                <w:color w:val="0B2545"/>
                <w:sz w:val="19"/>
              </w:rPr>
              <w:t>PostgreSQL type</w:t>
            </w:r>
          </w:p>
        </w:tc>
        <w:tc>
          <w:tcPr>
            <w:tcW w:type="dxa" w:w="700"/>
            <w:shd w:fill="E8EEF5"/>
            <w:tcMar>
              <w:top w:w="80" w:type="dxa"/>
              <w:start w:w="120" w:type="dxa"/>
              <w:bottom w:w="80" w:type="dxa"/>
              <w:end w:w="120" w:type="dxa"/>
            </w:tcMar>
            <w:vAlign w:val="center"/>
          </w:tcPr>
          <w:p>
            <w:pPr>
              <w:spacing w:before="0" w:after="0" w:line="276" w:lineRule="auto"/>
            </w:pPr>
            <w:r>
              <w:rPr>
                <w:rFonts w:ascii="Arial" w:hAnsi="Arial"/>
                <w:b/>
                <w:color w:val="0B2545"/>
                <w:sz w:val="19"/>
              </w:rPr>
              <w:t>Null?</w:t>
            </w:r>
          </w:p>
        </w:tc>
        <w:tc>
          <w:tcPr>
            <w:tcW w:type="dxa" w:w="1700"/>
            <w:shd w:fill="E8EEF5"/>
            <w:tcMar>
              <w:top w:w="80" w:type="dxa"/>
              <w:start w:w="120" w:type="dxa"/>
              <w:bottom w:w="80" w:type="dxa"/>
              <w:end w:w="120" w:type="dxa"/>
            </w:tcMar>
            <w:vAlign w:val="center"/>
          </w:tcPr>
          <w:p>
            <w:pPr>
              <w:spacing w:before="0" w:after="0" w:line="276" w:lineRule="auto"/>
            </w:pPr>
            <w:r>
              <w:rPr>
                <w:rFonts w:ascii="Arial" w:hAnsi="Arial"/>
                <w:b/>
                <w:color w:val="0B2545"/>
                <w:sz w:val="19"/>
              </w:rPr>
              <w:t>Key/default</w:t>
            </w:r>
          </w:p>
        </w:tc>
        <w:tc>
          <w:tcPr>
            <w:tcW w:type="dxa" w:w="3660"/>
            <w:shd w:fill="E8EEF5"/>
            <w:tcMar>
              <w:top w:w="80" w:type="dxa"/>
              <w:start w:w="120" w:type="dxa"/>
              <w:bottom w:w="80" w:type="dxa"/>
              <w:end w:w="120" w:type="dxa"/>
            </w:tcMar>
            <w:vAlign w:val="center"/>
          </w:tcPr>
          <w:p>
            <w:pPr>
              <w:spacing w:before="0" w:after="0" w:line="276" w:lineRule="auto"/>
            </w:pPr>
            <w:r>
              <w:rPr>
                <w:rFonts w:ascii="Arial" w:hAnsi="Arial"/>
                <w:b/>
                <w:color w:val="0B2545"/>
                <w:sz w:val="19"/>
              </w:rPr>
              <w:t>What it stores and why</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id</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bigint</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r>
              <w:rPr>
                <w:rFonts w:ascii="Arial" w:hAnsi="Arial"/>
                <w:color w:val="000000"/>
                <w:sz w:val="19"/>
              </w:rPr>
              <w:t>Primary key, identity</w:t>
            </w: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Stable internal identifier for one provider mapping.</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instrument_id</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bigint</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r>
              <w:rPr>
                <w:rFonts w:ascii="Arial" w:hAnsi="Arial"/>
                <w:color w:val="000000"/>
                <w:sz w:val="19"/>
              </w:rPr>
              <w:t>Foreign key</w:t>
            </w: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Links the provider mapping to the canonical instrument.</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provider</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text</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p>
        </w:tc>
        <w:tc>
          <w:tcPr>
            <w:tcW w:type="dxa" w:w="3660"/>
            <w:tcMar>
              <w:top w:w="80" w:type="dxa"/>
              <w:start w:w="120" w:type="dxa"/>
              <w:bottom w:w="80" w:type="dxa"/>
              <w:end w:w="120" w:type="dxa"/>
            </w:tcMar>
            <w:vAlign w:val="center"/>
          </w:tcPr>
          <w:p>
            <w:pPr>
              <w:spacing w:before="0" w:after="0" w:line="276" w:lineRule="auto"/>
            </w:pPr>
            <w:r>
              <w:rPr>
                <w:rFonts w:ascii="Roboto Mono" w:hAnsi="Roboto Mono"/>
                <w:color w:val="0B2545"/>
                <w:sz w:val="18"/>
              </w:rPr>
              <w:t>binance</w:t>
            </w:r>
            <w:r>
              <w:rPr>
                <w:rFonts w:ascii="Arial" w:hAnsi="Arial"/>
                <w:color w:val="000000"/>
                <w:sz w:val="19"/>
              </w:rPr>
              <w:t xml:space="preserve">, </w:t>
            </w:r>
            <w:r>
              <w:rPr>
                <w:rFonts w:ascii="Roboto Mono" w:hAnsi="Roboto Mono"/>
                <w:color w:val="0B2545"/>
                <w:sz w:val="18"/>
              </w:rPr>
              <w:t>yahoo</w:t>
            </w:r>
            <w:r>
              <w:rPr>
                <w:rFonts w:ascii="Arial" w:hAnsi="Arial"/>
                <w:color w:val="000000"/>
                <w:sz w:val="19"/>
              </w:rPr>
              <w:t xml:space="preserve">, or </w:t>
            </w:r>
            <w:r>
              <w:rPr>
                <w:rFonts w:ascii="Roboto Mono" w:hAnsi="Roboto Mono"/>
                <w:color w:val="0B2545"/>
                <w:sz w:val="18"/>
              </w:rPr>
              <w:t>angel_one</w:t>
            </w:r>
            <w:r>
              <w:rPr>
                <w:rFonts w:ascii="Arial" w:hAnsi="Arial"/>
                <w:color w:val="000000"/>
                <w:sz w:val="19"/>
              </w:rPr>
              <w:t>.</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provider_symbol</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text</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 xml:space="preserve">Exact symbol sent to the provider, such as </w:t>
            </w:r>
            <w:r>
              <w:rPr>
                <w:rFonts w:ascii="Roboto Mono" w:hAnsi="Roboto Mono"/>
                <w:color w:val="0B2545"/>
                <w:sz w:val="18"/>
              </w:rPr>
              <w:t>SBIN.NS</w:t>
            </w:r>
            <w:r>
              <w:rPr>
                <w:rFonts w:ascii="Arial" w:hAnsi="Arial"/>
                <w:color w:val="000000"/>
                <w:sz w:val="19"/>
              </w:rPr>
              <w:t xml:space="preserve"> or </w:t>
            </w:r>
            <w:r>
              <w:rPr>
                <w:rFonts w:ascii="Roboto Mono" w:hAnsi="Roboto Mono"/>
                <w:color w:val="0B2545"/>
                <w:sz w:val="18"/>
              </w:rPr>
              <w:t>BTCUSDT</w:t>
            </w:r>
            <w:r>
              <w:rPr>
                <w:rFonts w:ascii="Arial" w:hAnsi="Arial"/>
                <w:color w:val="000000"/>
                <w:sz w:val="19"/>
              </w:rPr>
              <w:t>.</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provider_instrument_id</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text</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Yes</w:t>
            </w:r>
          </w:p>
        </w:tc>
        <w:tc>
          <w:tcPr>
            <w:tcW w:type="dxa" w:w="1700"/>
            <w:tcMar>
              <w:top w:w="80" w:type="dxa"/>
              <w:start w:w="120" w:type="dxa"/>
              <w:bottom w:w="80" w:type="dxa"/>
              <w:end w:w="120" w:type="dxa"/>
            </w:tcMar>
            <w:vAlign w:val="center"/>
          </w:tcPr>
          <w:p>
            <w:pPr>
              <w:spacing w:before="0" w:after="0" w:line="276" w:lineRule="auto"/>
            </w:pP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Provider token or instrument ID, especially needed for Angel One.</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is_authoritative</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boolean</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r>
              <w:rPr>
                <w:rFonts w:ascii="Arial" w:hAnsi="Arial"/>
                <w:color w:val="000000"/>
                <w:sz w:val="19"/>
              </w:rPr>
              <w:t xml:space="preserve">Default </w:t>
            </w:r>
            <w:r>
              <w:rPr>
                <w:rFonts w:ascii="Roboto Mono" w:hAnsi="Roboto Mono"/>
                <w:color w:val="0B2545"/>
                <w:sz w:val="18"/>
              </w:rPr>
              <w:t>false</w:t>
            </w: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Marks the preferred source for this instrument in the configured ingestion policy.</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is_active</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boolean</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r>
              <w:rPr>
                <w:rFonts w:ascii="Arial" w:hAnsi="Arial"/>
                <w:color w:val="000000"/>
                <w:sz w:val="19"/>
              </w:rPr>
              <w:t xml:space="preserve">Default </w:t>
            </w:r>
            <w:r>
              <w:rPr>
                <w:rFonts w:ascii="Roboto Mono" w:hAnsi="Roboto Mono"/>
                <w:color w:val="0B2545"/>
                <w:sz w:val="18"/>
              </w:rPr>
              <w:t>true</w:t>
            </w: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Controls whether this mapping may be used for new collection.</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metadata</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jsonb</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r>
              <w:rPr>
                <w:rFonts w:ascii="Arial" w:hAnsi="Arial"/>
                <w:color w:val="000000"/>
                <w:sz w:val="19"/>
              </w:rPr>
              <w:t xml:space="preserve">Default </w:t>
            </w:r>
            <w:r>
              <w:rPr>
                <w:rFonts w:ascii="Roboto Mono" w:hAnsi="Roboto Mono"/>
                <w:color w:val="0B2545"/>
                <w:sz w:val="18"/>
              </w:rPr>
              <w:t>{}</w:t>
            </w: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Provider-specific exchange, market segment, or symbol-resolution details.</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created_at</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timestamptz</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r>
              <w:rPr>
                <w:rFonts w:ascii="Arial" w:hAnsi="Arial"/>
                <w:color w:val="000000"/>
                <w:sz w:val="19"/>
              </w:rPr>
              <w:t xml:space="preserve">Default </w:t>
            </w:r>
            <w:r>
              <w:rPr>
                <w:rFonts w:ascii="Roboto Mono" w:hAnsi="Roboto Mono"/>
                <w:color w:val="0B2545"/>
                <w:sz w:val="18"/>
              </w:rPr>
              <w:t>now()</w:t>
            </w: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Mapping creation time.</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updated_at</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timestamptz</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r>
              <w:rPr>
                <w:rFonts w:ascii="Arial" w:hAnsi="Arial"/>
                <w:color w:val="000000"/>
                <w:sz w:val="19"/>
              </w:rPr>
              <w:t xml:space="preserve">Default </w:t>
            </w:r>
            <w:r>
              <w:rPr>
                <w:rFonts w:ascii="Roboto Mono" w:hAnsi="Roboto Mono"/>
                <w:color w:val="0B2545"/>
                <w:sz w:val="18"/>
              </w:rPr>
              <w:t>now()</w:t>
            </w: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Last mapping update time.</w:t>
            </w:r>
          </w:p>
        </w:tc>
      </w:tr>
    </w:tbl>
    <w:p>
      <w:pPr>
        <w:spacing w:before="0" w:after="100" w:line="240" w:lineRule="auto"/>
      </w:pPr>
    </w:p>
    <w:p>
      <w:pPr>
        <w:pStyle w:val="Heading2"/>
      </w:pPr>
      <w:r>
        <w:rPr>
          <w:rFonts w:ascii="Arial" w:hAnsi="Arial"/>
          <w:color w:val="000000"/>
          <w:sz w:val="26"/>
        </w:rPr>
        <w:t>Constraints and indexes</w:t>
      </w:r>
    </w:p>
    <w:p>
      <w:pPr>
        <w:pStyle w:val="ListBullet"/>
        <w:spacing w:before="0" w:after="40" w:line="276" w:lineRule="auto"/>
        <w:ind w:left="540" w:hanging="271"/>
      </w:pPr>
      <w:r>
        <w:rPr>
          <w:rFonts w:ascii="Arial" w:hAnsi="Arial"/>
          <w:color w:val="000000"/>
          <w:sz w:val="22"/>
        </w:rPr>
        <w:t xml:space="preserve">Primary key: </w:t>
      </w:r>
      <w:r>
        <w:rPr>
          <w:rFonts w:ascii="Roboto Mono" w:hAnsi="Roboto Mono"/>
          <w:color w:val="0B2545"/>
          <w:sz w:val="20"/>
        </w:rPr>
        <w:t>id</w:t>
      </w:r>
      <w:r>
        <w:rPr>
          <w:rFonts w:ascii="Arial" w:hAnsi="Arial"/>
          <w:color w:val="000000"/>
          <w:sz w:val="22"/>
        </w:rPr>
        <w:t>.</w:t>
      </w:r>
    </w:p>
    <w:p>
      <w:pPr>
        <w:pStyle w:val="ListBullet"/>
        <w:spacing w:before="0" w:after="40" w:line="276" w:lineRule="auto"/>
        <w:ind w:left="540" w:hanging="271"/>
      </w:pPr>
      <w:r>
        <w:rPr>
          <w:rFonts w:ascii="Arial" w:hAnsi="Arial"/>
          <w:color w:val="000000"/>
          <w:sz w:val="22"/>
        </w:rPr>
        <w:t xml:space="preserve">Foreign key: </w:t>
      </w:r>
      <w:r>
        <w:rPr>
          <w:rFonts w:ascii="Roboto Mono" w:hAnsi="Roboto Mono"/>
          <w:color w:val="0B2545"/>
          <w:sz w:val="20"/>
        </w:rPr>
        <w:t>instrument_id</w:t>
      </w:r>
      <w:r>
        <w:rPr>
          <w:rFonts w:ascii="Arial" w:hAnsi="Arial"/>
          <w:color w:val="000000"/>
          <w:sz w:val="22"/>
        </w:rPr>
        <w:t xml:space="preserve"> references </w:t>
      </w:r>
      <w:r>
        <w:rPr>
          <w:rFonts w:ascii="Roboto Mono" w:hAnsi="Roboto Mono"/>
          <w:color w:val="0B2545"/>
          <w:sz w:val="20"/>
        </w:rPr>
        <w:t>instruments(id)</w:t>
      </w:r>
      <w:r>
        <w:rPr>
          <w:rFonts w:ascii="Arial" w:hAnsi="Arial"/>
          <w:color w:val="000000"/>
          <w:sz w:val="22"/>
        </w:rPr>
        <w:t xml:space="preserve"> with deletion restricted.</w:t>
      </w:r>
    </w:p>
    <w:p>
      <w:pPr>
        <w:pStyle w:val="ListBullet"/>
        <w:spacing w:before="0" w:after="40" w:line="276" w:lineRule="auto"/>
        <w:ind w:left="540" w:hanging="271"/>
      </w:pPr>
      <w:r>
        <w:rPr>
          <w:rFonts w:ascii="Arial" w:hAnsi="Arial"/>
          <w:color w:val="000000"/>
          <w:sz w:val="22"/>
        </w:rPr>
        <w:t xml:space="preserve">Unique constraint: </w:t>
      </w:r>
      <w:r>
        <w:rPr>
          <w:rFonts w:ascii="Roboto Mono" w:hAnsi="Roboto Mono"/>
          <w:color w:val="0B2545"/>
          <w:sz w:val="20"/>
        </w:rPr>
        <w:t>(provider, provider_symbol)</w:t>
      </w:r>
      <w:r>
        <w:rPr>
          <w:rFonts w:ascii="Arial" w:hAnsi="Arial"/>
          <w:color w:val="000000"/>
          <w:sz w:val="22"/>
        </w:rPr>
        <w:t>.</w:t>
      </w:r>
    </w:p>
    <w:p>
      <w:pPr>
        <w:pStyle w:val="ListBullet"/>
        <w:spacing w:before="0" w:after="40" w:line="276" w:lineRule="auto"/>
        <w:ind w:left="540" w:hanging="271"/>
      </w:pPr>
      <w:r>
        <w:rPr>
          <w:rFonts w:ascii="Arial" w:hAnsi="Arial"/>
          <w:color w:val="000000"/>
          <w:sz w:val="22"/>
        </w:rPr>
        <w:t xml:space="preserve">Partial unique index: </w:t>
      </w:r>
      <w:r>
        <w:rPr>
          <w:rFonts w:ascii="Roboto Mono" w:hAnsi="Roboto Mono"/>
          <w:color w:val="0B2545"/>
          <w:sz w:val="20"/>
        </w:rPr>
        <w:t>(provider, provider_instrument_id)</w:t>
      </w:r>
      <w:r>
        <w:rPr>
          <w:rFonts w:ascii="Arial" w:hAnsi="Arial"/>
          <w:color w:val="000000"/>
          <w:sz w:val="22"/>
        </w:rPr>
        <w:t xml:space="preserve"> where </w:t>
      </w:r>
      <w:r>
        <w:rPr>
          <w:rFonts w:ascii="Roboto Mono" w:hAnsi="Roboto Mono"/>
          <w:color w:val="0B2545"/>
          <w:sz w:val="20"/>
        </w:rPr>
        <w:t>provider_instrument_id IS NOT NULL</w:t>
      </w:r>
      <w:r>
        <w:rPr>
          <w:rFonts w:ascii="Arial" w:hAnsi="Arial"/>
          <w:color w:val="000000"/>
          <w:sz w:val="22"/>
        </w:rPr>
        <w:t>. This prevents duplicate provider tokens while allowing providers such as Yahoo Finance to omit numeric instrument IDs.</w:t>
      </w:r>
    </w:p>
    <w:p>
      <w:pPr>
        <w:pStyle w:val="ListBullet"/>
        <w:spacing w:before="0" w:after="40" w:line="276" w:lineRule="auto"/>
        <w:ind w:left="540" w:hanging="271"/>
      </w:pPr>
      <w:r>
        <w:rPr>
          <w:rFonts w:ascii="Arial" w:hAnsi="Arial"/>
          <w:color w:val="000000"/>
          <w:sz w:val="22"/>
        </w:rPr>
        <w:t xml:space="preserve">Index: </w:t>
      </w:r>
      <w:r>
        <w:rPr>
          <w:rFonts w:ascii="Roboto Mono" w:hAnsi="Roboto Mono"/>
          <w:color w:val="0B2545"/>
          <w:sz w:val="20"/>
        </w:rPr>
        <w:t>(instrument_id, is_active)</w:t>
      </w:r>
      <w:r>
        <w:rPr>
          <w:rFonts w:ascii="Arial" w:hAnsi="Arial"/>
          <w:color w:val="000000"/>
          <w:sz w:val="22"/>
        </w:rPr>
        <w:t>.</w:t>
      </w:r>
    </w:p>
    <w:p>
      <w:pPr>
        <w:pStyle w:val="ListBullet"/>
        <w:spacing w:before="0" w:after="40" w:line="276" w:lineRule="auto"/>
        <w:ind w:left="540" w:hanging="271"/>
      </w:pPr>
      <w:r>
        <w:rPr>
          <w:rFonts w:ascii="Arial" w:hAnsi="Arial"/>
          <w:color w:val="000000"/>
          <w:sz w:val="22"/>
        </w:rPr>
        <w:t xml:space="preserve">Partial unique index: </w:t>
      </w:r>
      <w:r>
        <w:rPr>
          <w:rFonts w:ascii="Roboto Mono" w:hAnsi="Roboto Mono"/>
          <w:color w:val="0B2545"/>
          <w:sz w:val="20"/>
        </w:rPr>
        <w:t>(instrument_id)</w:t>
      </w:r>
      <w:r>
        <w:rPr>
          <w:rFonts w:ascii="Arial" w:hAnsi="Arial"/>
          <w:color w:val="000000"/>
          <w:sz w:val="22"/>
        </w:rPr>
        <w:t xml:space="preserve"> where </w:t>
      </w:r>
      <w:r>
        <w:rPr>
          <w:rFonts w:ascii="Roboto Mono" w:hAnsi="Roboto Mono"/>
          <w:color w:val="0B2545"/>
          <w:sz w:val="20"/>
        </w:rPr>
        <w:t>is_authoritative = TRUE</w:t>
      </w:r>
      <w:r>
        <w:rPr>
          <w:rFonts w:ascii="Arial" w:hAnsi="Arial"/>
          <w:color w:val="000000"/>
          <w:sz w:val="22"/>
        </w:rPr>
        <w:t>. Phase 1 permits at most one authoritative provider mapping per canonical instrument.</w:t>
      </w:r>
    </w:p>
    <w:p>
      <w:pPr>
        <w:spacing w:before="0" w:after="120" w:line="300" w:lineRule="auto"/>
      </w:pPr>
      <w:r>
        <w:rPr>
          <w:rFonts w:ascii="Arial" w:hAnsi="Arial"/>
          <w:color w:val="000000"/>
          <w:sz w:val="22"/>
        </w:rPr>
        <w:t>The partial indexes should be implemented explicitly in PostgreSQL:</w:t>
      </w:r>
    </w:p>
    <w:p>
      <w:pPr>
        <w:spacing w:before="40" w:after="160" w:line="240" w:lineRule="auto"/>
        <w:ind w:left="288"/>
      </w:pPr>
      <w:r>
        <w:rPr>
          <w:rFonts w:ascii="Roboto Mono" w:hAnsi="Roboto Mono"/>
          <w:color w:val="0B2545"/>
          <w:sz w:val="18"/>
        </w:rPr>
        <w:t>CREATE UNIQUE INDEX uq_instrument_sources_provider_token</w:t>
        <w:br/>
        <w:t>ON instrument_sources (provider, provider_instrument_id)</w:t>
        <w:br/>
        <w:t>WHERE provider_instrument_id IS NOT NULL;</w:t>
        <w:br/>
        <w:br/>
        <w:t>CREATE UNIQUE INDEX uq_one_authoritative_source</w:t>
        <w:br/>
        <w:t>ON instrument_sources (instrument_id)</w:t>
        <w:br/>
        <w:t>WHERE is_authoritative = TRUE;</w:t>
      </w:r>
    </w:p>
    <w:p>
      <w:pPr>
        <w:pStyle w:val="Heading1"/>
      </w:pPr>
      <w:r>
        <w:rPr>
          <w:rFonts w:ascii="Arial" w:hAnsi="Arial"/>
          <w:color w:val="000000"/>
          <w:sz w:val="32"/>
        </w:rPr>
        <w:t xml:space="preserve">8. Table: </w:t>
      </w:r>
      <w:r>
        <w:rPr>
          <w:rFonts w:ascii="Roboto Mono" w:hAnsi="Roboto Mono"/>
          <w:color w:val="0B2545"/>
          <w:sz w:val="30"/>
        </w:rPr>
        <w:t>market_candles</w:t>
      </w:r>
    </w:p>
    <w:p>
      <w:pPr>
        <w:pStyle w:val="Heading2"/>
      </w:pPr>
      <w:r>
        <w:rPr>
          <w:rFonts w:ascii="Arial" w:hAnsi="Arial"/>
          <w:color w:val="000000"/>
          <w:sz w:val="26"/>
        </w:rPr>
        <w:t>Purpose</w:t>
      </w:r>
    </w:p>
    <w:p>
      <w:pPr>
        <w:spacing w:before="0" w:after="120" w:line="300" w:lineRule="auto"/>
      </w:pPr>
      <w:r>
        <w:rPr>
          <w:rFonts w:ascii="Arial" w:hAnsi="Arial"/>
          <w:color w:val="000000"/>
          <w:sz w:val="22"/>
        </w:rPr>
        <w:t>Stores normalized historical OHLCV candles from market-data providers. Each row represents one interval for one provider mapping at one candle-open timestamp.</w:t>
      </w:r>
    </w:p>
    <w:p>
      <w:pPr>
        <w:pStyle w:val="Heading2"/>
      </w:pPr>
      <w:r>
        <w:rPr>
          <w:rFonts w:ascii="Arial" w:hAnsi="Arial"/>
          <w:color w:val="000000"/>
          <w:sz w:val="26"/>
        </w:rPr>
        <w:t>Columns</w:t>
      </w:r>
    </w:p>
    <w:tbl>
      <w:tblPr>
        <w:tblW w:type="dxa" w:w="9360"/>
        <w:jc w:val="left"/>
        <w:tblLayout w:type="fixed"/>
        <w:tblLook w:firstColumn="1" w:firstRow="1" w:lastColumn="0" w:lastRow="0" w:noHBand="0" w:noVBand="1" w:val="04A0"/>
        <w:tblBorders>
          <w:top w:val="single" w:sz="4" w:space="0" w:color="C7D2E0"/>
          <w:left w:val="single" w:sz="4" w:space="0" w:color="C7D2E0"/>
          <w:bottom w:val="single" w:sz="4" w:space="0" w:color="C7D2E0"/>
          <w:right w:val="single" w:sz="4" w:space="0" w:color="C7D2E0"/>
          <w:insideH w:val="single" w:sz="4" w:space="0" w:color="C7D2E0"/>
          <w:insideV w:val="single" w:sz="4" w:space="0" w:color="C7D2E0"/>
        </w:tblBorders>
        <w:tblInd w:w="120" w:type="dxa"/>
      </w:tblPr>
      <w:tblGrid>
        <w:gridCol w:w="1500"/>
        <w:gridCol w:w="1800"/>
        <w:gridCol w:w="700"/>
        <w:gridCol w:w="1700"/>
        <w:gridCol w:w="3660"/>
      </w:tblGrid>
      <w:tr>
        <w:trPr>
          <w:tblHeader w:val="true"/>
        </w:trPr>
        <w:tc>
          <w:tcPr>
            <w:tcW w:type="dxa" w:w="1500"/>
            <w:shd w:fill="E8EEF5"/>
            <w:tcMar>
              <w:top w:w="80" w:type="dxa"/>
              <w:start w:w="120" w:type="dxa"/>
              <w:bottom w:w="80" w:type="dxa"/>
              <w:end w:w="120" w:type="dxa"/>
            </w:tcMar>
            <w:vAlign w:val="center"/>
          </w:tcPr>
          <w:p>
            <w:pPr>
              <w:spacing w:before="0" w:after="0" w:line="276" w:lineRule="auto"/>
            </w:pPr>
            <w:r>
              <w:rPr>
                <w:rFonts w:ascii="Arial" w:hAnsi="Arial"/>
                <w:b/>
                <w:color w:val="0B2545"/>
                <w:sz w:val="19"/>
              </w:rPr>
              <w:t>Column</w:t>
            </w:r>
          </w:p>
        </w:tc>
        <w:tc>
          <w:tcPr>
            <w:tcW w:type="dxa" w:w="1800"/>
            <w:shd w:fill="E8EEF5"/>
            <w:tcMar>
              <w:top w:w="80" w:type="dxa"/>
              <w:start w:w="120" w:type="dxa"/>
              <w:bottom w:w="80" w:type="dxa"/>
              <w:end w:w="120" w:type="dxa"/>
            </w:tcMar>
            <w:vAlign w:val="center"/>
          </w:tcPr>
          <w:p>
            <w:pPr>
              <w:spacing w:before="0" w:after="0" w:line="276" w:lineRule="auto"/>
            </w:pPr>
            <w:r>
              <w:rPr>
                <w:rFonts w:ascii="Arial" w:hAnsi="Arial"/>
                <w:b/>
                <w:color w:val="0B2545"/>
                <w:sz w:val="19"/>
              </w:rPr>
              <w:t>PostgreSQL type</w:t>
            </w:r>
          </w:p>
        </w:tc>
        <w:tc>
          <w:tcPr>
            <w:tcW w:type="dxa" w:w="700"/>
            <w:shd w:fill="E8EEF5"/>
            <w:tcMar>
              <w:top w:w="80" w:type="dxa"/>
              <w:start w:w="120" w:type="dxa"/>
              <w:bottom w:w="80" w:type="dxa"/>
              <w:end w:w="120" w:type="dxa"/>
            </w:tcMar>
            <w:vAlign w:val="center"/>
          </w:tcPr>
          <w:p>
            <w:pPr>
              <w:spacing w:before="0" w:after="0" w:line="276" w:lineRule="auto"/>
            </w:pPr>
            <w:r>
              <w:rPr>
                <w:rFonts w:ascii="Arial" w:hAnsi="Arial"/>
                <w:b/>
                <w:color w:val="0B2545"/>
                <w:sz w:val="19"/>
              </w:rPr>
              <w:t>Null?</w:t>
            </w:r>
          </w:p>
        </w:tc>
        <w:tc>
          <w:tcPr>
            <w:tcW w:type="dxa" w:w="1700"/>
            <w:shd w:fill="E8EEF5"/>
            <w:tcMar>
              <w:top w:w="80" w:type="dxa"/>
              <w:start w:w="120" w:type="dxa"/>
              <w:bottom w:w="80" w:type="dxa"/>
              <w:end w:w="120" w:type="dxa"/>
            </w:tcMar>
            <w:vAlign w:val="center"/>
          </w:tcPr>
          <w:p>
            <w:pPr>
              <w:spacing w:before="0" w:after="0" w:line="276" w:lineRule="auto"/>
            </w:pPr>
            <w:r>
              <w:rPr>
                <w:rFonts w:ascii="Arial" w:hAnsi="Arial"/>
                <w:b/>
                <w:color w:val="0B2545"/>
                <w:sz w:val="19"/>
              </w:rPr>
              <w:t>Key/default</w:t>
            </w:r>
          </w:p>
        </w:tc>
        <w:tc>
          <w:tcPr>
            <w:tcW w:type="dxa" w:w="3660"/>
            <w:shd w:fill="E8EEF5"/>
            <w:tcMar>
              <w:top w:w="80" w:type="dxa"/>
              <w:start w:w="120" w:type="dxa"/>
              <w:bottom w:w="80" w:type="dxa"/>
              <w:end w:w="120" w:type="dxa"/>
            </w:tcMar>
            <w:vAlign w:val="center"/>
          </w:tcPr>
          <w:p>
            <w:pPr>
              <w:spacing w:before="0" w:after="0" w:line="276" w:lineRule="auto"/>
            </w:pPr>
            <w:r>
              <w:rPr>
                <w:rFonts w:ascii="Arial" w:hAnsi="Arial"/>
                <w:b/>
                <w:color w:val="0B2545"/>
                <w:sz w:val="19"/>
              </w:rPr>
              <w:t>What it stores and why</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id</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bigint</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r>
              <w:rPr>
                <w:rFonts w:ascii="Arial" w:hAnsi="Arial"/>
                <w:color w:val="000000"/>
                <w:sz w:val="19"/>
              </w:rPr>
              <w:t>Primary key, identity</w:t>
            </w: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Internal row identity.</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instrument_source_id</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bigint</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r>
              <w:rPr>
                <w:rFonts w:ascii="Arial" w:hAnsi="Arial"/>
                <w:color w:val="000000"/>
                <w:sz w:val="19"/>
              </w:rPr>
              <w:t>Foreign key</w:t>
            </w: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Exact provider mapping used to obtain the candle.</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interval</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text</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r>
              <w:rPr>
                <w:rFonts w:ascii="Arial" w:hAnsi="Arial"/>
                <w:color w:val="000000"/>
                <w:sz w:val="19"/>
              </w:rPr>
              <w:t>Check constraint</w:t>
            </w: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 xml:space="preserve">Candle interval; Phase 1 initially uses </w:t>
            </w:r>
            <w:r>
              <w:rPr>
                <w:rFonts w:ascii="Roboto Mono" w:hAnsi="Roboto Mono"/>
                <w:color w:val="0B2545"/>
                <w:sz w:val="18"/>
              </w:rPr>
              <w:t>1d</w:t>
            </w:r>
            <w:r>
              <w:rPr>
                <w:rFonts w:ascii="Arial" w:hAnsi="Arial"/>
                <w:color w:val="000000"/>
                <w:sz w:val="19"/>
              </w:rPr>
              <w:t>.</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observed_at</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timestamptz</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r>
              <w:rPr>
                <w:rFonts w:ascii="Arial" w:hAnsi="Arial"/>
                <w:color w:val="000000"/>
                <w:sz w:val="19"/>
              </w:rPr>
              <w:t>Unique-key component</w:t>
            </w: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UTC start time of the provider candle.</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source_close_at</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timestamptz</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Yes</w:t>
            </w:r>
          </w:p>
        </w:tc>
        <w:tc>
          <w:tcPr>
            <w:tcW w:type="dxa" w:w="1700"/>
            <w:tcMar>
              <w:top w:w="80" w:type="dxa"/>
              <w:start w:w="120" w:type="dxa"/>
              <w:bottom w:w="80" w:type="dxa"/>
              <w:end w:w="120" w:type="dxa"/>
            </w:tcMar>
            <w:vAlign w:val="center"/>
          </w:tcPr>
          <w:p>
            <w:pPr>
              <w:spacing w:before="0" w:after="0" w:line="276" w:lineRule="auto"/>
            </w:pP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Provider close boundary, when supplied by Binance or another source.</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open</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numeric(30,10)</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Opening price.</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high</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numeric(30,10)</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Highest price in the interval.</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low</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numeric(30,10)</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Lowest price in the interval.</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close</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numeric(30,10)</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Closing price used for trends and charts.</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volume</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numeric(38,18)</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Base-asset or provider-defined traded volume.</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quote_volume</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numeric(38,18)</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Yes</w:t>
            </w:r>
          </w:p>
        </w:tc>
        <w:tc>
          <w:tcPr>
            <w:tcW w:type="dxa" w:w="1700"/>
            <w:tcMar>
              <w:top w:w="80" w:type="dxa"/>
              <w:start w:w="120" w:type="dxa"/>
              <w:bottom w:w="80" w:type="dxa"/>
              <w:end w:w="120" w:type="dxa"/>
            </w:tcMar>
            <w:vAlign w:val="center"/>
          </w:tcPr>
          <w:p>
            <w:pPr>
              <w:spacing w:before="0" w:after="0" w:line="276" w:lineRule="auto"/>
            </w:pP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Quote-asset turnover, available from Binance.</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trade_count</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bigint</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Yes</w:t>
            </w:r>
          </w:p>
        </w:tc>
        <w:tc>
          <w:tcPr>
            <w:tcW w:type="dxa" w:w="1700"/>
            <w:tcMar>
              <w:top w:w="80" w:type="dxa"/>
              <w:start w:w="120" w:type="dxa"/>
              <w:bottom w:w="80" w:type="dxa"/>
              <w:end w:w="120" w:type="dxa"/>
            </w:tcMar>
            <w:vAlign w:val="center"/>
          </w:tcPr>
          <w:p>
            <w:pPr>
              <w:spacing w:before="0" w:after="0" w:line="276" w:lineRule="auto"/>
            </w:pP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Number of trades, available from Binance.</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taker_buy_volume</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numeric(38,18)</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Yes</w:t>
            </w:r>
          </w:p>
        </w:tc>
        <w:tc>
          <w:tcPr>
            <w:tcW w:type="dxa" w:w="1700"/>
            <w:tcMar>
              <w:top w:w="80" w:type="dxa"/>
              <w:start w:w="120" w:type="dxa"/>
              <w:bottom w:w="80" w:type="dxa"/>
              <w:end w:w="120" w:type="dxa"/>
            </w:tcMar>
            <w:vAlign w:val="center"/>
          </w:tcPr>
          <w:p>
            <w:pPr>
              <w:spacing w:before="0" w:after="0" w:line="276" w:lineRule="auto"/>
            </w:pP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Binance taker-buy base volume.</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taker_buy_quote_volume</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numeric(38,18)</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Yes</w:t>
            </w:r>
          </w:p>
        </w:tc>
        <w:tc>
          <w:tcPr>
            <w:tcW w:type="dxa" w:w="1700"/>
            <w:tcMar>
              <w:top w:w="80" w:type="dxa"/>
              <w:start w:w="120" w:type="dxa"/>
              <w:bottom w:w="80" w:type="dxa"/>
              <w:end w:w="120" w:type="dxa"/>
            </w:tcMar>
            <w:vAlign w:val="center"/>
          </w:tcPr>
          <w:p>
            <w:pPr>
              <w:spacing w:before="0" w:after="0" w:line="276" w:lineRule="auto"/>
            </w:pP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Binance taker-buy quote volume.</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source_retrieved_at</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timestamptz</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When the source response was retrieved.</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created_at</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timestamptz</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r>
              <w:rPr>
                <w:rFonts w:ascii="Arial" w:hAnsi="Arial"/>
                <w:color w:val="000000"/>
                <w:sz w:val="19"/>
              </w:rPr>
              <w:t xml:space="preserve">Default </w:t>
            </w:r>
            <w:r>
              <w:rPr>
                <w:rFonts w:ascii="Roboto Mono" w:hAnsi="Roboto Mono"/>
                <w:color w:val="0B2545"/>
                <w:sz w:val="18"/>
              </w:rPr>
              <w:t>now()</w:t>
            </w: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First insertion time.</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updated_at</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timestamptz</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r>
              <w:rPr>
                <w:rFonts w:ascii="Arial" w:hAnsi="Arial"/>
                <w:color w:val="000000"/>
                <w:sz w:val="19"/>
              </w:rPr>
              <w:t xml:space="preserve">Default </w:t>
            </w:r>
            <w:r>
              <w:rPr>
                <w:rFonts w:ascii="Roboto Mono" w:hAnsi="Roboto Mono"/>
                <w:color w:val="0B2545"/>
                <w:sz w:val="18"/>
              </w:rPr>
              <w:t>now()</w:t>
            </w: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Last upsert update time.</w:t>
            </w:r>
          </w:p>
        </w:tc>
      </w:tr>
    </w:tbl>
    <w:p>
      <w:pPr>
        <w:spacing w:before="0" w:after="100" w:line="240" w:lineRule="auto"/>
      </w:pPr>
    </w:p>
    <w:p>
      <w:pPr>
        <w:spacing w:before="0" w:after="120" w:line="300" w:lineRule="auto"/>
      </w:pPr>
      <w:r>
        <w:rPr>
          <w:rFonts w:ascii="Arial" w:hAnsi="Arial"/>
          <w:color w:val="000000"/>
          <w:sz w:val="22"/>
        </w:rPr>
        <w:t xml:space="preserve">The provider-specific Binance columns are intentionally retained as explicit nullable columns. Yahoo Finance, Angel One, and other equity sources may not provide these values, so </w:t>
      </w:r>
      <w:r>
        <w:rPr>
          <w:rFonts w:ascii="Roboto Mono" w:hAnsi="Roboto Mono"/>
          <w:color w:val="0B2545"/>
          <w:sz w:val="20"/>
        </w:rPr>
        <w:t>NULL</w:t>
      </w:r>
      <w:r>
        <w:rPr>
          <w:rFonts w:ascii="Arial" w:hAnsi="Arial"/>
          <w:color w:val="000000"/>
          <w:sz w:val="22"/>
        </w:rPr>
        <w:t xml:space="preserve"> means “not supplied by this provider” and must not be converted to zero. Explicit columns keep the fields typed, easy to validate, easy to query, and straightforward for a learner to understand. A future </w:t>
      </w:r>
      <w:r>
        <w:rPr>
          <w:rFonts w:ascii="Roboto Mono" w:hAnsi="Roboto Mono"/>
          <w:color w:val="0B2545"/>
          <w:sz w:val="20"/>
        </w:rPr>
        <w:t>source_metadata jsonb</w:t>
      </w:r>
      <w:r>
        <w:rPr>
          <w:rFonts w:ascii="Arial" w:hAnsi="Arial"/>
          <w:color w:val="000000"/>
          <w:sz w:val="22"/>
        </w:rPr>
        <w:t xml:space="preserve"> extension may hold genuinely uncommon provider fields, but it does not replace these important Phase 1 columns.</w:t>
      </w:r>
    </w:p>
    <w:p>
      <w:pPr>
        <w:pStyle w:val="Heading2"/>
      </w:pPr>
      <w:r>
        <w:rPr>
          <w:rFonts w:ascii="Arial" w:hAnsi="Arial"/>
          <w:color w:val="000000"/>
          <w:sz w:val="26"/>
        </w:rPr>
        <w:t>Constraints and indexes</w:t>
      </w:r>
    </w:p>
    <w:p>
      <w:pPr>
        <w:pStyle w:val="ListBullet"/>
        <w:spacing w:before="0" w:after="40" w:line="276" w:lineRule="auto"/>
        <w:ind w:left="540" w:hanging="271"/>
      </w:pPr>
      <w:r>
        <w:rPr>
          <w:rFonts w:ascii="Arial" w:hAnsi="Arial"/>
          <w:color w:val="000000"/>
          <w:sz w:val="22"/>
        </w:rPr>
        <w:t xml:space="preserve">Primary key: </w:t>
      </w:r>
      <w:r>
        <w:rPr>
          <w:rFonts w:ascii="Roboto Mono" w:hAnsi="Roboto Mono"/>
          <w:color w:val="0B2545"/>
          <w:sz w:val="20"/>
        </w:rPr>
        <w:t>id</w:t>
      </w:r>
      <w:r>
        <w:rPr>
          <w:rFonts w:ascii="Arial" w:hAnsi="Arial"/>
          <w:color w:val="000000"/>
          <w:sz w:val="22"/>
        </w:rPr>
        <w:t>.</w:t>
      </w:r>
    </w:p>
    <w:p>
      <w:pPr>
        <w:pStyle w:val="ListBullet"/>
        <w:spacing w:before="0" w:after="40" w:line="276" w:lineRule="auto"/>
        <w:ind w:left="540" w:hanging="271"/>
      </w:pPr>
      <w:r>
        <w:rPr>
          <w:rFonts w:ascii="Arial" w:hAnsi="Arial"/>
          <w:color w:val="000000"/>
          <w:sz w:val="22"/>
        </w:rPr>
        <w:t xml:space="preserve">Foreign key: </w:t>
      </w:r>
      <w:r>
        <w:rPr>
          <w:rFonts w:ascii="Roboto Mono" w:hAnsi="Roboto Mono"/>
          <w:color w:val="0B2545"/>
          <w:sz w:val="20"/>
        </w:rPr>
        <w:t>instrument_source_id</w:t>
      </w:r>
      <w:r>
        <w:rPr>
          <w:rFonts w:ascii="Arial" w:hAnsi="Arial"/>
          <w:color w:val="000000"/>
          <w:sz w:val="22"/>
        </w:rPr>
        <w:t xml:space="preserve"> references </w:t>
      </w:r>
      <w:r>
        <w:rPr>
          <w:rFonts w:ascii="Roboto Mono" w:hAnsi="Roboto Mono"/>
          <w:color w:val="0B2545"/>
          <w:sz w:val="20"/>
        </w:rPr>
        <w:t>instrument_sources(id)</w:t>
      </w:r>
      <w:r>
        <w:rPr>
          <w:rFonts w:ascii="Arial" w:hAnsi="Arial"/>
          <w:color w:val="000000"/>
          <w:sz w:val="22"/>
        </w:rPr>
        <w:t xml:space="preserve"> with deletion restricted.</w:t>
      </w:r>
    </w:p>
    <w:p>
      <w:pPr>
        <w:pStyle w:val="ListBullet"/>
        <w:spacing w:before="0" w:after="40" w:line="276" w:lineRule="auto"/>
        <w:ind w:left="540" w:hanging="271"/>
      </w:pPr>
      <w:r>
        <w:rPr>
          <w:rFonts w:ascii="Arial" w:hAnsi="Arial"/>
          <w:color w:val="000000"/>
          <w:sz w:val="22"/>
        </w:rPr>
        <w:t xml:space="preserve">Unique constraint: </w:t>
      </w:r>
      <w:r>
        <w:rPr>
          <w:rFonts w:ascii="Roboto Mono" w:hAnsi="Roboto Mono"/>
          <w:color w:val="0B2545"/>
          <w:sz w:val="20"/>
        </w:rPr>
        <w:t>(instrument_source_id, interval, observed_at)</w:t>
      </w:r>
      <w:r>
        <w:rPr>
          <w:rFonts w:ascii="Arial" w:hAnsi="Arial"/>
          <w:color w:val="000000"/>
          <w:sz w:val="22"/>
        </w:rPr>
        <w:t>.</w:t>
      </w:r>
    </w:p>
    <w:p>
      <w:pPr>
        <w:pStyle w:val="ListBullet"/>
        <w:spacing w:before="0" w:after="40" w:line="276" w:lineRule="auto"/>
        <w:ind w:left="540" w:hanging="271"/>
      </w:pPr>
      <w:r>
        <w:rPr>
          <w:rFonts w:ascii="Arial" w:hAnsi="Arial"/>
          <w:color w:val="000000"/>
          <w:sz w:val="22"/>
        </w:rPr>
        <w:t xml:space="preserve">Check: </w:t>
      </w:r>
      <w:r>
        <w:rPr>
          <w:rFonts w:ascii="Roboto Mono" w:hAnsi="Roboto Mono"/>
          <w:color w:val="0B2545"/>
          <w:sz w:val="20"/>
        </w:rPr>
        <w:t>open</w:t>
      </w:r>
      <w:r>
        <w:rPr>
          <w:rFonts w:ascii="Arial" w:hAnsi="Arial"/>
          <w:color w:val="000000"/>
          <w:sz w:val="22"/>
        </w:rPr>
        <w:t xml:space="preserve">, </w:t>
      </w:r>
      <w:r>
        <w:rPr>
          <w:rFonts w:ascii="Roboto Mono" w:hAnsi="Roboto Mono"/>
          <w:color w:val="0B2545"/>
          <w:sz w:val="20"/>
        </w:rPr>
        <w:t>high</w:t>
      </w:r>
      <w:r>
        <w:rPr>
          <w:rFonts w:ascii="Arial" w:hAnsi="Arial"/>
          <w:color w:val="000000"/>
          <w:sz w:val="22"/>
        </w:rPr>
        <w:t xml:space="preserve">, </w:t>
      </w:r>
      <w:r>
        <w:rPr>
          <w:rFonts w:ascii="Roboto Mono" w:hAnsi="Roboto Mono"/>
          <w:color w:val="0B2545"/>
          <w:sz w:val="20"/>
        </w:rPr>
        <w:t>low</w:t>
      </w:r>
      <w:r>
        <w:rPr>
          <w:rFonts w:ascii="Arial" w:hAnsi="Arial"/>
          <w:color w:val="000000"/>
          <w:sz w:val="22"/>
        </w:rPr>
        <w:t xml:space="preserve">, </w:t>
      </w:r>
      <w:r>
        <w:rPr>
          <w:rFonts w:ascii="Roboto Mono" w:hAnsi="Roboto Mono"/>
          <w:color w:val="0B2545"/>
          <w:sz w:val="20"/>
        </w:rPr>
        <w:t>close</w:t>
      </w:r>
      <w:r>
        <w:rPr>
          <w:rFonts w:ascii="Arial" w:hAnsi="Arial"/>
          <w:color w:val="000000"/>
          <w:sz w:val="22"/>
        </w:rPr>
        <w:t xml:space="preserve">, and </w:t>
      </w:r>
      <w:r>
        <w:rPr>
          <w:rFonts w:ascii="Roboto Mono" w:hAnsi="Roboto Mono"/>
          <w:color w:val="0B2545"/>
          <w:sz w:val="20"/>
        </w:rPr>
        <w:t>volume</w:t>
      </w:r>
      <w:r>
        <w:rPr>
          <w:rFonts w:ascii="Arial" w:hAnsi="Arial"/>
          <w:color w:val="000000"/>
          <w:sz w:val="22"/>
        </w:rPr>
        <w:t xml:space="preserve"> are non-negative.</w:t>
      </w:r>
    </w:p>
    <w:p>
      <w:pPr>
        <w:pStyle w:val="ListBullet"/>
        <w:spacing w:before="0" w:after="40" w:line="276" w:lineRule="auto"/>
        <w:ind w:left="540" w:hanging="271"/>
      </w:pPr>
      <w:r>
        <w:rPr>
          <w:rFonts w:ascii="Arial" w:hAnsi="Arial"/>
          <w:color w:val="000000"/>
          <w:sz w:val="22"/>
        </w:rPr>
        <w:t xml:space="preserve">Check: </w:t>
      </w:r>
      <w:r>
        <w:rPr>
          <w:rFonts w:ascii="Roboto Mono" w:hAnsi="Roboto Mono"/>
          <w:color w:val="0B2545"/>
          <w:sz w:val="20"/>
        </w:rPr>
        <w:t>high &gt;= greatest(open, close)</w:t>
      </w:r>
      <w:r>
        <w:rPr>
          <w:rFonts w:ascii="Arial" w:hAnsi="Arial"/>
          <w:color w:val="000000"/>
          <w:sz w:val="22"/>
        </w:rPr>
        <w:t xml:space="preserve"> and </w:t>
      </w:r>
      <w:r>
        <w:rPr>
          <w:rFonts w:ascii="Roboto Mono" w:hAnsi="Roboto Mono"/>
          <w:color w:val="0B2545"/>
          <w:sz w:val="20"/>
        </w:rPr>
        <w:t>low &lt;= least(open, close)</w:t>
      </w:r>
      <w:r>
        <w:rPr>
          <w:rFonts w:ascii="Arial" w:hAnsi="Arial"/>
          <w:color w:val="000000"/>
          <w:sz w:val="22"/>
        </w:rPr>
        <w:t>.</w:t>
      </w:r>
    </w:p>
    <w:p>
      <w:pPr>
        <w:pStyle w:val="ListBullet"/>
        <w:spacing w:before="0" w:after="40" w:line="276" w:lineRule="auto"/>
        <w:ind w:left="540" w:hanging="271"/>
      </w:pPr>
      <w:r>
        <w:rPr>
          <w:rFonts w:ascii="Arial" w:hAnsi="Arial"/>
          <w:color w:val="000000"/>
          <w:sz w:val="22"/>
        </w:rPr>
        <w:t xml:space="preserve">Check: </w:t>
      </w:r>
      <w:r>
        <w:rPr>
          <w:rFonts w:ascii="Roboto Mono" w:hAnsi="Roboto Mono"/>
          <w:color w:val="0B2545"/>
          <w:sz w:val="20"/>
        </w:rPr>
        <w:t>high &gt;= low</w:t>
      </w:r>
      <w:r>
        <w:rPr>
          <w:rFonts w:ascii="Arial" w:hAnsi="Arial"/>
          <w:color w:val="000000"/>
          <w:sz w:val="22"/>
        </w:rPr>
        <w:t>.</w:t>
      </w:r>
    </w:p>
    <w:p>
      <w:pPr>
        <w:pStyle w:val="ListBullet"/>
        <w:spacing w:before="0" w:after="40" w:line="276" w:lineRule="auto"/>
        <w:ind w:left="540" w:hanging="271"/>
      </w:pPr>
      <w:r>
        <w:rPr>
          <w:rFonts w:ascii="Arial" w:hAnsi="Arial"/>
          <w:color w:val="000000"/>
          <w:sz w:val="22"/>
        </w:rPr>
        <w:t xml:space="preserve">Check: </w:t>
      </w:r>
      <w:r>
        <w:rPr>
          <w:rFonts w:ascii="Roboto Mono" w:hAnsi="Roboto Mono"/>
          <w:color w:val="0B2545"/>
          <w:sz w:val="20"/>
        </w:rPr>
        <w:t>trade_count</w:t>
      </w:r>
      <w:r>
        <w:rPr>
          <w:rFonts w:ascii="Arial" w:hAnsi="Arial"/>
          <w:color w:val="000000"/>
          <w:sz w:val="22"/>
        </w:rPr>
        <w:t xml:space="preserve"> is non-negative when present.</w:t>
      </w:r>
    </w:p>
    <w:p>
      <w:pPr>
        <w:pStyle w:val="ListBullet"/>
        <w:spacing w:before="0" w:after="40" w:line="276" w:lineRule="auto"/>
        <w:ind w:left="540" w:hanging="271"/>
      </w:pPr>
      <w:r>
        <w:rPr>
          <w:rFonts w:ascii="Arial" w:hAnsi="Arial"/>
          <w:color w:val="000000"/>
          <w:sz w:val="22"/>
        </w:rPr>
        <w:t xml:space="preserve">Check: </w:t>
      </w:r>
      <w:r>
        <w:rPr>
          <w:rFonts w:ascii="Roboto Mono" w:hAnsi="Roboto Mono"/>
          <w:color w:val="0B2545"/>
          <w:sz w:val="20"/>
        </w:rPr>
        <w:t>source_close_at</w:t>
      </w:r>
      <w:r>
        <w:rPr>
          <w:rFonts w:ascii="Arial" w:hAnsi="Arial"/>
          <w:color w:val="000000"/>
          <w:sz w:val="22"/>
        </w:rPr>
        <w:t xml:space="preserve"> is after or equal to </w:t>
      </w:r>
      <w:r>
        <w:rPr>
          <w:rFonts w:ascii="Roboto Mono" w:hAnsi="Roboto Mono"/>
          <w:color w:val="0B2545"/>
          <w:sz w:val="20"/>
        </w:rPr>
        <w:t>observed_at</w:t>
      </w:r>
      <w:r>
        <w:rPr>
          <w:rFonts w:ascii="Arial" w:hAnsi="Arial"/>
          <w:color w:val="000000"/>
          <w:sz w:val="22"/>
        </w:rPr>
        <w:t xml:space="preserve"> when present.</w:t>
      </w:r>
    </w:p>
    <w:p>
      <w:pPr>
        <w:pStyle w:val="ListBullet"/>
        <w:spacing w:before="0" w:after="40" w:line="276" w:lineRule="auto"/>
        <w:ind w:left="540" w:hanging="271"/>
      </w:pPr>
      <w:r>
        <w:rPr>
          <w:rFonts w:ascii="Arial" w:hAnsi="Arial"/>
          <w:color w:val="000000"/>
          <w:sz w:val="22"/>
        </w:rPr>
        <w:t xml:space="preserve">Index: </w:t>
      </w:r>
      <w:r>
        <w:rPr>
          <w:rFonts w:ascii="Roboto Mono" w:hAnsi="Roboto Mono"/>
          <w:color w:val="0B2545"/>
          <w:sz w:val="20"/>
        </w:rPr>
        <w:t>(instrument_source_id, interval, observed_at DESC)</w:t>
      </w:r>
      <w:r>
        <w:rPr>
          <w:rFonts w:ascii="Arial" w:hAnsi="Arial"/>
          <w:color w:val="000000"/>
          <w:sz w:val="22"/>
        </w:rPr>
        <w:t xml:space="preserve"> for chart-range queries.</w:t>
      </w:r>
    </w:p>
    <w:p>
      <w:pPr>
        <w:pStyle w:val="Heading2"/>
      </w:pPr>
      <w:r>
        <w:rPr>
          <w:rFonts w:ascii="Arial" w:hAnsi="Arial"/>
          <w:color w:val="000000"/>
          <w:sz w:val="26"/>
        </w:rPr>
        <w:t>Duplicate and upsert behavior</w:t>
      </w:r>
    </w:p>
    <w:p>
      <w:pPr>
        <w:spacing w:before="0" w:after="120" w:line="300" w:lineRule="auto"/>
      </w:pPr>
      <w:r>
        <w:rPr>
          <w:rFonts w:ascii="Arial" w:hAnsi="Arial"/>
          <w:color w:val="000000"/>
          <w:sz w:val="22"/>
        </w:rPr>
        <w:t xml:space="preserve">The unique constraint is the database guarantee against duplicate candles. The ingestion repository will use an upsert keyed by </w:t>
      </w:r>
      <w:r>
        <w:rPr>
          <w:rFonts w:ascii="Roboto Mono" w:hAnsi="Roboto Mono"/>
          <w:color w:val="0B2545"/>
          <w:sz w:val="20"/>
        </w:rPr>
        <w:t>(instrument_source_id, interval, observed_at)</w:t>
      </w:r>
      <w:r>
        <w:rPr>
          <w:rFonts w:ascii="Arial" w:hAnsi="Arial"/>
          <w:color w:val="000000"/>
          <w:sz w:val="22"/>
        </w:rPr>
        <w:t>. A repeated source response updates the existing numeric values and retrieval metadata rather than creating a second row. The ingestion run records how many rows were inserted, updated, rejected, or skipped.</w:t>
      </w:r>
    </w:p>
    <w:p>
      <w:pPr>
        <w:pStyle w:val="Heading1"/>
      </w:pPr>
      <w:r>
        <w:rPr>
          <w:rFonts w:ascii="Arial" w:hAnsi="Arial"/>
          <w:color w:val="000000"/>
          <w:sz w:val="32"/>
        </w:rPr>
        <w:t xml:space="preserve">9. Table: </w:t>
      </w:r>
      <w:r>
        <w:rPr>
          <w:rFonts w:ascii="Roboto Mono" w:hAnsi="Roboto Mono"/>
          <w:color w:val="0B2545"/>
          <w:sz w:val="30"/>
        </w:rPr>
        <w:t>macro_datasets</w:t>
      </w:r>
    </w:p>
    <w:p>
      <w:pPr>
        <w:pStyle w:val="Heading2"/>
      </w:pPr>
      <w:r>
        <w:rPr>
          <w:rFonts w:ascii="Arial" w:hAnsi="Arial"/>
          <w:color w:val="000000"/>
          <w:sz w:val="26"/>
        </w:rPr>
        <w:t>Purpose</w:t>
      </w:r>
    </w:p>
    <w:p>
      <w:pPr>
        <w:spacing w:before="0" w:after="120" w:line="300" w:lineRule="auto"/>
      </w:pPr>
      <w:r>
        <w:rPr>
          <w:rFonts w:ascii="Arial" w:hAnsi="Arial"/>
          <w:color w:val="000000"/>
          <w:sz w:val="22"/>
        </w:rPr>
        <w:t>Stores the definition of a macroeconomic series. It prevents every CPI or repo-rate observation from repeating the source name, unit, frequency, and dataset meaning.</w:t>
      </w:r>
    </w:p>
    <w:p>
      <w:pPr>
        <w:pStyle w:val="Heading2"/>
      </w:pPr>
      <w:r>
        <w:rPr>
          <w:rFonts w:ascii="Arial" w:hAnsi="Arial"/>
          <w:color w:val="000000"/>
          <w:sz w:val="26"/>
        </w:rPr>
        <w:t>Columns</w:t>
      </w:r>
    </w:p>
    <w:tbl>
      <w:tblPr>
        <w:tblW w:type="dxa" w:w="9360"/>
        <w:jc w:val="left"/>
        <w:tblLayout w:type="fixed"/>
        <w:tblLook w:firstColumn="1" w:firstRow="1" w:lastColumn="0" w:lastRow="0" w:noHBand="0" w:noVBand="1" w:val="04A0"/>
        <w:tblBorders>
          <w:top w:val="single" w:sz="4" w:space="0" w:color="C7D2E0"/>
          <w:left w:val="single" w:sz="4" w:space="0" w:color="C7D2E0"/>
          <w:bottom w:val="single" w:sz="4" w:space="0" w:color="C7D2E0"/>
          <w:right w:val="single" w:sz="4" w:space="0" w:color="C7D2E0"/>
          <w:insideH w:val="single" w:sz="4" w:space="0" w:color="C7D2E0"/>
          <w:insideV w:val="single" w:sz="4" w:space="0" w:color="C7D2E0"/>
        </w:tblBorders>
        <w:tblInd w:w="120" w:type="dxa"/>
      </w:tblPr>
      <w:tblGrid>
        <w:gridCol w:w="1500"/>
        <w:gridCol w:w="1800"/>
        <w:gridCol w:w="700"/>
        <w:gridCol w:w="1700"/>
        <w:gridCol w:w="3660"/>
      </w:tblGrid>
      <w:tr>
        <w:trPr>
          <w:tblHeader w:val="true"/>
        </w:trPr>
        <w:tc>
          <w:tcPr>
            <w:tcW w:type="dxa" w:w="1500"/>
            <w:shd w:fill="E8EEF5"/>
            <w:tcMar>
              <w:top w:w="80" w:type="dxa"/>
              <w:start w:w="120" w:type="dxa"/>
              <w:bottom w:w="80" w:type="dxa"/>
              <w:end w:w="120" w:type="dxa"/>
            </w:tcMar>
            <w:vAlign w:val="center"/>
          </w:tcPr>
          <w:p>
            <w:pPr>
              <w:spacing w:before="0" w:after="0" w:line="276" w:lineRule="auto"/>
            </w:pPr>
            <w:r>
              <w:rPr>
                <w:rFonts w:ascii="Arial" w:hAnsi="Arial"/>
                <w:b/>
                <w:color w:val="0B2545"/>
                <w:sz w:val="19"/>
              </w:rPr>
              <w:t>Column</w:t>
            </w:r>
          </w:p>
        </w:tc>
        <w:tc>
          <w:tcPr>
            <w:tcW w:type="dxa" w:w="1800"/>
            <w:shd w:fill="E8EEF5"/>
            <w:tcMar>
              <w:top w:w="80" w:type="dxa"/>
              <w:start w:w="120" w:type="dxa"/>
              <w:bottom w:w="80" w:type="dxa"/>
              <w:end w:w="120" w:type="dxa"/>
            </w:tcMar>
            <w:vAlign w:val="center"/>
          </w:tcPr>
          <w:p>
            <w:pPr>
              <w:spacing w:before="0" w:after="0" w:line="276" w:lineRule="auto"/>
            </w:pPr>
            <w:r>
              <w:rPr>
                <w:rFonts w:ascii="Arial" w:hAnsi="Arial"/>
                <w:b/>
                <w:color w:val="0B2545"/>
                <w:sz w:val="19"/>
              </w:rPr>
              <w:t>PostgreSQL type</w:t>
            </w:r>
          </w:p>
        </w:tc>
        <w:tc>
          <w:tcPr>
            <w:tcW w:type="dxa" w:w="700"/>
            <w:shd w:fill="E8EEF5"/>
            <w:tcMar>
              <w:top w:w="80" w:type="dxa"/>
              <w:start w:w="120" w:type="dxa"/>
              <w:bottom w:w="80" w:type="dxa"/>
              <w:end w:w="120" w:type="dxa"/>
            </w:tcMar>
            <w:vAlign w:val="center"/>
          </w:tcPr>
          <w:p>
            <w:pPr>
              <w:spacing w:before="0" w:after="0" w:line="276" w:lineRule="auto"/>
            </w:pPr>
            <w:r>
              <w:rPr>
                <w:rFonts w:ascii="Arial" w:hAnsi="Arial"/>
                <w:b/>
                <w:color w:val="0B2545"/>
                <w:sz w:val="19"/>
              </w:rPr>
              <w:t>Null?</w:t>
            </w:r>
          </w:p>
        </w:tc>
        <w:tc>
          <w:tcPr>
            <w:tcW w:type="dxa" w:w="1700"/>
            <w:shd w:fill="E8EEF5"/>
            <w:tcMar>
              <w:top w:w="80" w:type="dxa"/>
              <w:start w:w="120" w:type="dxa"/>
              <w:bottom w:w="80" w:type="dxa"/>
              <w:end w:w="120" w:type="dxa"/>
            </w:tcMar>
            <w:vAlign w:val="center"/>
          </w:tcPr>
          <w:p>
            <w:pPr>
              <w:spacing w:before="0" w:after="0" w:line="276" w:lineRule="auto"/>
            </w:pPr>
            <w:r>
              <w:rPr>
                <w:rFonts w:ascii="Arial" w:hAnsi="Arial"/>
                <w:b/>
                <w:color w:val="0B2545"/>
                <w:sz w:val="19"/>
              </w:rPr>
              <w:t>Key/default</w:t>
            </w:r>
          </w:p>
        </w:tc>
        <w:tc>
          <w:tcPr>
            <w:tcW w:type="dxa" w:w="3660"/>
            <w:shd w:fill="E8EEF5"/>
            <w:tcMar>
              <w:top w:w="80" w:type="dxa"/>
              <w:start w:w="120" w:type="dxa"/>
              <w:bottom w:w="80" w:type="dxa"/>
              <w:end w:w="120" w:type="dxa"/>
            </w:tcMar>
            <w:vAlign w:val="center"/>
          </w:tcPr>
          <w:p>
            <w:pPr>
              <w:spacing w:before="0" w:after="0" w:line="276" w:lineRule="auto"/>
            </w:pPr>
            <w:r>
              <w:rPr>
                <w:rFonts w:ascii="Arial" w:hAnsi="Arial"/>
                <w:b/>
                <w:color w:val="0B2545"/>
                <w:sz w:val="19"/>
              </w:rPr>
              <w:t>What it stores and why</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id</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bigint</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r>
              <w:rPr>
                <w:rFonts w:ascii="Arial" w:hAnsi="Arial"/>
                <w:color w:val="000000"/>
                <w:sz w:val="19"/>
              </w:rPr>
              <w:t>Primary key, identity</w:t>
            </w: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Internal dataset identity.</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code</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text</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r>
              <w:rPr>
                <w:rFonts w:ascii="Arial" w:hAnsi="Arial"/>
                <w:color w:val="000000"/>
                <w:sz w:val="19"/>
              </w:rPr>
              <w:t>Unique</w:t>
            </w: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 xml:space="preserve">Stable code such as </w:t>
            </w:r>
            <w:r>
              <w:rPr>
                <w:rFonts w:ascii="Roboto Mono" w:hAnsi="Roboto Mono"/>
                <w:color w:val="0B2545"/>
                <w:sz w:val="18"/>
              </w:rPr>
              <w:t>rbi_cpi_combined_yoy</w:t>
            </w:r>
            <w:r>
              <w:rPr>
                <w:rFonts w:ascii="Arial" w:hAnsi="Arial"/>
                <w:color w:val="000000"/>
                <w:sz w:val="19"/>
              </w:rPr>
              <w:t xml:space="preserve"> or </w:t>
            </w:r>
            <w:r>
              <w:rPr>
                <w:rFonts w:ascii="Roboto Mono" w:hAnsi="Roboto Mono"/>
                <w:color w:val="0B2545"/>
                <w:sz w:val="18"/>
              </w:rPr>
              <w:t>rbi_policy_repo_rate</w:t>
            </w:r>
            <w:r>
              <w:rPr>
                <w:rFonts w:ascii="Arial" w:hAnsi="Arial"/>
                <w:color w:val="000000"/>
                <w:sz w:val="19"/>
              </w:rPr>
              <w:t>.</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name</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text</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Human-readable series name.</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provider</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text</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 xml:space="preserve">Source provider, initially </w:t>
            </w:r>
            <w:r>
              <w:rPr>
                <w:rFonts w:ascii="Roboto Mono" w:hAnsi="Roboto Mono"/>
                <w:color w:val="0B2545"/>
                <w:sz w:val="18"/>
              </w:rPr>
              <w:t>rbi_dbie</w:t>
            </w:r>
            <w:r>
              <w:rPr>
                <w:rFonts w:ascii="Arial" w:hAnsi="Arial"/>
                <w:color w:val="000000"/>
                <w:sz w:val="19"/>
              </w:rPr>
              <w:t>.</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metric</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text</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 xml:space="preserve">Exact measure, such as </w:t>
            </w:r>
            <w:r>
              <w:rPr>
                <w:rFonts w:ascii="Roboto Mono" w:hAnsi="Roboto Mono"/>
                <w:color w:val="0B2545"/>
                <w:sz w:val="18"/>
              </w:rPr>
              <w:t>CPI (combined)</w:t>
            </w:r>
            <w:r>
              <w:rPr>
                <w:rFonts w:ascii="Arial" w:hAnsi="Arial"/>
                <w:color w:val="000000"/>
                <w:sz w:val="19"/>
              </w:rPr>
              <w:t xml:space="preserve"> or </w:t>
            </w:r>
            <w:r>
              <w:rPr>
                <w:rFonts w:ascii="Roboto Mono" w:hAnsi="Roboto Mono"/>
                <w:color w:val="0B2545"/>
                <w:sz w:val="18"/>
              </w:rPr>
              <w:t>Policy repo</w:t>
            </w:r>
            <w:r>
              <w:rPr>
                <w:rFonts w:ascii="Arial" w:hAnsi="Arial"/>
                <w:color w:val="000000"/>
                <w:sz w:val="19"/>
              </w:rPr>
              <w:t>.</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unit</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text</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p>
        </w:tc>
        <w:tc>
          <w:tcPr>
            <w:tcW w:type="dxa" w:w="3660"/>
            <w:tcMar>
              <w:top w:w="80" w:type="dxa"/>
              <w:start w:w="120" w:type="dxa"/>
              <w:bottom w:w="80" w:type="dxa"/>
              <w:end w:w="120" w:type="dxa"/>
            </w:tcMar>
            <w:vAlign w:val="center"/>
          </w:tcPr>
          <w:p>
            <w:pPr>
              <w:spacing w:before="0" w:after="0" w:line="276" w:lineRule="auto"/>
            </w:pPr>
            <w:r>
              <w:rPr>
                <w:rFonts w:ascii="Roboto Mono" w:hAnsi="Roboto Mono"/>
                <w:color w:val="0B2545"/>
                <w:sz w:val="18"/>
              </w:rPr>
              <w:t>percent</w:t>
            </w:r>
            <w:r>
              <w:rPr>
                <w:rFonts w:ascii="Arial" w:hAnsi="Arial"/>
                <w:color w:val="000000"/>
                <w:sz w:val="19"/>
              </w:rPr>
              <w:t>, index points, or another explicit unit.</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frequency</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text</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r>
              <w:rPr>
                <w:rFonts w:ascii="Arial" w:hAnsi="Arial"/>
                <w:color w:val="000000"/>
                <w:sz w:val="19"/>
              </w:rPr>
              <w:t>Check constraint</w:t>
            </w:r>
          </w:p>
        </w:tc>
        <w:tc>
          <w:tcPr>
            <w:tcW w:type="dxa" w:w="3660"/>
            <w:tcMar>
              <w:top w:w="80" w:type="dxa"/>
              <w:start w:w="120" w:type="dxa"/>
              <w:bottom w:w="80" w:type="dxa"/>
              <w:end w:w="120" w:type="dxa"/>
            </w:tcMar>
            <w:vAlign w:val="center"/>
          </w:tcPr>
          <w:p>
            <w:pPr>
              <w:spacing w:before="0" w:after="0" w:line="276" w:lineRule="auto"/>
            </w:pPr>
            <w:r>
              <w:rPr>
                <w:rFonts w:ascii="Roboto Mono" w:hAnsi="Roboto Mono"/>
                <w:color w:val="0B2545"/>
                <w:sz w:val="18"/>
              </w:rPr>
              <w:t>monthly</w:t>
            </w:r>
            <w:r>
              <w:rPr>
                <w:rFonts w:ascii="Arial" w:hAnsi="Arial"/>
                <w:color w:val="000000"/>
                <w:sz w:val="19"/>
              </w:rPr>
              <w:t xml:space="preserve">, </w:t>
            </w:r>
            <w:r>
              <w:rPr>
                <w:rFonts w:ascii="Roboto Mono" w:hAnsi="Roboto Mono"/>
                <w:color w:val="0B2545"/>
                <w:sz w:val="18"/>
              </w:rPr>
              <w:t>daily</w:t>
            </w:r>
            <w:r>
              <w:rPr>
                <w:rFonts w:ascii="Arial" w:hAnsi="Arial"/>
                <w:color w:val="000000"/>
                <w:sz w:val="19"/>
              </w:rPr>
              <w:t xml:space="preserve">, or </w:t>
            </w:r>
            <w:r>
              <w:rPr>
                <w:rFonts w:ascii="Roboto Mono" w:hAnsi="Roboto Mono"/>
                <w:color w:val="0B2545"/>
                <w:sz w:val="18"/>
              </w:rPr>
              <w:t>event</w:t>
            </w:r>
            <w:r>
              <w:rPr>
                <w:rFonts w:ascii="Arial" w:hAnsi="Arial"/>
                <w:color w:val="000000"/>
                <w:sz w:val="19"/>
              </w:rPr>
              <w:t>.</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observation_type</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text</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 xml:space="preserve">Meaning of the date, such as </w:t>
            </w:r>
            <w:r>
              <w:rPr>
                <w:rFonts w:ascii="Roboto Mono" w:hAnsi="Roboto Mono"/>
                <w:color w:val="0B2545"/>
                <w:sz w:val="18"/>
              </w:rPr>
              <w:t>reference_period</w:t>
            </w:r>
            <w:r>
              <w:rPr>
                <w:rFonts w:ascii="Arial" w:hAnsi="Arial"/>
                <w:color w:val="000000"/>
                <w:sz w:val="19"/>
              </w:rPr>
              <w:t xml:space="preserve">, </w:t>
            </w:r>
            <w:r>
              <w:rPr>
                <w:rFonts w:ascii="Roboto Mono" w:hAnsi="Roboto Mono"/>
                <w:color w:val="0B2545"/>
                <w:sz w:val="18"/>
              </w:rPr>
              <w:t>announcement_date</w:t>
            </w:r>
            <w:r>
              <w:rPr>
                <w:rFonts w:ascii="Arial" w:hAnsi="Arial"/>
                <w:color w:val="000000"/>
                <w:sz w:val="19"/>
              </w:rPr>
              <w:t xml:space="preserve">, or </w:t>
            </w:r>
            <w:r>
              <w:rPr>
                <w:rFonts w:ascii="Roboto Mono" w:hAnsi="Roboto Mono"/>
                <w:color w:val="0B2545"/>
                <w:sz w:val="18"/>
              </w:rPr>
              <w:t>effective_date</w:t>
            </w:r>
            <w:r>
              <w:rPr>
                <w:rFonts w:ascii="Arial" w:hAnsi="Arial"/>
                <w:color w:val="000000"/>
                <w:sz w:val="19"/>
              </w:rPr>
              <w:t>.</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base_period</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text</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Yes</w:t>
            </w:r>
          </w:p>
        </w:tc>
        <w:tc>
          <w:tcPr>
            <w:tcW w:type="dxa" w:w="1700"/>
            <w:tcMar>
              <w:top w:w="80" w:type="dxa"/>
              <w:start w:w="120" w:type="dxa"/>
              <w:bottom w:w="80" w:type="dxa"/>
              <w:end w:w="120" w:type="dxa"/>
            </w:tcMar>
            <w:vAlign w:val="center"/>
          </w:tcPr>
          <w:p>
            <w:pPr>
              <w:spacing w:before="0" w:after="0" w:line="276" w:lineRule="auto"/>
            </w:pP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CPI base year or other index-definition period, if applicable.</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source_url</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text</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Official portal or publication location.</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retrieved_at</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timestamptz</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When the dataset metadata or seed was reviewed.</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is_active</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boolean</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r>
              <w:rPr>
                <w:rFonts w:ascii="Arial" w:hAnsi="Arial"/>
                <w:color w:val="000000"/>
                <w:sz w:val="19"/>
              </w:rPr>
              <w:t xml:space="preserve">Default </w:t>
            </w:r>
            <w:r>
              <w:rPr>
                <w:rFonts w:ascii="Roboto Mono" w:hAnsi="Roboto Mono"/>
                <w:color w:val="0B2545"/>
                <w:sz w:val="18"/>
              </w:rPr>
              <w:t>true</w:t>
            </w: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Whether the dataset is used in new seed operations.</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metadata</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jsonb</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r>
              <w:rPr>
                <w:rFonts w:ascii="Arial" w:hAnsi="Arial"/>
                <w:color w:val="000000"/>
                <w:sz w:val="19"/>
              </w:rPr>
              <w:t xml:space="preserve">Default </w:t>
            </w:r>
            <w:r>
              <w:rPr>
                <w:rFonts w:ascii="Roboto Mono" w:hAnsi="Roboto Mono"/>
                <w:color w:val="0B2545"/>
                <w:sz w:val="18"/>
              </w:rPr>
              <w:t>{}</w:t>
            </w: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Source notes, export limitations, and additional definitions.</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created_at</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timestamptz</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r>
              <w:rPr>
                <w:rFonts w:ascii="Arial" w:hAnsi="Arial"/>
                <w:color w:val="000000"/>
                <w:sz w:val="19"/>
              </w:rPr>
              <w:t xml:space="preserve">Default </w:t>
            </w:r>
            <w:r>
              <w:rPr>
                <w:rFonts w:ascii="Roboto Mono" w:hAnsi="Roboto Mono"/>
                <w:color w:val="0B2545"/>
                <w:sz w:val="18"/>
              </w:rPr>
              <w:t>now()</w:t>
            </w: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Dataset record creation time.</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updated_at</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timestamptz</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r>
              <w:rPr>
                <w:rFonts w:ascii="Arial" w:hAnsi="Arial"/>
                <w:color w:val="000000"/>
                <w:sz w:val="19"/>
              </w:rPr>
              <w:t xml:space="preserve">Default </w:t>
            </w:r>
            <w:r>
              <w:rPr>
                <w:rFonts w:ascii="Roboto Mono" w:hAnsi="Roboto Mono"/>
                <w:color w:val="0B2545"/>
                <w:sz w:val="18"/>
              </w:rPr>
              <w:t>now()</w:t>
            </w: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Last metadata update time.</w:t>
            </w:r>
          </w:p>
        </w:tc>
      </w:tr>
    </w:tbl>
    <w:p>
      <w:pPr>
        <w:spacing w:before="0" w:after="100" w:line="240" w:lineRule="auto"/>
      </w:pPr>
    </w:p>
    <w:p>
      <w:pPr>
        <w:pStyle w:val="Heading2"/>
      </w:pPr>
      <w:r>
        <w:rPr>
          <w:rFonts w:ascii="Arial" w:hAnsi="Arial"/>
          <w:color w:val="000000"/>
          <w:sz w:val="26"/>
        </w:rPr>
        <w:t>Constraints and indexes</w:t>
      </w:r>
    </w:p>
    <w:p>
      <w:pPr>
        <w:pStyle w:val="ListBullet"/>
        <w:spacing w:before="0" w:after="40" w:line="276" w:lineRule="auto"/>
        <w:ind w:left="540" w:hanging="271"/>
      </w:pPr>
      <w:r>
        <w:rPr>
          <w:rFonts w:ascii="Arial" w:hAnsi="Arial"/>
          <w:color w:val="000000"/>
          <w:sz w:val="22"/>
        </w:rPr>
        <w:t xml:space="preserve">Primary key: </w:t>
      </w:r>
      <w:r>
        <w:rPr>
          <w:rFonts w:ascii="Roboto Mono" w:hAnsi="Roboto Mono"/>
          <w:color w:val="0B2545"/>
          <w:sz w:val="20"/>
        </w:rPr>
        <w:t>id</w:t>
      </w:r>
      <w:r>
        <w:rPr>
          <w:rFonts w:ascii="Arial" w:hAnsi="Arial"/>
          <w:color w:val="000000"/>
          <w:sz w:val="22"/>
        </w:rPr>
        <w:t>.</w:t>
      </w:r>
    </w:p>
    <w:p>
      <w:pPr>
        <w:pStyle w:val="ListBullet"/>
        <w:spacing w:before="0" w:after="40" w:line="276" w:lineRule="auto"/>
        <w:ind w:left="540" w:hanging="271"/>
      </w:pPr>
      <w:r>
        <w:rPr>
          <w:rFonts w:ascii="Arial" w:hAnsi="Arial"/>
          <w:color w:val="000000"/>
          <w:sz w:val="22"/>
        </w:rPr>
        <w:t xml:space="preserve">Unique constraint: </w:t>
      </w:r>
      <w:r>
        <w:rPr>
          <w:rFonts w:ascii="Roboto Mono" w:hAnsi="Roboto Mono"/>
          <w:color w:val="0B2545"/>
          <w:sz w:val="20"/>
        </w:rPr>
        <w:t>code</w:t>
      </w:r>
      <w:r>
        <w:rPr>
          <w:rFonts w:ascii="Arial" w:hAnsi="Arial"/>
          <w:color w:val="000000"/>
          <w:sz w:val="22"/>
        </w:rPr>
        <w:t>.</w:t>
      </w:r>
    </w:p>
    <w:p>
      <w:pPr>
        <w:pStyle w:val="ListBullet"/>
        <w:spacing w:before="0" w:after="40" w:line="276" w:lineRule="auto"/>
        <w:ind w:left="540" w:hanging="271"/>
      </w:pPr>
      <w:r>
        <w:rPr>
          <w:rFonts w:ascii="Arial" w:hAnsi="Arial"/>
          <w:color w:val="000000"/>
          <w:sz w:val="22"/>
        </w:rPr>
        <w:t xml:space="preserve">Check: </w:t>
      </w:r>
      <w:r>
        <w:rPr>
          <w:rFonts w:ascii="Roboto Mono" w:hAnsi="Roboto Mono"/>
          <w:color w:val="0B2545"/>
          <w:sz w:val="20"/>
        </w:rPr>
        <w:t>unit</w:t>
      </w:r>
      <w:r>
        <w:rPr>
          <w:rFonts w:ascii="Arial" w:hAnsi="Arial"/>
          <w:color w:val="000000"/>
          <w:sz w:val="22"/>
        </w:rPr>
        <w:t xml:space="preserve"> and </w:t>
      </w:r>
      <w:r>
        <w:rPr>
          <w:rFonts w:ascii="Roboto Mono" w:hAnsi="Roboto Mono"/>
          <w:color w:val="0B2545"/>
          <w:sz w:val="20"/>
        </w:rPr>
        <w:t>frequency</w:t>
      </w:r>
      <w:r>
        <w:rPr>
          <w:rFonts w:ascii="Arial" w:hAnsi="Arial"/>
          <w:color w:val="000000"/>
          <w:sz w:val="22"/>
        </w:rPr>
        <w:t xml:space="preserve"> are not blank.</w:t>
      </w:r>
    </w:p>
    <w:p>
      <w:pPr>
        <w:pStyle w:val="ListBullet"/>
        <w:spacing w:before="0" w:after="40" w:line="276" w:lineRule="auto"/>
        <w:ind w:left="540" w:hanging="271"/>
      </w:pPr>
      <w:r>
        <w:rPr>
          <w:rFonts w:ascii="Arial" w:hAnsi="Arial"/>
          <w:color w:val="000000"/>
          <w:sz w:val="22"/>
        </w:rPr>
        <w:t xml:space="preserve">Index: </w:t>
      </w:r>
      <w:r>
        <w:rPr>
          <w:rFonts w:ascii="Roboto Mono" w:hAnsi="Roboto Mono"/>
          <w:color w:val="0B2545"/>
          <w:sz w:val="20"/>
        </w:rPr>
        <w:t>(provider, is_active)</w:t>
      </w:r>
      <w:r>
        <w:rPr>
          <w:rFonts w:ascii="Arial" w:hAnsi="Arial"/>
          <w:color w:val="000000"/>
          <w:sz w:val="22"/>
        </w:rPr>
        <w:t>.</w:t>
      </w:r>
    </w:p>
    <w:p>
      <w:pPr>
        <w:pStyle w:val="Heading1"/>
      </w:pPr>
      <w:r>
        <w:rPr>
          <w:rFonts w:ascii="Arial" w:hAnsi="Arial"/>
          <w:color w:val="000000"/>
          <w:sz w:val="32"/>
        </w:rPr>
        <w:t xml:space="preserve">10. Table: </w:t>
      </w:r>
      <w:r>
        <w:rPr>
          <w:rFonts w:ascii="Roboto Mono" w:hAnsi="Roboto Mono"/>
          <w:color w:val="0B2545"/>
          <w:sz w:val="30"/>
        </w:rPr>
        <w:t>macro_observations</w:t>
      </w:r>
    </w:p>
    <w:p>
      <w:pPr>
        <w:pStyle w:val="Heading2"/>
      </w:pPr>
      <w:r>
        <w:rPr>
          <w:rFonts w:ascii="Arial" w:hAnsi="Arial"/>
          <w:color w:val="000000"/>
          <w:sz w:val="26"/>
        </w:rPr>
        <w:t>Purpose</w:t>
      </w:r>
    </w:p>
    <w:p>
      <w:pPr>
        <w:spacing w:before="0" w:after="120" w:line="300" w:lineRule="auto"/>
      </w:pPr>
      <w:r>
        <w:rPr>
          <w:rFonts w:ascii="Arial" w:hAnsi="Arial"/>
          <w:color w:val="000000"/>
          <w:sz w:val="22"/>
        </w:rPr>
        <w:t>Stores one numeric observation for one defined macro dataset and one reference date. It is separate from market candles because CPI and repo rates do not have OHLCV structure.</w:t>
      </w:r>
    </w:p>
    <w:p>
      <w:pPr>
        <w:pStyle w:val="Heading2"/>
      </w:pPr>
      <w:r>
        <w:rPr>
          <w:rFonts w:ascii="Arial" w:hAnsi="Arial"/>
          <w:color w:val="000000"/>
          <w:sz w:val="26"/>
        </w:rPr>
        <w:t>Columns</w:t>
      </w:r>
    </w:p>
    <w:tbl>
      <w:tblPr>
        <w:tblW w:type="dxa" w:w="9360"/>
        <w:jc w:val="left"/>
        <w:tblLayout w:type="fixed"/>
        <w:tblLook w:firstColumn="1" w:firstRow="1" w:lastColumn="0" w:lastRow="0" w:noHBand="0" w:noVBand="1" w:val="04A0"/>
        <w:tblBorders>
          <w:top w:val="single" w:sz="4" w:space="0" w:color="C7D2E0"/>
          <w:left w:val="single" w:sz="4" w:space="0" w:color="C7D2E0"/>
          <w:bottom w:val="single" w:sz="4" w:space="0" w:color="C7D2E0"/>
          <w:right w:val="single" w:sz="4" w:space="0" w:color="C7D2E0"/>
          <w:insideH w:val="single" w:sz="4" w:space="0" w:color="C7D2E0"/>
          <w:insideV w:val="single" w:sz="4" w:space="0" w:color="C7D2E0"/>
        </w:tblBorders>
        <w:tblInd w:w="120" w:type="dxa"/>
      </w:tblPr>
      <w:tblGrid>
        <w:gridCol w:w="1500"/>
        <w:gridCol w:w="1800"/>
        <w:gridCol w:w="700"/>
        <w:gridCol w:w="1700"/>
        <w:gridCol w:w="3660"/>
      </w:tblGrid>
      <w:tr>
        <w:trPr>
          <w:tblHeader w:val="true"/>
        </w:trPr>
        <w:tc>
          <w:tcPr>
            <w:tcW w:type="dxa" w:w="1500"/>
            <w:shd w:fill="E8EEF5"/>
            <w:tcMar>
              <w:top w:w="80" w:type="dxa"/>
              <w:start w:w="120" w:type="dxa"/>
              <w:bottom w:w="80" w:type="dxa"/>
              <w:end w:w="120" w:type="dxa"/>
            </w:tcMar>
            <w:vAlign w:val="center"/>
          </w:tcPr>
          <w:p>
            <w:pPr>
              <w:spacing w:before="0" w:after="0" w:line="276" w:lineRule="auto"/>
            </w:pPr>
            <w:r>
              <w:rPr>
                <w:rFonts w:ascii="Arial" w:hAnsi="Arial"/>
                <w:b/>
                <w:color w:val="0B2545"/>
                <w:sz w:val="19"/>
              </w:rPr>
              <w:t>Column</w:t>
            </w:r>
          </w:p>
        </w:tc>
        <w:tc>
          <w:tcPr>
            <w:tcW w:type="dxa" w:w="1800"/>
            <w:shd w:fill="E8EEF5"/>
            <w:tcMar>
              <w:top w:w="80" w:type="dxa"/>
              <w:start w:w="120" w:type="dxa"/>
              <w:bottom w:w="80" w:type="dxa"/>
              <w:end w:w="120" w:type="dxa"/>
            </w:tcMar>
            <w:vAlign w:val="center"/>
          </w:tcPr>
          <w:p>
            <w:pPr>
              <w:spacing w:before="0" w:after="0" w:line="276" w:lineRule="auto"/>
            </w:pPr>
            <w:r>
              <w:rPr>
                <w:rFonts w:ascii="Arial" w:hAnsi="Arial"/>
                <w:b/>
                <w:color w:val="0B2545"/>
                <w:sz w:val="19"/>
              </w:rPr>
              <w:t>PostgreSQL type</w:t>
            </w:r>
          </w:p>
        </w:tc>
        <w:tc>
          <w:tcPr>
            <w:tcW w:type="dxa" w:w="700"/>
            <w:shd w:fill="E8EEF5"/>
            <w:tcMar>
              <w:top w:w="80" w:type="dxa"/>
              <w:start w:w="120" w:type="dxa"/>
              <w:bottom w:w="80" w:type="dxa"/>
              <w:end w:w="120" w:type="dxa"/>
            </w:tcMar>
            <w:vAlign w:val="center"/>
          </w:tcPr>
          <w:p>
            <w:pPr>
              <w:spacing w:before="0" w:after="0" w:line="276" w:lineRule="auto"/>
            </w:pPr>
            <w:r>
              <w:rPr>
                <w:rFonts w:ascii="Arial" w:hAnsi="Arial"/>
                <w:b/>
                <w:color w:val="0B2545"/>
                <w:sz w:val="19"/>
              </w:rPr>
              <w:t>Null?</w:t>
            </w:r>
          </w:p>
        </w:tc>
        <w:tc>
          <w:tcPr>
            <w:tcW w:type="dxa" w:w="1700"/>
            <w:shd w:fill="E8EEF5"/>
            <w:tcMar>
              <w:top w:w="80" w:type="dxa"/>
              <w:start w:w="120" w:type="dxa"/>
              <w:bottom w:w="80" w:type="dxa"/>
              <w:end w:w="120" w:type="dxa"/>
            </w:tcMar>
            <w:vAlign w:val="center"/>
          </w:tcPr>
          <w:p>
            <w:pPr>
              <w:spacing w:before="0" w:after="0" w:line="276" w:lineRule="auto"/>
            </w:pPr>
            <w:r>
              <w:rPr>
                <w:rFonts w:ascii="Arial" w:hAnsi="Arial"/>
                <w:b/>
                <w:color w:val="0B2545"/>
                <w:sz w:val="19"/>
              </w:rPr>
              <w:t>Key/default</w:t>
            </w:r>
          </w:p>
        </w:tc>
        <w:tc>
          <w:tcPr>
            <w:tcW w:type="dxa" w:w="3660"/>
            <w:shd w:fill="E8EEF5"/>
            <w:tcMar>
              <w:top w:w="80" w:type="dxa"/>
              <w:start w:w="120" w:type="dxa"/>
              <w:bottom w:w="80" w:type="dxa"/>
              <w:end w:w="120" w:type="dxa"/>
            </w:tcMar>
            <w:vAlign w:val="center"/>
          </w:tcPr>
          <w:p>
            <w:pPr>
              <w:spacing w:before="0" w:after="0" w:line="276" w:lineRule="auto"/>
            </w:pPr>
            <w:r>
              <w:rPr>
                <w:rFonts w:ascii="Arial" w:hAnsi="Arial"/>
                <w:b/>
                <w:color w:val="0B2545"/>
                <w:sz w:val="19"/>
              </w:rPr>
              <w:t>What it stores and why</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id</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bigint</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r>
              <w:rPr>
                <w:rFonts w:ascii="Arial" w:hAnsi="Arial"/>
                <w:color w:val="000000"/>
                <w:sz w:val="19"/>
              </w:rPr>
              <w:t>Primary key, identity</w:t>
            </w: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Internal row identity.</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macro_dataset_id</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bigint</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r>
              <w:rPr>
                <w:rFonts w:ascii="Arial" w:hAnsi="Arial"/>
                <w:color w:val="000000"/>
                <w:sz w:val="19"/>
              </w:rPr>
              <w:t>Foreign key</w:t>
            </w: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Identifies the exact metric, unit, frequency, and source definition.</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observed_on</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date</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r>
              <w:rPr>
                <w:rFonts w:ascii="Arial" w:hAnsi="Arial"/>
                <w:color w:val="000000"/>
                <w:sz w:val="19"/>
              </w:rPr>
              <w:t>Unique-key component</w:t>
            </w: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Monthly reference period or policy event date.</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value</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numeric(20,8)</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Numeric macroeconomic observation.</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source_retrieved_at</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timestamptz</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When this value was retrieved or reviewed.</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source_row_reference</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text</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Yes</w:t>
            </w:r>
          </w:p>
        </w:tc>
        <w:tc>
          <w:tcPr>
            <w:tcW w:type="dxa" w:w="1700"/>
            <w:tcMar>
              <w:top w:w="80" w:type="dxa"/>
              <w:start w:w="120" w:type="dxa"/>
              <w:bottom w:w="80" w:type="dxa"/>
              <w:end w:w="120" w:type="dxa"/>
            </w:tcMar>
            <w:vAlign w:val="center"/>
          </w:tcPr>
          <w:p>
            <w:pPr>
              <w:spacing w:before="0" w:after="0" w:line="276" w:lineRule="auto"/>
            </w:pP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Optional source row, publication, or export reference.</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metadata</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jsonb</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r>
              <w:rPr>
                <w:rFonts w:ascii="Arial" w:hAnsi="Arial"/>
                <w:color w:val="000000"/>
                <w:sz w:val="19"/>
              </w:rPr>
              <w:t xml:space="preserve">Default </w:t>
            </w:r>
            <w:r>
              <w:rPr>
                <w:rFonts w:ascii="Roboto Mono" w:hAnsi="Roboto Mono"/>
                <w:color w:val="0B2545"/>
                <w:sz w:val="18"/>
              </w:rPr>
              <w:t>{}</w:t>
            </w: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Notes about missing values, revisions, or date interpretation.</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created_at</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timestamptz</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r>
              <w:rPr>
                <w:rFonts w:ascii="Arial" w:hAnsi="Arial"/>
                <w:color w:val="000000"/>
                <w:sz w:val="19"/>
              </w:rPr>
              <w:t xml:space="preserve">Default </w:t>
            </w:r>
            <w:r>
              <w:rPr>
                <w:rFonts w:ascii="Roboto Mono" w:hAnsi="Roboto Mono"/>
                <w:color w:val="0B2545"/>
                <w:sz w:val="18"/>
              </w:rPr>
              <w:t>now()</w:t>
            </w: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First insertion time.</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updated_at</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timestamptz</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r>
              <w:rPr>
                <w:rFonts w:ascii="Arial" w:hAnsi="Arial"/>
                <w:color w:val="000000"/>
                <w:sz w:val="19"/>
              </w:rPr>
              <w:t xml:space="preserve">Default </w:t>
            </w:r>
            <w:r>
              <w:rPr>
                <w:rFonts w:ascii="Roboto Mono" w:hAnsi="Roboto Mono"/>
                <w:color w:val="0B2545"/>
                <w:sz w:val="18"/>
              </w:rPr>
              <w:t>now()</w:t>
            </w: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Last upsert update time.</w:t>
            </w:r>
          </w:p>
        </w:tc>
      </w:tr>
    </w:tbl>
    <w:p>
      <w:pPr>
        <w:spacing w:before="0" w:after="100" w:line="240" w:lineRule="auto"/>
      </w:pPr>
    </w:p>
    <w:p>
      <w:pPr>
        <w:pStyle w:val="Heading2"/>
      </w:pPr>
      <w:r>
        <w:rPr>
          <w:rFonts w:ascii="Arial" w:hAnsi="Arial"/>
          <w:color w:val="000000"/>
          <w:sz w:val="26"/>
        </w:rPr>
        <w:t>Constraints and indexes</w:t>
      </w:r>
    </w:p>
    <w:p>
      <w:pPr>
        <w:pStyle w:val="ListBullet"/>
        <w:spacing w:before="0" w:after="40" w:line="276" w:lineRule="auto"/>
        <w:ind w:left="540" w:hanging="271"/>
      </w:pPr>
      <w:r>
        <w:rPr>
          <w:rFonts w:ascii="Arial" w:hAnsi="Arial"/>
          <w:color w:val="000000"/>
          <w:sz w:val="22"/>
        </w:rPr>
        <w:t xml:space="preserve">Primary key: </w:t>
      </w:r>
      <w:r>
        <w:rPr>
          <w:rFonts w:ascii="Roboto Mono" w:hAnsi="Roboto Mono"/>
          <w:color w:val="0B2545"/>
          <w:sz w:val="20"/>
        </w:rPr>
        <w:t>id</w:t>
      </w:r>
      <w:r>
        <w:rPr>
          <w:rFonts w:ascii="Arial" w:hAnsi="Arial"/>
          <w:color w:val="000000"/>
          <w:sz w:val="22"/>
        </w:rPr>
        <w:t>.</w:t>
      </w:r>
    </w:p>
    <w:p>
      <w:pPr>
        <w:pStyle w:val="ListBullet"/>
        <w:spacing w:before="0" w:after="40" w:line="276" w:lineRule="auto"/>
        <w:ind w:left="540" w:hanging="271"/>
      </w:pPr>
      <w:r>
        <w:rPr>
          <w:rFonts w:ascii="Arial" w:hAnsi="Arial"/>
          <w:color w:val="000000"/>
          <w:sz w:val="22"/>
        </w:rPr>
        <w:t xml:space="preserve">Foreign key: </w:t>
      </w:r>
      <w:r>
        <w:rPr>
          <w:rFonts w:ascii="Roboto Mono" w:hAnsi="Roboto Mono"/>
          <w:color w:val="0B2545"/>
          <w:sz w:val="20"/>
        </w:rPr>
        <w:t>macro_dataset_id</w:t>
      </w:r>
      <w:r>
        <w:rPr>
          <w:rFonts w:ascii="Arial" w:hAnsi="Arial"/>
          <w:color w:val="000000"/>
          <w:sz w:val="22"/>
        </w:rPr>
        <w:t xml:space="preserve"> references </w:t>
      </w:r>
      <w:r>
        <w:rPr>
          <w:rFonts w:ascii="Roboto Mono" w:hAnsi="Roboto Mono"/>
          <w:color w:val="0B2545"/>
          <w:sz w:val="20"/>
        </w:rPr>
        <w:t>macro_datasets(id)</w:t>
      </w:r>
      <w:r>
        <w:rPr>
          <w:rFonts w:ascii="Arial" w:hAnsi="Arial"/>
          <w:color w:val="000000"/>
          <w:sz w:val="22"/>
        </w:rPr>
        <w:t xml:space="preserve"> with deletion restricted.</w:t>
      </w:r>
    </w:p>
    <w:p>
      <w:pPr>
        <w:pStyle w:val="ListBullet"/>
        <w:spacing w:before="0" w:after="40" w:line="276" w:lineRule="auto"/>
        <w:ind w:left="540" w:hanging="271"/>
      </w:pPr>
      <w:r>
        <w:rPr>
          <w:rFonts w:ascii="Arial" w:hAnsi="Arial"/>
          <w:color w:val="000000"/>
          <w:sz w:val="22"/>
        </w:rPr>
        <w:t xml:space="preserve">Unique constraint: </w:t>
      </w:r>
      <w:r>
        <w:rPr>
          <w:rFonts w:ascii="Roboto Mono" w:hAnsi="Roboto Mono"/>
          <w:color w:val="0B2545"/>
          <w:sz w:val="20"/>
        </w:rPr>
        <w:t>(macro_dataset_id, observed_on)</w:t>
      </w:r>
      <w:r>
        <w:rPr>
          <w:rFonts w:ascii="Arial" w:hAnsi="Arial"/>
          <w:color w:val="000000"/>
          <w:sz w:val="22"/>
        </w:rPr>
        <w:t>.</w:t>
      </w:r>
    </w:p>
    <w:p>
      <w:pPr>
        <w:pStyle w:val="ListBullet"/>
        <w:spacing w:before="0" w:after="40" w:line="276" w:lineRule="auto"/>
        <w:ind w:left="540" w:hanging="271"/>
      </w:pPr>
      <w:r>
        <w:rPr>
          <w:rFonts w:ascii="Arial" w:hAnsi="Arial"/>
          <w:color w:val="000000"/>
          <w:sz w:val="22"/>
        </w:rPr>
        <w:t xml:space="preserve">Index: </w:t>
      </w:r>
      <w:r>
        <w:rPr>
          <w:rFonts w:ascii="Roboto Mono" w:hAnsi="Roboto Mono"/>
          <w:color w:val="0B2545"/>
          <w:sz w:val="20"/>
        </w:rPr>
        <w:t>(macro_dataset_id, observed_on DESC)</w:t>
      </w:r>
      <w:r>
        <w:rPr>
          <w:rFonts w:ascii="Arial" w:hAnsi="Arial"/>
          <w:color w:val="000000"/>
          <w:sz w:val="22"/>
        </w:rPr>
        <w:t xml:space="preserve"> for time-series queries.</w:t>
      </w:r>
    </w:p>
    <w:p>
      <w:pPr>
        <w:pStyle w:val="ListBullet"/>
        <w:spacing w:before="0" w:after="40" w:line="276" w:lineRule="auto"/>
        <w:ind w:left="540" w:hanging="271"/>
      </w:pPr>
      <w:r>
        <w:rPr>
          <w:rFonts w:ascii="Arial" w:hAnsi="Arial"/>
          <w:color w:val="000000"/>
          <w:sz w:val="22"/>
        </w:rPr>
        <w:t>The database does not interpolate repo-rate observations into daily rows.</w:t>
      </w:r>
    </w:p>
    <w:p>
      <w:pPr>
        <w:pStyle w:val="Heading2"/>
      </w:pPr>
      <w:r>
        <w:rPr>
          <w:rFonts w:ascii="Arial" w:hAnsi="Arial"/>
          <w:color w:val="000000"/>
          <w:sz w:val="26"/>
        </w:rPr>
        <w:t>Duplicate and upsert behavior</w:t>
      </w:r>
    </w:p>
    <w:p>
      <w:pPr>
        <w:spacing w:before="0" w:after="120" w:line="300" w:lineRule="auto"/>
      </w:pPr>
      <w:r>
        <w:rPr>
          <w:rFonts w:ascii="Arial" w:hAnsi="Arial"/>
          <w:color w:val="000000"/>
          <w:sz w:val="22"/>
        </w:rPr>
        <w:t>The unique dataset/date key prevents duplicate observations. Re-seeding the same CPI or repo-rate file updates the value and provenance fields for that dataset/date. A changed source value is therefore visible as an update during the ingestion run rather than producing a second conflicting row.</w:t>
      </w:r>
    </w:p>
    <w:p>
      <w:pPr>
        <w:pStyle w:val="Heading1"/>
      </w:pPr>
      <w:r>
        <w:rPr>
          <w:rFonts w:ascii="Arial" w:hAnsi="Arial"/>
          <w:color w:val="000000"/>
          <w:sz w:val="32"/>
        </w:rPr>
        <w:t xml:space="preserve">11. Table: </w:t>
      </w:r>
      <w:r>
        <w:rPr>
          <w:rFonts w:ascii="Roboto Mono" w:hAnsi="Roboto Mono"/>
          <w:color w:val="0B2545"/>
          <w:sz w:val="30"/>
        </w:rPr>
        <w:t>ingestion_runs</w:t>
      </w:r>
    </w:p>
    <w:p>
      <w:pPr>
        <w:pStyle w:val="Heading2"/>
      </w:pPr>
      <w:r>
        <w:rPr>
          <w:rFonts w:ascii="Arial" w:hAnsi="Arial"/>
          <w:color w:val="000000"/>
          <w:sz w:val="26"/>
        </w:rPr>
        <w:t>Purpose</w:t>
      </w:r>
    </w:p>
    <w:p>
      <w:pPr>
        <w:spacing w:before="0" w:after="120" w:line="300" w:lineRule="auto"/>
      </w:pPr>
      <w:r>
        <w:rPr>
          <w:rFonts w:ascii="Arial" w:hAnsi="Arial"/>
          <w:color w:val="000000"/>
          <w:sz w:val="22"/>
        </w:rPr>
        <w:t>Stores the operational audit record for each batch collection or seed attempt. It is the pipeline's flight recorder for rate limits, network failures, parser failures, empty responses, and successful loads.</w:t>
      </w:r>
    </w:p>
    <w:p>
      <w:pPr>
        <w:pStyle w:val="Heading2"/>
      </w:pPr>
      <w:r>
        <w:rPr>
          <w:rFonts w:ascii="Arial" w:hAnsi="Arial"/>
          <w:color w:val="000000"/>
          <w:sz w:val="26"/>
        </w:rPr>
        <w:t>Columns</w:t>
      </w:r>
    </w:p>
    <w:tbl>
      <w:tblPr>
        <w:tblW w:type="dxa" w:w="9360"/>
        <w:jc w:val="left"/>
        <w:tblLayout w:type="fixed"/>
        <w:tblLook w:firstColumn="1" w:firstRow="1" w:lastColumn="0" w:lastRow="0" w:noHBand="0" w:noVBand="1" w:val="04A0"/>
        <w:tblBorders>
          <w:top w:val="single" w:sz="4" w:space="0" w:color="C7D2E0"/>
          <w:left w:val="single" w:sz="4" w:space="0" w:color="C7D2E0"/>
          <w:bottom w:val="single" w:sz="4" w:space="0" w:color="C7D2E0"/>
          <w:right w:val="single" w:sz="4" w:space="0" w:color="C7D2E0"/>
          <w:insideH w:val="single" w:sz="4" w:space="0" w:color="C7D2E0"/>
          <w:insideV w:val="single" w:sz="4" w:space="0" w:color="C7D2E0"/>
        </w:tblBorders>
        <w:tblInd w:w="120" w:type="dxa"/>
      </w:tblPr>
      <w:tblGrid>
        <w:gridCol w:w="1500"/>
        <w:gridCol w:w="1800"/>
        <w:gridCol w:w="700"/>
        <w:gridCol w:w="1700"/>
        <w:gridCol w:w="3660"/>
      </w:tblGrid>
      <w:tr>
        <w:trPr>
          <w:tblHeader w:val="true"/>
        </w:trPr>
        <w:tc>
          <w:tcPr>
            <w:tcW w:type="dxa" w:w="1500"/>
            <w:shd w:fill="E8EEF5"/>
            <w:tcMar>
              <w:top w:w="80" w:type="dxa"/>
              <w:start w:w="120" w:type="dxa"/>
              <w:bottom w:w="80" w:type="dxa"/>
              <w:end w:w="120" w:type="dxa"/>
            </w:tcMar>
            <w:vAlign w:val="center"/>
          </w:tcPr>
          <w:p>
            <w:pPr>
              <w:spacing w:before="0" w:after="0" w:line="276" w:lineRule="auto"/>
            </w:pPr>
            <w:r>
              <w:rPr>
                <w:rFonts w:ascii="Arial" w:hAnsi="Arial"/>
                <w:b/>
                <w:color w:val="0B2545"/>
                <w:sz w:val="19"/>
              </w:rPr>
              <w:t>Column</w:t>
            </w:r>
          </w:p>
        </w:tc>
        <w:tc>
          <w:tcPr>
            <w:tcW w:type="dxa" w:w="1800"/>
            <w:shd w:fill="E8EEF5"/>
            <w:tcMar>
              <w:top w:w="80" w:type="dxa"/>
              <w:start w:w="120" w:type="dxa"/>
              <w:bottom w:w="80" w:type="dxa"/>
              <w:end w:w="120" w:type="dxa"/>
            </w:tcMar>
            <w:vAlign w:val="center"/>
          </w:tcPr>
          <w:p>
            <w:pPr>
              <w:spacing w:before="0" w:after="0" w:line="276" w:lineRule="auto"/>
            </w:pPr>
            <w:r>
              <w:rPr>
                <w:rFonts w:ascii="Arial" w:hAnsi="Arial"/>
                <w:b/>
                <w:color w:val="0B2545"/>
                <w:sz w:val="19"/>
              </w:rPr>
              <w:t>PostgreSQL type</w:t>
            </w:r>
          </w:p>
        </w:tc>
        <w:tc>
          <w:tcPr>
            <w:tcW w:type="dxa" w:w="700"/>
            <w:shd w:fill="E8EEF5"/>
            <w:tcMar>
              <w:top w:w="80" w:type="dxa"/>
              <w:start w:w="120" w:type="dxa"/>
              <w:bottom w:w="80" w:type="dxa"/>
              <w:end w:w="120" w:type="dxa"/>
            </w:tcMar>
            <w:vAlign w:val="center"/>
          </w:tcPr>
          <w:p>
            <w:pPr>
              <w:spacing w:before="0" w:after="0" w:line="276" w:lineRule="auto"/>
            </w:pPr>
            <w:r>
              <w:rPr>
                <w:rFonts w:ascii="Arial" w:hAnsi="Arial"/>
                <w:b/>
                <w:color w:val="0B2545"/>
                <w:sz w:val="19"/>
              </w:rPr>
              <w:t>Null?</w:t>
            </w:r>
          </w:p>
        </w:tc>
        <w:tc>
          <w:tcPr>
            <w:tcW w:type="dxa" w:w="1700"/>
            <w:shd w:fill="E8EEF5"/>
            <w:tcMar>
              <w:top w:w="80" w:type="dxa"/>
              <w:start w:w="120" w:type="dxa"/>
              <w:bottom w:w="80" w:type="dxa"/>
              <w:end w:w="120" w:type="dxa"/>
            </w:tcMar>
            <w:vAlign w:val="center"/>
          </w:tcPr>
          <w:p>
            <w:pPr>
              <w:spacing w:before="0" w:after="0" w:line="276" w:lineRule="auto"/>
            </w:pPr>
            <w:r>
              <w:rPr>
                <w:rFonts w:ascii="Arial" w:hAnsi="Arial"/>
                <w:b/>
                <w:color w:val="0B2545"/>
                <w:sz w:val="19"/>
              </w:rPr>
              <w:t>Key/default</w:t>
            </w:r>
          </w:p>
        </w:tc>
        <w:tc>
          <w:tcPr>
            <w:tcW w:type="dxa" w:w="3660"/>
            <w:shd w:fill="E8EEF5"/>
            <w:tcMar>
              <w:top w:w="80" w:type="dxa"/>
              <w:start w:w="120" w:type="dxa"/>
              <w:bottom w:w="80" w:type="dxa"/>
              <w:end w:w="120" w:type="dxa"/>
            </w:tcMar>
            <w:vAlign w:val="center"/>
          </w:tcPr>
          <w:p>
            <w:pPr>
              <w:spacing w:before="0" w:after="0" w:line="276" w:lineRule="auto"/>
            </w:pPr>
            <w:r>
              <w:rPr>
                <w:rFonts w:ascii="Arial" w:hAnsi="Arial"/>
                <w:b/>
                <w:color w:val="0B2545"/>
                <w:sz w:val="19"/>
              </w:rPr>
              <w:t>What it stores and why</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id</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bigint</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r>
              <w:rPr>
                <w:rFonts w:ascii="Arial" w:hAnsi="Arial"/>
                <w:color w:val="000000"/>
                <w:sz w:val="19"/>
              </w:rPr>
              <w:t>Primary key, identity</w:t>
            </w: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Run identity used in logs and troubleshooting.</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run_type</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text</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r>
              <w:rPr>
                <w:rFonts w:ascii="Arial" w:hAnsi="Arial"/>
                <w:color w:val="000000"/>
                <w:sz w:val="19"/>
              </w:rPr>
              <w:t>Check constraint</w:t>
            </w:r>
          </w:p>
        </w:tc>
        <w:tc>
          <w:tcPr>
            <w:tcW w:type="dxa" w:w="3660"/>
            <w:tcMar>
              <w:top w:w="80" w:type="dxa"/>
              <w:start w:w="120" w:type="dxa"/>
              <w:bottom w:w="80" w:type="dxa"/>
              <w:end w:w="120" w:type="dxa"/>
            </w:tcMar>
            <w:vAlign w:val="center"/>
          </w:tcPr>
          <w:p>
            <w:pPr>
              <w:spacing w:before="0" w:after="0" w:line="276" w:lineRule="auto"/>
            </w:pPr>
            <w:r>
              <w:rPr>
                <w:rFonts w:ascii="Roboto Mono" w:hAnsi="Roboto Mono"/>
                <w:color w:val="0B2545"/>
                <w:sz w:val="18"/>
              </w:rPr>
              <w:t>market_api</w:t>
            </w:r>
            <w:r>
              <w:rPr>
                <w:rFonts w:ascii="Arial" w:hAnsi="Arial"/>
                <w:color w:val="000000"/>
                <w:sz w:val="19"/>
              </w:rPr>
              <w:t xml:space="preserve">, </w:t>
            </w:r>
            <w:r>
              <w:rPr>
                <w:rFonts w:ascii="Roboto Mono" w:hAnsi="Roboto Mono"/>
                <w:color w:val="0B2545"/>
                <w:sz w:val="18"/>
              </w:rPr>
              <w:t>macro_seed</w:t>
            </w:r>
            <w:r>
              <w:rPr>
                <w:rFonts w:ascii="Arial" w:hAnsi="Arial"/>
                <w:color w:val="000000"/>
                <w:sz w:val="19"/>
              </w:rPr>
              <w:t xml:space="preserve">, or </w:t>
            </w:r>
            <w:r>
              <w:rPr>
                <w:rFonts w:ascii="Roboto Mono" w:hAnsi="Roboto Mono"/>
                <w:color w:val="0B2545"/>
                <w:sz w:val="18"/>
              </w:rPr>
              <w:t>migration</w:t>
            </w:r>
            <w:r>
              <w:rPr>
                <w:rFonts w:ascii="Arial" w:hAnsi="Arial"/>
                <w:color w:val="000000"/>
                <w:sz w:val="19"/>
              </w:rPr>
              <w:t>.</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provider</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text</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Provider or source family used by the run.</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status</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text</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r>
              <w:rPr>
                <w:rFonts w:ascii="Arial" w:hAnsi="Arial"/>
                <w:color w:val="000000"/>
                <w:sz w:val="19"/>
              </w:rPr>
              <w:t>Check constraint</w:t>
            </w:r>
          </w:p>
        </w:tc>
        <w:tc>
          <w:tcPr>
            <w:tcW w:type="dxa" w:w="3660"/>
            <w:tcMar>
              <w:top w:w="80" w:type="dxa"/>
              <w:start w:w="120" w:type="dxa"/>
              <w:bottom w:w="80" w:type="dxa"/>
              <w:end w:w="120" w:type="dxa"/>
            </w:tcMar>
            <w:vAlign w:val="center"/>
          </w:tcPr>
          <w:p>
            <w:pPr>
              <w:spacing w:before="0" w:after="0" w:line="276" w:lineRule="auto"/>
            </w:pPr>
            <w:r>
              <w:rPr>
                <w:rFonts w:ascii="Roboto Mono" w:hAnsi="Roboto Mono"/>
                <w:color w:val="0B2545"/>
                <w:sz w:val="18"/>
              </w:rPr>
              <w:t>running</w:t>
            </w:r>
            <w:r>
              <w:rPr>
                <w:rFonts w:ascii="Arial" w:hAnsi="Arial"/>
                <w:color w:val="000000"/>
                <w:sz w:val="19"/>
              </w:rPr>
              <w:t xml:space="preserve">, </w:t>
            </w:r>
            <w:r>
              <w:rPr>
                <w:rFonts w:ascii="Roboto Mono" w:hAnsi="Roboto Mono"/>
                <w:color w:val="0B2545"/>
                <w:sz w:val="18"/>
              </w:rPr>
              <w:t>succeeded</w:t>
            </w:r>
            <w:r>
              <w:rPr>
                <w:rFonts w:ascii="Arial" w:hAnsi="Arial"/>
                <w:color w:val="000000"/>
                <w:sz w:val="19"/>
              </w:rPr>
              <w:t xml:space="preserve">, </w:t>
            </w:r>
            <w:r>
              <w:rPr>
                <w:rFonts w:ascii="Roboto Mono" w:hAnsi="Roboto Mono"/>
                <w:color w:val="0B2545"/>
                <w:sz w:val="18"/>
              </w:rPr>
              <w:t>partial</w:t>
            </w:r>
            <w:r>
              <w:rPr>
                <w:rFonts w:ascii="Arial" w:hAnsi="Arial"/>
                <w:color w:val="000000"/>
                <w:sz w:val="19"/>
              </w:rPr>
              <w:t xml:space="preserve">, or </w:t>
            </w:r>
            <w:r>
              <w:rPr>
                <w:rFonts w:ascii="Roboto Mono" w:hAnsi="Roboto Mono"/>
                <w:color w:val="0B2545"/>
                <w:sz w:val="18"/>
              </w:rPr>
              <w:t>failed</w:t>
            </w:r>
            <w:r>
              <w:rPr>
                <w:rFonts w:ascii="Arial" w:hAnsi="Arial"/>
                <w:color w:val="000000"/>
                <w:sz w:val="19"/>
              </w:rPr>
              <w:t>.</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started_at</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timestamptz</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r>
              <w:rPr>
                <w:rFonts w:ascii="Arial" w:hAnsi="Arial"/>
                <w:color w:val="000000"/>
                <w:sz w:val="19"/>
              </w:rPr>
              <w:t xml:space="preserve">Default </w:t>
            </w:r>
            <w:r>
              <w:rPr>
                <w:rFonts w:ascii="Roboto Mono" w:hAnsi="Roboto Mono"/>
                <w:color w:val="0B2545"/>
                <w:sz w:val="18"/>
              </w:rPr>
              <w:t>now()</w:t>
            </w: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Run start time.</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completed_at</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timestamptz</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Yes</w:t>
            </w:r>
          </w:p>
        </w:tc>
        <w:tc>
          <w:tcPr>
            <w:tcW w:type="dxa" w:w="1700"/>
            <w:tcMar>
              <w:top w:w="80" w:type="dxa"/>
              <w:start w:w="120" w:type="dxa"/>
              <w:bottom w:w="80" w:type="dxa"/>
              <w:end w:w="120" w:type="dxa"/>
            </w:tcMar>
            <w:vAlign w:val="center"/>
          </w:tcPr>
          <w:p>
            <w:pPr>
              <w:spacing w:before="0" w:after="0" w:line="276" w:lineRule="auto"/>
            </w:pP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End time; null while running.</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requested_from</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timestamptz</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Yes</w:t>
            </w:r>
          </w:p>
        </w:tc>
        <w:tc>
          <w:tcPr>
            <w:tcW w:type="dxa" w:w="1700"/>
            <w:tcMar>
              <w:top w:w="80" w:type="dxa"/>
              <w:start w:w="120" w:type="dxa"/>
              <w:bottom w:w="80" w:type="dxa"/>
              <w:end w:w="120" w:type="dxa"/>
            </w:tcMar>
            <w:vAlign w:val="center"/>
          </w:tcPr>
          <w:p>
            <w:pPr>
              <w:spacing w:before="0" w:after="0" w:line="276" w:lineRule="auto"/>
            </w:pP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Requested market start boundary.</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requested_to</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timestamptz</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Yes</w:t>
            </w:r>
          </w:p>
        </w:tc>
        <w:tc>
          <w:tcPr>
            <w:tcW w:type="dxa" w:w="1700"/>
            <w:tcMar>
              <w:top w:w="80" w:type="dxa"/>
              <w:start w:w="120" w:type="dxa"/>
              <w:bottom w:w="80" w:type="dxa"/>
              <w:end w:w="120" w:type="dxa"/>
            </w:tcMar>
            <w:vAlign w:val="center"/>
          </w:tcPr>
          <w:p>
            <w:pPr>
              <w:spacing w:before="0" w:after="0" w:line="276" w:lineRule="auto"/>
            </w:pP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Requested market end boundary.</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rows_received</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bigint</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r>
              <w:rPr>
                <w:rFonts w:ascii="Arial" w:hAnsi="Arial"/>
                <w:color w:val="000000"/>
                <w:sz w:val="19"/>
              </w:rPr>
              <w:t xml:space="preserve">Default </w:t>
            </w:r>
            <w:r>
              <w:rPr>
                <w:rFonts w:ascii="Roboto Mono" w:hAnsi="Roboto Mono"/>
                <w:color w:val="0B2545"/>
                <w:sz w:val="18"/>
              </w:rPr>
              <w:t>0</w:t>
            </w: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Rows returned by the source or read from the file.</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rows_inserted</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bigint</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r>
              <w:rPr>
                <w:rFonts w:ascii="Arial" w:hAnsi="Arial"/>
                <w:color w:val="000000"/>
                <w:sz w:val="19"/>
              </w:rPr>
              <w:t xml:space="preserve">Default </w:t>
            </w:r>
            <w:r>
              <w:rPr>
                <w:rFonts w:ascii="Roboto Mono" w:hAnsi="Roboto Mono"/>
                <w:color w:val="0B2545"/>
                <w:sz w:val="18"/>
              </w:rPr>
              <w:t>0</w:t>
            </w: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New normalized rows created.</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rows_updated</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bigint</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r>
              <w:rPr>
                <w:rFonts w:ascii="Arial" w:hAnsi="Arial"/>
                <w:color w:val="000000"/>
                <w:sz w:val="19"/>
              </w:rPr>
              <w:t xml:space="preserve">Default </w:t>
            </w:r>
            <w:r>
              <w:rPr>
                <w:rFonts w:ascii="Roboto Mono" w:hAnsi="Roboto Mono"/>
                <w:color w:val="0B2545"/>
                <w:sz w:val="18"/>
              </w:rPr>
              <w:t>0</w:t>
            </w: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Existing rows changed by upsert.</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rows_rejected</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bigint</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r>
              <w:rPr>
                <w:rFonts w:ascii="Arial" w:hAnsi="Arial"/>
                <w:color w:val="000000"/>
                <w:sz w:val="19"/>
              </w:rPr>
              <w:t xml:space="preserve">Default </w:t>
            </w:r>
            <w:r>
              <w:rPr>
                <w:rFonts w:ascii="Roboto Mono" w:hAnsi="Roboto Mono"/>
                <w:color w:val="0B2545"/>
                <w:sz w:val="18"/>
              </w:rPr>
              <w:t>0</w:t>
            </w: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Rows failing validation.</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error_message</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text</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Yes</w:t>
            </w:r>
          </w:p>
        </w:tc>
        <w:tc>
          <w:tcPr>
            <w:tcW w:type="dxa" w:w="1700"/>
            <w:tcMar>
              <w:top w:w="80" w:type="dxa"/>
              <w:start w:w="120" w:type="dxa"/>
              <w:bottom w:w="80" w:type="dxa"/>
              <w:end w:w="120" w:type="dxa"/>
            </w:tcMar>
            <w:vAlign w:val="center"/>
          </w:tcPr>
          <w:p>
            <w:pPr>
              <w:spacing w:before="0" w:after="0" w:line="276" w:lineRule="auto"/>
            </w:pP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Human-readable failure summary.</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scope</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jsonb</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r>
              <w:rPr>
                <w:rFonts w:ascii="Arial" w:hAnsi="Arial"/>
                <w:color w:val="000000"/>
                <w:sz w:val="19"/>
              </w:rPr>
              <w:t xml:space="preserve">Default </w:t>
            </w:r>
            <w:r>
              <w:rPr>
                <w:rFonts w:ascii="Roboto Mono" w:hAnsi="Roboto Mono"/>
                <w:color w:val="0B2545"/>
                <w:sz w:val="18"/>
              </w:rPr>
              <w:t>{}</w:t>
            </w: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Symbols, datasets, intervals, and command options included in the run.</w:t>
            </w:r>
          </w:p>
        </w:tc>
      </w:tr>
      <w:tr>
        <w:tc>
          <w:tcPr>
            <w:tcW w:type="dxa" w:w="1500"/>
            <w:tcMar>
              <w:top w:w="80" w:type="dxa"/>
              <w:start w:w="120" w:type="dxa"/>
              <w:bottom w:w="80" w:type="dxa"/>
              <w:end w:w="120" w:type="dxa"/>
            </w:tcMar>
            <w:vAlign w:val="center"/>
          </w:tcPr>
          <w:p>
            <w:pPr>
              <w:spacing w:before="0" w:after="0" w:line="276" w:lineRule="auto"/>
            </w:pPr>
            <w:r>
              <w:rPr>
                <w:rFonts w:ascii="Roboto Mono" w:hAnsi="Roboto Mono"/>
                <w:color w:val="0B2545"/>
                <w:sz w:val="18"/>
              </w:rPr>
              <w:t>created_at</w:t>
            </w:r>
          </w:p>
        </w:tc>
        <w:tc>
          <w:tcPr>
            <w:tcW w:type="dxa" w:w="1800"/>
            <w:tcMar>
              <w:top w:w="80" w:type="dxa"/>
              <w:start w:w="120" w:type="dxa"/>
              <w:bottom w:w="80" w:type="dxa"/>
              <w:end w:w="120" w:type="dxa"/>
            </w:tcMar>
            <w:vAlign w:val="center"/>
          </w:tcPr>
          <w:p>
            <w:pPr>
              <w:spacing w:before="0" w:after="0" w:line="276" w:lineRule="auto"/>
            </w:pPr>
            <w:r>
              <w:rPr>
                <w:rFonts w:ascii="Roboto Mono" w:hAnsi="Roboto Mono"/>
                <w:color w:val="0B2545"/>
                <w:sz w:val="18"/>
              </w:rPr>
              <w:t>timestamptz</w:t>
            </w:r>
          </w:p>
        </w:tc>
        <w:tc>
          <w:tcPr>
            <w:tcW w:type="dxa" w:w="700"/>
            <w:tcMar>
              <w:top w:w="80" w:type="dxa"/>
              <w:start w:w="120" w:type="dxa"/>
              <w:bottom w:w="80" w:type="dxa"/>
              <w:end w:w="120" w:type="dxa"/>
            </w:tcMar>
            <w:vAlign w:val="center"/>
          </w:tcPr>
          <w:p>
            <w:pPr>
              <w:spacing w:before="0" w:after="0" w:line="276" w:lineRule="auto"/>
            </w:pPr>
            <w:r>
              <w:rPr>
                <w:rFonts w:ascii="Arial" w:hAnsi="Arial"/>
                <w:color w:val="000000"/>
                <w:sz w:val="19"/>
              </w:rPr>
              <w:t>No</w:t>
            </w:r>
          </w:p>
        </w:tc>
        <w:tc>
          <w:tcPr>
            <w:tcW w:type="dxa" w:w="1700"/>
            <w:tcMar>
              <w:top w:w="80" w:type="dxa"/>
              <w:start w:w="120" w:type="dxa"/>
              <w:bottom w:w="80" w:type="dxa"/>
              <w:end w:w="120" w:type="dxa"/>
            </w:tcMar>
            <w:vAlign w:val="center"/>
          </w:tcPr>
          <w:p>
            <w:pPr>
              <w:spacing w:before="0" w:after="0" w:line="276" w:lineRule="auto"/>
            </w:pPr>
            <w:r>
              <w:rPr>
                <w:rFonts w:ascii="Arial" w:hAnsi="Arial"/>
                <w:color w:val="000000"/>
                <w:sz w:val="19"/>
              </w:rPr>
              <w:t xml:space="preserve">Default </w:t>
            </w:r>
            <w:r>
              <w:rPr>
                <w:rFonts w:ascii="Roboto Mono" w:hAnsi="Roboto Mono"/>
                <w:color w:val="0B2545"/>
                <w:sz w:val="18"/>
              </w:rPr>
              <w:t>now()</w:t>
            </w:r>
          </w:p>
        </w:tc>
        <w:tc>
          <w:tcPr>
            <w:tcW w:type="dxa" w:w="3660"/>
            <w:tcMar>
              <w:top w:w="80" w:type="dxa"/>
              <w:start w:w="120" w:type="dxa"/>
              <w:bottom w:w="80" w:type="dxa"/>
              <w:end w:w="120" w:type="dxa"/>
            </w:tcMar>
            <w:vAlign w:val="center"/>
          </w:tcPr>
          <w:p>
            <w:pPr>
              <w:spacing w:before="0" w:after="0" w:line="276" w:lineRule="auto"/>
            </w:pPr>
            <w:r>
              <w:rPr>
                <w:rFonts w:ascii="Arial" w:hAnsi="Arial"/>
                <w:color w:val="000000"/>
                <w:sz w:val="19"/>
              </w:rPr>
              <w:t>Audit-row creation time.</w:t>
            </w:r>
          </w:p>
        </w:tc>
      </w:tr>
    </w:tbl>
    <w:p>
      <w:pPr>
        <w:spacing w:before="0" w:after="100" w:line="240" w:lineRule="auto"/>
      </w:pPr>
    </w:p>
    <w:p>
      <w:pPr>
        <w:pStyle w:val="Heading2"/>
      </w:pPr>
      <w:r>
        <w:rPr>
          <w:rFonts w:ascii="Arial" w:hAnsi="Arial"/>
          <w:color w:val="000000"/>
          <w:sz w:val="26"/>
        </w:rPr>
        <w:t>Constraints and indexes</w:t>
      </w:r>
    </w:p>
    <w:p>
      <w:pPr>
        <w:pStyle w:val="ListBullet"/>
        <w:spacing w:before="0" w:after="40" w:line="276" w:lineRule="auto"/>
        <w:ind w:left="540" w:hanging="271"/>
      </w:pPr>
      <w:r>
        <w:rPr>
          <w:rFonts w:ascii="Arial" w:hAnsi="Arial"/>
          <w:color w:val="000000"/>
          <w:sz w:val="22"/>
        </w:rPr>
        <w:t xml:space="preserve">Primary key: </w:t>
      </w:r>
      <w:r>
        <w:rPr>
          <w:rFonts w:ascii="Roboto Mono" w:hAnsi="Roboto Mono"/>
          <w:color w:val="0B2545"/>
          <w:sz w:val="20"/>
        </w:rPr>
        <w:t>id</w:t>
      </w:r>
      <w:r>
        <w:rPr>
          <w:rFonts w:ascii="Arial" w:hAnsi="Arial"/>
          <w:color w:val="000000"/>
          <w:sz w:val="22"/>
        </w:rPr>
        <w:t>.</w:t>
      </w:r>
    </w:p>
    <w:p>
      <w:pPr>
        <w:pStyle w:val="ListBullet"/>
        <w:spacing w:before="0" w:after="40" w:line="276" w:lineRule="auto"/>
        <w:ind w:left="540" w:hanging="271"/>
      </w:pPr>
      <w:r>
        <w:rPr>
          <w:rFonts w:ascii="Arial" w:hAnsi="Arial"/>
          <w:color w:val="000000"/>
          <w:sz w:val="22"/>
        </w:rPr>
        <w:t>Check: all row counters are non-negative.</w:t>
      </w:r>
    </w:p>
    <w:p>
      <w:pPr>
        <w:pStyle w:val="ListBullet"/>
        <w:spacing w:before="0" w:after="40" w:line="276" w:lineRule="auto"/>
        <w:ind w:left="540" w:hanging="271"/>
      </w:pPr>
      <w:r>
        <w:rPr>
          <w:rFonts w:ascii="Arial" w:hAnsi="Arial"/>
          <w:color w:val="000000"/>
          <w:sz w:val="22"/>
        </w:rPr>
        <w:t xml:space="preserve">Check: </w:t>
      </w:r>
      <w:r>
        <w:rPr>
          <w:rFonts w:ascii="Roboto Mono" w:hAnsi="Roboto Mono"/>
          <w:color w:val="0B2545"/>
          <w:sz w:val="20"/>
        </w:rPr>
        <w:t>completed_at</w:t>
      </w:r>
      <w:r>
        <w:rPr>
          <w:rFonts w:ascii="Arial" w:hAnsi="Arial"/>
          <w:color w:val="000000"/>
          <w:sz w:val="22"/>
        </w:rPr>
        <w:t xml:space="preserve"> is null only for </w:t>
      </w:r>
      <w:r>
        <w:rPr>
          <w:rFonts w:ascii="Roboto Mono" w:hAnsi="Roboto Mono"/>
          <w:color w:val="0B2545"/>
          <w:sz w:val="20"/>
        </w:rPr>
        <w:t>running</w:t>
      </w:r>
      <w:r>
        <w:rPr>
          <w:rFonts w:ascii="Arial" w:hAnsi="Arial"/>
          <w:color w:val="000000"/>
          <w:sz w:val="22"/>
        </w:rPr>
        <w:t xml:space="preserve"> status, unless a future recovery policy allows otherwise.</w:t>
      </w:r>
    </w:p>
    <w:p>
      <w:pPr>
        <w:pStyle w:val="ListBullet"/>
        <w:spacing w:before="0" w:after="40" w:line="276" w:lineRule="auto"/>
        <w:ind w:left="540" w:hanging="271"/>
      </w:pPr>
      <w:r>
        <w:rPr>
          <w:rFonts w:ascii="Arial" w:hAnsi="Arial"/>
          <w:color w:val="000000"/>
          <w:sz w:val="22"/>
        </w:rPr>
        <w:t xml:space="preserve">Index: </w:t>
      </w:r>
      <w:r>
        <w:rPr>
          <w:rFonts w:ascii="Roboto Mono" w:hAnsi="Roboto Mono"/>
          <w:color w:val="0B2545"/>
          <w:sz w:val="20"/>
        </w:rPr>
        <w:t>(provider, started_at DESC)</w:t>
      </w:r>
      <w:r>
        <w:rPr>
          <w:rFonts w:ascii="Arial" w:hAnsi="Arial"/>
          <w:color w:val="000000"/>
          <w:sz w:val="22"/>
        </w:rPr>
        <w:t>.</w:t>
      </w:r>
    </w:p>
    <w:p>
      <w:pPr>
        <w:pStyle w:val="ListBullet"/>
        <w:spacing w:before="0" w:after="40" w:line="276" w:lineRule="auto"/>
        <w:ind w:left="540" w:hanging="271"/>
      </w:pPr>
      <w:r>
        <w:rPr>
          <w:rFonts w:ascii="Arial" w:hAnsi="Arial"/>
          <w:color w:val="000000"/>
          <w:sz w:val="22"/>
        </w:rPr>
        <w:t xml:space="preserve">Index: </w:t>
      </w:r>
      <w:r>
        <w:rPr>
          <w:rFonts w:ascii="Roboto Mono" w:hAnsi="Roboto Mono"/>
          <w:color w:val="0B2545"/>
          <w:sz w:val="20"/>
        </w:rPr>
        <w:t>(status, started_at DESC)</w:t>
      </w:r>
      <w:r>
        <w:rPr>
          <w:rFonts w:ascii="Arial" w:hAnsi="Arial"/>
          <w:color w:val="000000"/>
          <w:sz w:val="22"/>
        </w:rPr>
        <w:t>.</w:t>
      </w:r>
    </w:p>
    <w:p>
      <w:pPr>
        <w:spacing w:before="0" w:after="120" w:line="300" w:lineRule="auto"/>
      </w:pPr>
      <w:r>
        <w:rPr>
          <w:rFonts w:ascii="Arial" w:hAnsi="Arial"/>
          <w:color w:val="000000"/>
          <w:sz w:val="22"/>
        </w:rPr>
        <w:t xml:space="preserve">An ingestion run may cover multiple symbols or datasets, so its scope is stored in </w:t>
      </w:r>
      <w:r>
        <w:rPr>
          <w:rFonts w:ascii="Roboto Mono" w:hAnsi="Roboto Mono"/>
          <w:color w:val="0B2545"/>
          <w:sz w:val="20"/>
        </w:rPr>
        <w:t>jsonb</w:t>
      </w:r>
      <w:r>
        <w:rPr>
          <w:rFonts w:ascii="Arial" w:hAnsi="Arial"/>
          <w:color w:val="000000"/>
          <w:sz w:val="22"/>
        </w:rPr>
        <w:t xml:space="preserve"> rather than forcing one foreign key to one target row.</w:t>
      </w:r>
    </w:p>
    <w:p>
      <w:pPr>
        <w:pStyle w:val="Heading1"/>
      </w:pPr>
      <w:r>
        <w:rPr>
          <w:rFonts w:ascii="Arial" w:hAnsi="Arial"/>
          <w:color w:val="000000"/>
          <w:sz w:val="32"/>
        </w:rPr>
        <w:t>12. Data-quality rules</w:t>
      </w:r>
    </w:p>
    <w:p>
      <w:pPr>
        <w:spacing w:before="0" w:after="120" w:line="300" w:lineRule="auto"/>
      </w:pPr>
      <w:r>
        <w:rPr>
          <w:rFonts w:ascii="Arial" w:hAnsi="Arial"/>
          <w:color w:val="000000"/>
          <w:sz w:val="22"/>
        </w:rPr>
        <w:t>The database enforces structural rules; the Go normalization layer enforces provider-specific rules before insertion.</w:t>
      </w:r>
    </w:p>
    <w:p>
      <w:pPr>
        <w:pStyle w:val="ListBullet"/>
        <w:spacing w:before="0" w:after="40" w:line="276" w:lineRule="auto"/>
        <w:ind w:left="540" w:hanging="271"/>
      </w:pPr>
      <w:r>
        <w:rPr>
          <w:rFonts w:ascii="Arial" w:hAnsi="Arial"/>
          <w:color w:val="000000"/>
          <w:sz w:val="22"/>
        </w:rPr>
        <w:t>Candle timestamps must be UTC after conversion.</w:t>
      </w:r>
    </w:p>
    <w:p>
      <w:pPr>
        <w:pStyle w:val="ListBullet"/>
        <w:spacing w:before="0" w:after="40" w:line="276" w:lineRule="auto"/>
        <w:ind w:left="540" w:hanging="271"/>
      </w:pPr>
      <w:r>
        <w:rPr>
          <w:rFonts w:ascii="Arial" w:hAnsi="Arial"/>
          <w:color w:val="000000"/>
          <w:sz w:val="22"/>
        </w:rPr>
        <w:t>Candle prices and volumes cannot be negative.</w:t>
      </w:r>
    </w:p>
    <w:p>
      <w:pPr>
        <w:pStyle w:val="ListBullet"/>
        <w:spacing w:before="0" w:after="40" w:line="276" w:lineRule="auto"/>
        <w:ind w:left="540" w:hanging="271"/>
      </w:pPr>
      <w:r>
        <w:rPr>
          <w:rFonts w:ascii="Roboto Mono" w:hAnsi="Roboto Mono"/>
          <w:color w:val="0B2545"/>
          <w:sz w:val="20"/>
        </w:rPr>
        <w:t>high</w:t>
      </w:r>
      <w:r>
        <w:rPr>
          <w:rFonts w:ascii="Arial" w:hAnsi="Arial"/>
          <w:color w:val="000000"/>
          <w:sz w:val="22"/>
        </w:rPr>
        <w:t xml:space="preserve"> must be at least the greater of open and close.</w:t>
      </w:r>
    </w:p>
    <w:p>
      <w:pPr>
        <w:pStyle w:val="ListBullet"/>
        <w:spacing w:before="0" w:after="40" w:line="276" w:lineRule="auto"/>
        <w:ind w:left="540" w:hanging="271"/>
      </w:pPr>
      <w:r>
        <w:rPr>
          <w:rFonts w:ascii="Roboto Mono" w:hAnsi="Roboto Mono"/>
          <w:color w:val="0B2545"/>
          <w:sz w:val="20"/>
        </w:rPr>
        <w:t>low</w:t>
      </w:r>
      <w:r>
        <w:rPr>
          <w:rFonts w:ascii="Arial" w:hAnsi="Arial"/>
          <w:color w:val="000000"/>
          <w:sz w:val="22"/>
        </w:rPr>
        <w:t xml:space="preserve"> must be at most the lesser of open and close.</w:t>
      </w:r>
    </w:p>
    <w:p>
      <w:pPr>
        <w:pStyle w:val="ListBullet"/>
        <w:spacing w:before="0" w:after="40" w:line="276" w:lineRule="auto"/>
        <w:ind w:left="540" w:hanging="271"/>
      </w:pPr>
      <w:r>
        <w:rPr>
          <w:rFonts w:ascii="Arial" w:hAnsi="Arial"/>
          <w:color w:val="000000"/>
          <w:sz w:val="22"/>
        </w:rPr>
        <w:t>A candle must have all common OHLCV values after normalization.</w:t>
      </w:r>
    </w:p>
    <w:p>
      <w:pPr>
        <w:pStyle w:val="ListBullet"/>
        <w:spacing w:before="0" w:after="40" w:line="276" w:lineRule="auto"/>
        <w:ind w:left="540" w:hanging="271"/>
      </w:pPr>
      <w:r>
        <w:rPr>
          <w:rFonts w:ascii="Arial" w:hAnsi="Arial"/>
          <w:color w:val="000000"/>
          <w:sz w:val="22"/>
        </w:rPr>
        <w:t>Macro values must be numeric and their unit must come from the dataset definition.</w:t>
      </w:r>
    </w:p>
    <w:p>
      <w:pPr>
        <w:pStyle w:val="ListBullet"/>
        <w:spacing w:before="0" w:after="40" w:line="276" w:lineRule="auto"/>
        <w:ind w:left="540" w:hanging="271"/>
      </w:pPr>
      <w:r>
        <w:rPr>
          <w:rFonts w:ascii="Arial" w:hAnsi="Arial"/>
          <w:color w:val="000000"/>
          <w:sz w:val="22"/>
        </w:rPr>
        <w:t>Missing source values are not silently converted to zero.</w:t>
      </w:r>
    </w:p>
    <w:p>
      <w:pPr>
        <w:pStyle w:val="ListBullet"/>
        <w:spacing w:before="0" w:after="40" w:line="276" w:lineRule="auto"/>
        <w:ind w:left="540" w:hanging="271"/>
      </w:pPr>
      <w:r>
        <w:rPr>
          <w:rFonts w:ascii="Arial" w:hAnsi="Arial"/>
          <w:color w:val="000000"/>
          <w:sz w:val="22"/>
        </w:rPr>
        <w:t>A source timestamp must be retained or documented when a provider's close boundary is available.</w:t>
      </w:r>
    </w:p>
    <w:p>
      <w:pPr>
        <w:pStyle w:val="ListBullet"/>
        <w:spacing w:before="0" w:after="40" w:line="276" w:lineRule="auto"/>
        <w:ind w:left="540" w:hanging="271"/>
      </w:pPr>
      <w:r>
        <w:rPr>
          <w:rFonts w:ascii="Arial" w:hAnsi="Arial"/>
          <w:color w:val="000000"/>
          <w:sz w:val="22"/>
        </w:rPr>
        <w:t>Provider identity must never be inferred from a human-readable name alone.</w:t>
      </w:r>
    </w:p>
    <w:p>
      <w:pPr>
        <w:pStyle w:val="Heading1"/>
      </w:pPr>
      <w:r>
        <w:rPr>
          <w:rFonts w:ascii="Arial" w:hAnsi="Arial"/>
          <w:color w:val="000000"/>
          <w:sz w:val="32"/>
        </w:rPr>
        <w:t>13. Query patterns the design must support</w:t>
      </w:r>
    </w:p>
    <w:p>
      <w:pPr>
        <w:spacing w:before="0" w:after="120" w:line="300" w:lineRule="auto"/>
      </w:pPr>
      <w:r>
        <w:rPr>
          <w:rFonts w:ascii="Arial" w:hAnsi="Arial"/>
          <w:color w:val="000000"/>
          <w:sz w:val="22"/>
        </w:rPr>
        <w:t>The schema is designed for these Phase 1 queries:</w:t>
      </w:r>
    </w:p>
    <w:p>
      <w:pPr>
        <w:pStyle w:val="ListBullet"/>
        <w:spacing w:before="0" w:after="40" w:line="276" w:lineRule="auto"/>
        <w:ind w:left="540" w:hanging="271"/>
      </w:pPr>
      <w:r>
        <w:rPr>
          <w:rFonts w:ascii="Arial" w:hAnsi="Arial"/>
          <w:color w:val="000000"/>
          <w:sz w:val="22"/>
        </w:rPr>
        <w:t>List active instruments and their provider mappings.</w:t>
      </w:r>
    </w:p>
    <w:p>
      <w:pPr>
        <w:pStyle w:val="ListBullet"/>
        <w:spacing w:before="0" w:after="40" w:line="276" w:lineRule="auto"/>
        <w:ind w:left="540" w:hanging="271"/>
      </w:pPr>
      <w:r>
        <w:rPr>
          <w:rFonts w:ascii="Arial" w:hAnsi="Arial"/>
          <w:color w:val="000000"/>
          <w:sz w:val="22"/>
        </w:rPr>
        <w:t xml:space="preserve">Return candles for one canonical instrument and interval between two UTC timestamps. The repository resolves the canonical symbol through </w:t>
      </w:r>
      <w:r>
        <w:rPr>
          <w:rFonts w:ascii="Roboto Mono" w:hAnsi="Roboto Mono"/>
          <w:color w:val="0B2545"/>
          <w:sz w:val="20"/>
        </w:rPr>
        <w:t>instruments</w:t>
      </w:r>
      <w:r>
        <w:rPr>
          <w:rFonts w:ascii="Arial" w:hAnsi="Arial"/>
          <w:color w:val="000000"/>
          <w:sz w:val="22"/>
        </w:rPr>
        <w:t xml:space="preserve"> and </w:t>
      </w:r>
      <w:r>
        <w:rPr>
          <w:rFonts w:ascii="Roboto Mono" w:hAnsi="Roboto Mono"/>
          <w:color w:val="0B2545"/>
          <w:sz w:val="20"/>
        </w:rPr>
        <w:t>instrument_sources</w:t>
      </w:r>
      <w:r>
        <w:rPr>
          <w:rFonts w:ascii="Arial" w:hAnsi="Arial"/>
          <w:color w:val="000000"/>
          <w:sz w:val="22"/>
        </w:rPr>
        <w:t xml:space="preserve">, then uses the indexed </w:t>
      </w:r>
      <w:r>
        <w:rPr>
          <w:rFonts w:ascii="Roboto Mono" w:hAnsi="Roboto Mono"/>
          <w:color w:val="0B2545"/>
          <w:sz w:val="20"/>
        </w:rPr>
        <w:t>instrument_source_id</w:t>
      </w:r>
      <w:r>
        <w:rPr>
          <w:rFonts w:ascii="Arial" w:hAnsi="Arial"/>
          <w:color w:val="000000"/>
          <w:sz w:val="22"/>
        </w:rPr>
        <w:t xml:space="preserve"> path. A join is acceptable for the initial implementation; a two-step lookup can be evaluated later with query plans if scale requires it.</w:t>
      </w:r>
    </w:p>
    <w:p>
      <w:pPr>
        <w:pStyle w:val="ListBullet"/>
        <w:spacing w:before="0" w:after="40" w:line="276" w:lineRule="auto"/>
        <w:ind w:left="540" w:hanging="271"/>
      </w:pPr>
      <w:r>
        <w:rPr>
          <w:rFonts w:ascii="Arial" w:hAnsi="Arial"/>
          <w:color w:val="000000"/>
          <w:sz w:val="22"/>
        </w:rPr>
        <w:t xml:space="preserve">Return the latest N candles ordered by </w:t>
      </w:r>
      <w:r>
        <w:rPr>
          <w:rFonts w:ascii="Roboto Mono" w:hAnsi="Roboto Mono"/>
          <w:color w:val="0B2545"/>
          <w:sz w:val="20"/>
        </w:rPr>
        <w:t>observed_at</w:t>
      </w:r>
      <w:r>
        <w:rPr>
          <w:rFonts w:ascii="Arial" w:hAnsi="Arial"/>
          <w:color w:val="000000"/>
          <w:sz w:val="22"/>
        </w:rPr>
        <w:t>.</w:t>
      </w:r>
    </w:p>
    <w:p>
      <w:pPr>
        <w:pStyle w:val="ListBullet"/>
        <w:spacing w:before="0" w:after="40" w:line="276" w:lineRule="auto"/>
        <w:ind w:left="540" w:hanging="271"/>
      </w:pPr>
      <w:r>
        <w:rPr>
          <w:rFonts w:ascii="Arial" w:hAnsi="Arial"/>
          <w:color w:val="000000"/>
          <w:sz w:val="22"/>
        </w:rPr>
        <w:t>Return CPI observations between two reference dates.</w:t>
      </w:r>
    </w:p>
    <w:p>
      <w:pPr>
        <w:pStyle w:val="ListBullet"/>
        <w:spacing w:before="0" w:after="40" w:line="276" w:lineRule="auto"/>
        <w:ind w:left="540" w:hanging="271"/>
      </w:pPr>
      <w:r>
        <w:rPr>
          <w:rFonts w:ascii="Arial" w:hAnsi="Arial"/>
          <w:color w:val="000000"/>
          <w:sz w:val="22"/>
        </w:rPr>
        <w:t>Return repo-rate observations with their date meaning.</w:t>
      </w:r>
    </w:p>
    <w:p>
      <w:pPr>
        <w:pStyle w:val="ListBullet"/>
        <w:spacing w:before="0" w:after="40" w:line="276" w:lineRule="auto"/>
        <w:ind w:left="540" w:hanging="271"/>
      </w:pPr>
      <w:r>
        <w:rPr>
          <w:rFonts w:ascii="Arial" w:hAnsi="Arial"/>
          <w:color w:val="000000"/>
          <w:sz w:val="22"/>
        </w:rPr>
        <w:t>Show the latest successful or failed ingestion runs for a provider.</w:t>
      </w:r>
    </w:p>
    <w:p>
      <w:pPr>
        <w:pStyle w:val="ListBullet"/>
        <w:spacing w:before="0" w:after="40" w:line="276" w:lineRule="auto"/>
        <w:ind w:left="540" w:hanging="271"/>
      </w:pPr>
      <w:r>
        <w:rPr>
          <w:rFonts w:ascii="Arial" w:hAnsi="Arial"/>
          <w:color w:val="000000"/>
          <w:sz w:val="22"/>
        </w:rPr>
        <w:t>Compare authoritative and fallback market-source records without merging their identities.</w:t>
      </w:r>
    </w:p>
    <w:p>
      <w:pPr>
        <w:pStyle w:val="Heading1"/>
      </w:pPr>
      <w:r>
        <w:rPr>
          <w:rFonts w:ascii="Arial" w:hAnsi="Arial"/>
          <w:color w:val="000000"/>
          <w:sz w:val="32"/>
        </w:rPr>
        <w:t>14. Transaction and upsert rules</w:t>
      </w:r>
    </w:p>
    <w:p>
      <w:pPr>
        <w:spacing w:before="0" w:after="120" w:line="300" w:lineRule="auto"/>
      </w:pPr>
      <w:r>
        <w:rPr>
          <w:rFonts w:ascii="Arial" w:hAnsi="Arial"/>
          <w:color w:val="000000"/>
          <w:sz w:val="22"/>
        </w:rPr>
        <w:t>Each ingestion batch uses a transaction boundary appropriate to the batch size. Instrument/provider mapping creation and its candle upserts should be committed together when the mapping is created during ingestion. A failed transaction must not leave half of a batch marked as successful.</w:t>
      </w:r>
    </w:p>
    <w:p>
      <w:pPr>
        <w:spacing w:before="0" w:after="120" w:line="300" w:lineRule="auto"/>
      </w:pPr>
      <w:r>
        <w:rPr>
          <w:rFonts w:ascii="Arial" w:hAnsi="Arial"/>
          <w:color w:val="000000"/>
          <w:sz w:val="22"/>
        </w:rPr>
        <w:t xml:space="preserve">The repository records an ingestion run as </w:t>
      </w:r>
      <w:r>
        <w:rPr>
          <w:rFonts w:ascii="Roboto Mono" w:hAnsi="Roboto Mono"/>
          <w:color w:val="0B2545"/>
          <w:sz w:val="20"/>
        </w:rPr>
        <w:t>running</w:t>
      </w:r>
      <w:r>
        <w:rPr>
          <w:rFonts w:ascii="Arial" w:hAnsi="Arial"/>
          <w:color w:val="000000"/>
          <w:sz w:val="22"/>
        </w:rPr>
        <w:t xml:space="preserve">, performs validated inserts/upserts, updates row counts, and closes the run as </w:t>
      </w:r>
      <w:r>
        <w:rPr>
          <w:rFonts w:ascii="Roboto Mono" w:hAnsi="Roboto Mono"/>
          <w:color w:val="0B2545"/>
          <w:sz w:val="20"/>
        </w:rPr>
        <w:t>succeeded</w:t>
      </w:r>
      <w:r>
        <w:rPr>
          <w:rFonts w:ascii="Arial" w:hAnsi="Arial"/>
          <w:color w:val="000000"/>
          <w:sz w:val="22"/>
        </w:rPr>
        <w:t xml:space="preserve">, </w:t>
      </w:r>
      <w:r>
        <w:rPr>
          <w:rFonts w:ascii="Roboto Mono" w:hAnsi="Roboto Mono"/>
          <w:color w:val="0B2545"/>
          <w:sz w:val="20"/>
        </w:rPr>
        <w:t>partial</w:t>
      </w:r>
      <w:r>
        <w:rPr>
          <w:rFonts w:ascii="Arial" w:hAnsi="Arial"/>
          <w:color w:val="000000"/>
          <w:sz w:val="22"/>
        </w:rPr>
        <w:t xml:space="preserve">, or </w:t>
      </w:r>
      <w:r>
        <w:rPr>
          <w:rFonts w:ascii="Roboto Mono" w:hAnsi="Roboto Mono"/>
          <w:color w:val="0B2545"/>
          <w:sz w:val="20"/>
        </w:rPr>
        <w:t>failed</w:t>
      </w:r>
      <w:r>
        <w:rPr>
          <w:rFonts w:ascii="Arial" w:hAnsi="Arial"/>
          <w:color w:val="000000"/>
          <w:sz w:val="22"/>
        </w:rPr>
        <w:t xml:space="preserve">. A network or parser error must be stored in </w:t>
      </w:r>
      <w:r>
        <w:rPr>
          <w:rFonts w:ascii="Roboto Mono" w:hAnsi="Roboto Mono"/>
          <w:color w:val="0B2545"/>
          <w:sz w:val="20"/>
        </w:rPr>
        <w:t>error_message</w:t>
      </w:r>
      <w:r>
        <w:rPr>
          <w:rFonts w:ascii="Arial" w:hAnsi="Arial"/>
          <w:color w:val="000000"/>
          <w:sz w:val="22"/>
        </w:rPr>
        <w:t xml:space="preserve"> and returned to the command layer.</w:t>
      </w:r>
    </w:p>
    <w:p>
      <w:pPr>
        <w:spacing w:before="0" w:after="120" w:line="300" w:lineRule="auto"/>
      </w:pPr>
      <w:r>
        <w:rPr>
          <w:rFonts w:ascii="Arial" w:hAnsi="Arial"/>
          <w:color w:val="000000"/>
          <w:sz w:val="22"/>
        </w:rPr>
        <w:t>Upserts must target the explicit unique keys. They must not use a broad delete-and-reload strategy because historical data and auditability should survive a partial provider failure.</w:t>
      </w:r>
    </w:p>
    <w:p>
      <w:pPr>
        <w:pStyle w:val="Heading1"/>
      </w:pPr>
      <w:r>
        <w:rPr>
          <w:rFonts w:ascii="Arial" w:hAnsi="Arial"/>
          <w:color w:val="000000"/>
          <w:sz w:val="32"/>
        </w:rPr>
        <w:t>15. Deletion and retention policy</w:t>
      </w:r>
    </w:p>
    <w:p>
      <w:pPr>
        <w:spacing w:before="0" w:after="120" w:line="300" w:lineRule="auto"/>
      </w:pPr>
      <w:r>
        <w:rPr>
          <w:rFonts w:ascii="Arial" w:hAnsi="Arial"/>
          <w:color w:val="000000"/>
          <w:sz w:val="22"/>
        </w:rPr>
        <w:t xml:space="preserve">Phase 1 does not automatically delete market or macro observations. Instruments, provider mappings, and dataset definitions are deactivated with </w:t>
      </w:r>
      <w:r>
        <w:rPr>
          <w:rFonts w:ascii="Roboto Mono" w:hAnsi="Roboto Mono"/>
          <w:color w:val="0B2545"/>
          <w:sz w:val="20"/>
        </w:rPr>
        <w:t>is_active=false</w:t>
      </w:r>
      <w:r>
        <w:rPr>
          <w:rFonts w:ascii="Arial" w:hAnsi="Arial"/>
          <w:color w:val="000000"/>
          <w:sz w:val="22"/>
        </w:rPr>
        <w:t xml:space="preserve"> rather than deleted. Foreign keys use restricted deletion so a metadata cleanup cannot accidentally remove historical observations.</w:t>
      </w:r>
    </w:p>
    <w:p>
      <w:pPr>
        <w:spacing w:before="0" w:after="120" w:line="300" w:lineRule="auto"/>
      </w:pPr>
      <w:r>
        <w:rPr>
          <w:rFonts w:ascii="Arial" w:hAnsi="Arial"/>
          <w:color w:val="000000"/>
          <w:sz w:val="22"/>
        </w:rPr>
        <w:t>Raw fixtures may be replaced when a better sanitized sample is captured, but normalized database rows are retained unless a deliberate migration or correction process is documented.</w:t>
      </w:r>
    </w:p>
    <w:p>
      <w:pPr>
        <w:pStyle w:val="Heading1"/>
      </w:pPr>
      <w:r>
        <w:rPr>
          <w:rFonts w:ascii="Arial" w:hAnsi="Arial"/>
          <w:color w:val="000000"/>
          <w:sz w:val="32"/>
        </w:rPr>
        <w:t>16. Migration plan</w:t>
      </w:r>
    </w:p>
    <w:p>
      <w:pPr>
        <w:spacing w:before="0" w:after="120" w:line="300" w:lineRule="auto"/>
      </w:pPr>
      <w:r>
        <w:rPr>
          <w:rFonts w:ascii="Arial" w:hAnsi="Arial"/>
          <w:color w:val="000000"/>
          <w:sz w:val="22"/>
        </w:rPr>
        <w:t>The proposed migration sequence is:</w:t>
      </w:r>
    </w:p>
    <w:p>
      <w:pPr>
        <w:numPr>
          <w:ilvl w:val="0"/>
          <w:numId w:val="11"/>
        </w:numPr>
        <w:spacing w:before="0" w:after="40" w:line="276" w:lineRule="auto"/>
        <w:ind w:left="540" w:hanging="271"/>
      </w:pPr>
      <w:r>
        <w:rPr>
          <w:rFonts w:ascii="Roboto Mono" w:hAnsi="Roboto Mono"/>
          <w:color w:val="0B2545"/>
          <w:sz w:val="20"/>
        </w:rPr>
        <w:t>001_create_instruments.sql</w:t>
      </w:r>
      <w:r>
        <w:rPr>
          <w:rFonts w:ascii="Arial" w:hAnsi="Arial"/>
          <w:color w:val="000000"/>
          <w:sz w:val="22"/>
        </w:rPr>
        <w:t xml:space="preserve">: create </w:t>
      </w:r>
      <w:r>
        <w:rPr>
          <w:rFonts w:ascii="Roboto Mono" w:hAnsi="Roboto Mono"/>
          <w:color w:val="0B2545"/>
          <w:sz w:val="20"/>
        </w:rPr>
        <w:t>instruments</w:t>
      </w:r>
      <w:r>
        <w:rPr>
          <w:rFonts w:ascii="Arial" w:hAnsi="Arial"/>
          <w:color w:val="000000"/>
          <w:sz w:val="22"/>
        </w:rPr>
        <w:t xml:space="preserve"> and base constraints.</w:t>
      </w:r>
    </w:p>
    <w:p>
      <w:pPr>
        <w:numPr>
          <w:ilvl w:val="0"/>
          <w:numId w:val="11"/>
        </w:numPr>
        <w:spacing w:before="0" w:after="40" w:line="276" w:lineRule="auto"/>
        <w:ind w:left="540" w:hanging="271"/>
      </w:pPr>
      <w:r>
        <w:rPr>
          <w:rFonts w:ascii="Roboto Mono" w:hAnsi="Roboto Mono"/>
          <w:color w:val="0B2545"/>
          <w:sz w:val="20"/>
        </w:rPr>
        <w:t>002_create_instrument_sources.sql</w:t>
      </w:r>
      <w:r>
        <w:rPr>
          <w:rFonts w:ascii="Arial" w:hAnsi="Arial"/>
          <w:color w:val="000000"/>
          <w:sz w:val="22"/>
        </w:rPr>
        <w:t>: create provider mappings and foreign keys.</w:t>
      </w:r>
    </w:p>
    <w:p>
      <w:pPr>
        <w:numPr>
          <w:ilvl w:val="0"/>
          <w:numId w:val="11"/>
        </w:numPr>
        <w:spacing w:before="0" w:after="40" w:line="276" w:lineRule="auto"/>
        <w:ind w:left="540" w:hanging="271"/>
      </w:pPr>
      <w:r>
        <w:rPr>
          <w:rFonts w:ascii="Roboto Mono" w:hAnsi="Roboto Mono"/>
          <w:color w:val="0B2545"/>
          <w:sz w:val="20"/>
        </w:rPr>
        <w:t>003_create_market_candles.sql</w:t>
      </w:r>
      <w:r>
        <w:rPr>
          <w:rFonts w:ascii="Arial" w:hAnsi="Arial"/>
          <w:color w:val="000000"/>
          <w:sz w:val="22"/>
        </w:rPr>
        <w:t>: create OHLCV storage, checks, unique key, and indexes.</w:t>
      </w:r>
    </w:p>
    <w:p>
      <w:pPr>
        <w:numPr>
          <w:ilvl w:val="0"/>
          <w:numId w:val="11"/>
        </w:numPr>
        <w:spacing w:before="0" w:after="40" w:line="276" w:lineRule="auto"/>
        <w:ind w:left="540" w:hanging="271"/>
      </w:pPr>
      <w:r>
        <w:rPr>
          <w:rFonts w:ascii="Roboto Mono" w:hAnsi="Roboto Mono"/>
          <w:color w:val="0B2545"/>
          <w:sz w:val="20"/>
        </w:rPr>
        <w:t>004_create_macro_datasets.sql</w:t>
      </w:r>
      <w:r>
        <w:rPr>
          <w:rFonts w:ascii="Arial" w:hAnsi="Arial"/>
          <w:color w:val="000000"/>
          <w:sz w:val="22"/>
        </w:rPr>
        <w:t>: create macro-series definitions.</w:t>
      </w:r>
    </w:p>
    <w:p>
      <w:pPr>
        <w:numPr>
          <w:ilvl w:val="0"/>
          <w:numId w:val="11"/>
        </w:numPr>
        <w:spacing w:before="0" w:after="40" w:line="276" w:lineRule="auto"/>
        <w:ind w:left="540" w:hanging="271"/>
      </w:pPr>
      <w:r>
        <w:rPr>
          <w:rFonts w:ascii="Roboto Mono" w:hAnsi="Roboto Mono"/>
          <w:color w:val="0B2545"/>
          <w:sz w:val="20"/>
        </w:rPr>
        <w:t>005_create_macro_observations.sql</w:t>
      </w:r>
      <w:r>
        <w:rPr>
          <w:rFonts w:ascii="Arial" w:hAnsi="Arial"/>
          <w:color w:val="000000"/>
          <w:sz w:val="22"/>
        </w:rPr>
        <w:t>: create observations, unique key, and indexes.</w:t>
      </w:r>
    </w:p>
    <w:p>
      <w:pPr>
        <w:numPr>
          <w:ilvl w:val="0"/>
          <w:numId w:val="11"/>
        </w:numPr>
        <w:spacing w:before="0" w:after="40" w:line="276" w:lineRule="auto"/>
        <w:ind w:left="540" w:hanging="271"/>
      </w:pPr>
      <w:r>
        <w:rPr>
          <w:rFonts w:ascii="Roboto Mono" w:hAnsi="Roboto Mono"/>
          <w:color w:val="0B2545"/>
          <w:sz w:val="20"/>
        </w:rPr>
        <w:t>006_create_ingestion_runs.sql</w:t>
      </w:r>
      <w:r>
        <w:rPr>
          <w:rFonts w:ascii="Arial" w:hAnsi="Arial"/>
          <w:color w:val="000000"/>
          <w:sz w:val="22"/>
        </w:rPr>
        <w:t>: create operational audit storage.</w:t>
      </w:r>
    </w:p>
    <w:p>
      <w:pPr>
        <w:numPr>
          <w:ilvl w:val="0"/>
          <w:numId w:val="11"/>
        </w:numPr>
        <w:spacing w:before="0" w:after="40" w:line="276" w:lineRule="auto"/>
        <w:ind w:left="540" w:hanging="271"/>
      </w:pPr>
      <w:r>
        <w:rPr>
          <w:rFonts w:ascii="Roboto Mono" w:hAnsi="Roboto Mono"/>
          <w:color w:val="0B2545"/>
          <w:sz w:val="20"/>
        </w:rPr>
        <w:t>007_seed_initial_definitions.sql</w:t>
      </w:r>
      <w:r>
        <w:rPr>
          <w:rFonts w:ascii="Arial" w:hAnsi="Arial"/>
          <w:color w:val="000000"/>
          <w:sz w:val="22"/>
        </w:rPr>
        <w:t>: seed the selected instruments and macro dataset definitions without secrets.</w:t>
      </w:r>
    </w:p>
    <w:p>
      <w:pPr>
        <w:spacing w:before="0" w:after="120" w:line="300" w:lineRule="auto"/>
      </w:pPr>
      <w:r>
        <w:rPr>
          <w:rFonts w:ascii="Arial" w:hAnsi="Arial"/>
          <w:color w:val="000000"/>
          <w:sz w:val="22"/>
        </w:rPr>
        <w:t>Each migration must be executable in order on a clean database and must be tested against the Docker PostgreSQL instance. Seed data belongs in a separate migration or seed command so schema creation remains independent from changing source selections.</w:t>
      </w:r>
    </w:p>
    <w:p>
      <w:pPr>
        <w:pStyle w:val="Heading1"/>
      </w:pPr>
      <w:r>
        <w:rPr>
          <w:rFonts w:ascii="Arial" w:hAnsi="Arial"/>
          <w:color w:val="000000"/>
          <w:sz w:val="32"/>
        </w:rPr>
        <w:t>17. Example normalized records</w:t>
      </w:r>
    </w:p>
    <w:p>
      <w:pPr>
        <w:pStyle w:val="Heading2"/>
      </w:pPr>
      <w:r>
        <w:rPr>
          <w:rFonts w:ascii="Arial" w:hAnsi="Arial"/>
          <w:color w:val="000000"/>
          <w:sz w:val="26"/>
        </w:rPr>
        <w:t>Market candle</w:t>
      </w:r>
    </w:p>
    <w:p>
      <w:pPr>
        <w:spacing w:before="40" w:after="160" w:line="240" w:lineRule="auto"/>
        <w:ind w:left="288"/>
      </w:pPr>
      <w:r>
        <w:rPr>
          <w:rFonts w:ascii="Roboto Mono" w:hAnsi="Roboto Mono"/>
          <w:color w:val="0B2545"/>
          <w:sz w:val="18"/>
        </w:rPr>
        <w:t>instrument: BTCUSDT</w:t>
        <w:br/>
        <w:t>provider: binance</w:t>
        <w:br/>
        <w:t>interval: 1d</w:t>
        <w:br/>
        <w:t>observed_at: 2026-08-06T00:00:00Z</w:t>
        <w:br/>
        <w:t>open: 64665.24000000</w:t>
        <w:br/>
        <w:t>high: 64999.00000000</w:t>
        <w:br/>
        <w:t>low: 64172.00000000</w:t>
        <w:br/>
        <w:t>close: 64323.61000000</w:t>
        <w:br/>
        <w:t>volume: 9864.43284000</w:t>
      </w:r>
    </w:p>
    <w:p>
      <w:pPr>
        <w:pStyle w:val="Heading2"/>
      </w:pPr>
      <w:r>
        <w:rPr>
          <w:rFonts w:ascii="Arial" w:hAnsi="Arial"/>
          <w:color w:val="000000"/>
          <w:sz w:val="26"/>
        </w:rPr>
        <w:t>Macro observation</w:t>
      </w:r>
    </w:p>
    <w:p>
      <w:pPr>
        <w:spacing w:before="40" w:after="160" w:line="240" w:lineRule="auto"/>
        <w:ind w:left="288"/>
      </w:pPr>
      <w:r>
        <w:rPr>
          <w:rFonts w:ascii="Roboto Mono" w:hAnsi="Roboto Mono"/>
          <w:color w:val="0B2545"/>
          <w:sz w:val="18"/>
        </w:rPr>
        <w:t>dataset: rbi_cpi_combined_yoy</w:t>
        <w:br/>
        <w:t>observed_on: 2026-01-01</w:t>
        <w:br/>
        <w:t>value: 2.73</w:t>
        <w:br/>
        <w:t>unit: percent</w:t>
        <w:br/>
        <w:t>observation_type: reference_period</w:t>
      </w:r>
    </w:p>
    <w:p>
      <w:pPr>
        <w:pStyle w:val="Heading2"/>
      </w:pPr>
      <w:r>
        <w:rPr>
          <w:rFonts w:ascii="Arial" w:hAnsi="Arial"/>
          <w:color w:val="000000"/>
          <w:sz w:val="26"/>
        </w:rPr>
        <w:t>Ingestion run</w:t>
      </w:r>
    </w:p>
    <w:p>
      <w:pPr>
        <w:spacing w:before="40" w:after="160" w:line="240" w:lineRule="auto"/>
        <w:ind w:left="288"/>
      </w:pPr>
      <w:r>
        <w:rPr>
          <w:rFonts w:ascii="Roboto Mono" w:hAnsi="Roboto Mono"/>
          <w:color w:val="0B2545"/>
          <w:sz w:val="18"/>
        </w:rPr>
        <w:t>run_type: market_api</w:t>
        <w:br/>
        <w:t>provider: binance</w:t>
        <w:br/>
        <w:t>status: succeeded</w:t>
        <w:br/>
        <w:t>rows_received: 5</w:t>
        <w:br/>
        <w:t>rows_inserted: 5</w:t>
        <w:br/>
        <w:t>rows_updated: 0</w:t>
        <w:br/>
        <w:t>rows_rejected: 0</w:t>
      </w:r>
    </w:p>
    <w:p>
      <w:pPr>
        <w:pStyle w:val="Heading1"/>
      </w:pPr>
      <w:r>
        <w:rPr>
          <w:rFonts w:ascii="Arial" w:hAnsi="Arial"/>
          <w:color w:val="000000"/>
          <w:sz w:val="32"/>
        </w:rPr>
        <w:t>18. Locked decisions before migrations</w:t>
      </w:r>
    </w:p>
    <w:p>
      <w:pPr>
        <w:pStyle w:val="ListBullet"/>
        <w:spacing w:before="0" w:after="40" w:line="276" w:lineRule="auto"/>
        <w:ind w:left="540" w:hanging="271"/>
      </w:pPr>
      <w:r>
        <w:rPr>
          <w:rFonts w:ascii="Arial" w:hAnsi="Arial"/>
          <w:color w:val="000000"/>
          <w:sz w:val="22"/>
        </w:rPr>
        <w:t xml:space="preserve">Canonical symbols are normalized to uppercase before insertion and lookup. The database enforces this with </w:t>
      </w:r>
      <w:r>
        <w:rPr>
          <w:rFonts w:ascii="Roboto Mono" w:hAnsi="Roboto Mono"/>
          <w:color w:val="0B2545"/>
          <w:sz w:val="20"/>
        </w:rPr>
        <w:t>CHECK (canonical_symbol = upper(canonical_symbol))</w:t>
      </w:r>
      <w:r>
        <w:rPr>
          <w:rFonts w:ascii="Arial" w:hAnsi="Arial"/>
          <w:color w:val="000000"/>
          <w:sz w:val="22"/>
        </w:rPr>
        <w:t xml:space="preserve">. Provider symbols retain the provider's exact format, such as </w:t>
      </w:r>
      <w:r>
        <w:rPr>
          <w:rFonts w:ascii="Roboto Mono" w:hAnsi="Roboto Mono"/>
          <w:color w:val="0B2545"/>
          <w:sz w:val="20"/>
        </w:rPr>
        <w:t>SBIN.NS</w:t>
      </w:r>
      <w:r>
        <w:rPr>
          <w:rFonts w:ascii="Arial" w:hAnsi="Arial"/>
          <w:color w:val="000000"/>
          <w:sz w:val="22"/>
        </w:rPr>
        <w:t>.</w:t>
      </w:r>
    </w:p>
    <w:p>
      <w:pPr>
        <w:pStyle w:val="ListBullet"/>
        <w:spacing w:before="0" w:after="40" w:line="276" w:lineRule="auto"/>
        <w:ind w:left="540" w:hanging="271"/>
      </w:pPr>
      <w:r>
        <w:rPr>
          <w:rFonts w:ascii="Arial" w:hAnsi="Arial"/>
          <w:color w:val="000000"/>
          <w:sz w:val="22"/>
        </w:rPr>
        <w:t>The final Phase 1 instrument list and provider mappings.</w:t>
      </w:r>
    </w:p>
    <w:p>
      <w:pPr>
        <w:pStyle w:val="ListBullet"/>
        <w:spacing w:before="0" w:after="40" w:line="276" w:lineRule="auto"/>
        <w:ind w:left="540" w:hanging="271"/>
      </w:pPr>
      <w:r>
        <w:rPr>
          <w:rFonts w:ascii="Roboto Mono" w:hAnsi="Roboto Mono"/>
          <w:color w:val="0B2545"/>
          <w:sz w:val="20"/>
        </w:rPr>
        <w:t>quote_volume</w:t>
      </w:r>
      <w:r>
        <w:rPr>
          <w:rFonts w:ascii="Arial" w:hAnsi="Arial"/>
          <w:color w:val="000000"/>
          <w:sz w:val="22"/>
        </w:rPr>
        <w:t xml:space="preserve">, </w:t>
      </w:r>
      <w:r>
        <w:rPr>
          <w:rFonts w:ascii="Roboto Mono" w:hAnsi="Roboto Mono"/>
          <w:color w:val="0B2545"/>
          <w:sz w:val="20"/>
        </w:rPr>
        <w:t>trade_count</w:t>
      </w:r>
      <w:r>
        <w:rPr>
          <w:rFonts w:ascii="Arial" w:hAnsi="Arial"/>
          <w:color w:val="000000"/>
          <w:sz w:val="22"/>
        </w:rPr>
        <w:t xml:space="preserve">, </w:t>
      </w:r>
      <w:r>
        <w:rPr>
          <w:rFonts w:ascii="Roboto Mono" w:hAnsi="Roboto Mono"/>
          <w:color w:val="0B2545"/>
          <w:sz w:val="20"/>
        </w:rPr>
        <w:t>taker_buy_volume</w:t>
      </w:r>
      <w:r>
        <w:rPr>
          <w:rFonts w:ascii="Arial" w:hAnsi="Arial"/>
          <w:color w:val="000000"/>
          <w:sz w:val="22"/>
        </w:rPr>
        <w:t xml:space="preserve">, and </w:t>
      </w:r>
      <w:r>
        <w:rPr>
          <w:rFonts w:ascii="Roboto Mono" w:hAnsi="Roboto Mono"/>
          <w:color w:val="0B2545"/>
          <w:sz w:val="20"/>
        </w:rPr>
        <w:t>taker_buy_quote_volume</w:t>
      </w:r>
      <w:r>
        <w:rPr>
          <w:rFonts w:ascii="Arial" w:hAnsi="Arial"/>
          <w:color w:val="000000"/>
          <w:sz w:val="22"/>
        </w:rPr>
        <w:t xml:space="preserve"> remain explicit nullable columns in the first migration. They are Binance-specific, but explicit typed columns are more useful for Phase 1 validation and learning. A future </w:t>
      </w:r>
      <w:r>
        <w:rPr>
          <w:rFonts w:ascii="Roboto Mono" w:hAnsi="Roboto Mono"/>
          <w:color w:val="0B2545"/>
          <w:sz w:val="20"/>
        </w:rPr>
        <w:t>source_metadata jsonb</w:t>
      </w:r>
      <w:r>
        <w:rPr>
          <w:rFonts w:ascii="Arial" w:hAnsi="Arial"/>
          <w:color w:val="000000"/>
          <w:sz w:val="22"/>
        </w:rPr>
        <w:t xml:space="preserve"> column may be added for less common fields.</w:t>
      </w:r>
    </w:p>
    <w:p>
      <w:pPr>
        <w:pStyle w:val="ListBullet"/>
        <w:spacing w:before="0" w:after="40" w:line="276" w:lineRule="auto"/>
        <w:ind w:left="540" w:hanging="271"/>
      </w:pPr>
      <w:r>
        <w:rPr>
          <w:rFonts w:ascii="Roboto Mono" w:hAnsi="Roboto Mono"/>
          <w:color w:val="0B2545"/>
          <w:sz w:val="20"/>
        </w:rPr>
        <w:t>instrument_sources</w:t>
      </w:r>
      <w:r>
        <w:rPr>
          <w:rFonts w:ascii="Arial" w:hAnsi="Arial"/>
          <w:color w:val="000000"/>
          <w:sz w:val="22"/>
        </w:rPr>
        <w:t xml:space="preserve"> uses a partial unique index on </w:t>
      </w:r>
      <w:r>
        <w:rPr>
          <w:rFonts w:ascii="Roboto Mono" w:hAnsi="Roboto Mono"/>
          <w:color w:val="0B2545"/>
          <w:sz w:val="20"/>
        </w:rPr>
        <w:t>(provider, provider_instrument_id)</w:t>
      </w:r>
      <w:r>
        <w:rPr>
          <w:rFonts w:ascii="Arial" w:hAnsi="Arial"/>
          <w:color w:val="000000"/>
          <w:sz w:val="22"/>
        </w:rPr>
        <w:t xml:space="preserve"> where the token is not null.</w:t>
      </w:r>
    </w:p>
    <w:p>
      <w:pPr>
        <w:pStyle w:val="ListBullet"/>
        <w:spacing w:before="0" w:after="40" w:line="276" w:lineRule="auto"/>
        <w:ind w:left="540" w:hanging="271"/>
      </w:pPr>
      <w:r>
        <w:rPr>
          <w:rFonts w:ascii="Roboto Mono" w:hAnsi="Roboto Mono"/>
          <w:color w:val="0B2545"/>
          <w:sz w:val="20"/>
        </w:rPr>
        <w:t>instrument_sources</w:t>
      </w:r>
      <w:r>
        <w:rPr>
          <w:rFonts w:ascii="Arial" w:hAnsi="Arial"/>
          <w:color w:val="000000"/>
          <w:sz w:val="22"/>
        </w:rPr>
        <w:t xml:space="preserve"> uses a partial unique index on </w:t>
      </w:r>
      <w:r>
        <w:rPr>
          <w:rFonts w:ascii="Roboto Mono" w:hAnsi="Roboto Mono"/>
          <w:color w:val="0B2545"/>
          <w:sz w:val="20"/>
        </w:rPr>
        <w:t>(instrument_id)</w:t>
      </w:r>
      <w:r>
        <w:rPr>
          <w:rFonts w:ascii="Arial" w:hAnsi="Arial"/>
          <w:color w:val="000000"/>
          <w:sz w:val="22"/>
        </w:rPr>
        <w:t xml:space="preserve"> where </w:t>
      </w:r>
      <w:r>
        <w:rPr>
          <w:rFonts w:ascii="Roboto Mono" w:hAnsi="Roboto Mono"/>
          <w:color w:val="0B2545"/>
          <w:sz w:val="20"/>
        </w:rPr>
        <w:t>is_authoritative = TRUE</w:t>
      </w:r>
      <w:r>
        <w:rPr>
          <w:rFonts w:ascii="Arial" w:hAnsi="Arial"/>
          <w:color w:val="000000"/>
          <w:sz w:val="22"/>
        </w:rPr>
        <w:t>, ensuring one authoritative mapping per canonical instrument.</w:t>
      </w:r>
    </w:p>
    <w:p>
      <w:pPr>
        <w:pStyle w:val="ListBullet"/>
        <w:spacing w:before="0" w:after="40" w:line="276" w:lineRule="auto"/>
        <w:ind w:left="540" w:hanging="271"/>
      </w:pPr>
      <w:r>
        <w:rPr>
          <w:rFonts w:ascii="Arial" w:hAnsi="Arial"/>
          <w:color w:val="000000"/>
          <w:sz w:val="22"/>
        </w:rPr>
        <w:t>The exact official downloadable seed source for CPI and repo rate; the RBI dashboard has been verified but did not provide a CSV export in the reviewed view.</w:t>
      </w:r>
    </w:p>
    <w:p>
      <w:pPr>
        <w:pStyle w:val="ListBullet"/>
        <w:spacing w:before="0" w:after="40" w:line="276" w:lineRule="auto"/>
        <w:ind w:left="540" w:hanging="271"/>
      </w:pPr>
      <w:r>
        <w:rPr>
          <w:rFonts w:ascii="Arial" w:hAnsi="Arial"/>
          <w:color w:val="000000"/>
          <w:sz w:val="22"/>
        </w:rPr>
        <w:t xml:space="preserve">Macro dates remain SQL </w:t>
      </w:r>
      <w:r>
        <w:rPr>
          <w:rFonts w:ascii="Roboto Mono" w:hAnsi="Roboto Mono"/>
          <w:color w:val="0B2545"/>
          <w:sz w:val="20"/>
        </w:rPr>
        <w:t>date</w:t>
      </w:r>
      <w:r>
        <w:rPr>
          <w:rFonts w:ascii="Arial" w:hAnsi="Arial"/>
          <w:color w:val="000000"/>
          <w:sz w:val="22"/>
        </w:rPr>
        <w:t xml:space="preserve"> values and are serialized by the Go API as ISO-8601 strings in </w:t>
      </w:r>
      <w:r>
        <w:rPr>
          <w:rFonts w:ascii="Roboto Mono" w:hAnsi="Roboto Mono"/>
          <w:color w:val="0B2545"/>
          <w:sz w:val="20"/>
        </w:rPr>
        <w:t>YYYY-MM-DD</w:t>
      </w:r>
      <w:r>
        <w:rPr>
          <w:rFonts w:ascii="Arial" w:hAnsi="Arial"/>
          <w:color w:val="000000"/>
          <w:sz w:val="22"/>
        </w:rPr>
        <w:t xml:space="preserve"> format. The API does not convert them to UTC midnight.</w:t>
      </w:r>
    </w:p>
    <w:p>
      <w:pPr>
        <w:spacing w:before="0" w:after="120" w:line="300" w:lineRule="auto"/>
      </w:pPr>
      <w:r>
        <w:rPr>
          <w:rFonts w:ascii="Arial" w:hAnsi="Arial"/>
          <w:color w:val="000000"/>
          <w:sz w:val="22"/>
        </w:rPr>
        <w:t>These decisions do not change the core relationship model. They should be recorded in the migration README before implementation.</w:t>
      </w:r>
    </w:p>
    <w:p>
      <w:pPr>
        <w:pStyle w:val="Heading1"/>
      </w:pPr>
      <w:r>
        <w:rPr>
          <w:rFonts w:ascii="Arial" w:hAnsi="Arial"/>
          <w:color w:val="000000"/>
          <w:sz w:val="32"/>
        </w:rPr>
        <w:t>19. Design checkpoint</w:t>
      </w:r>
    </w:p>
    <w:p>
      <w:pPr>
        <w:spacing w:before="0" w:after="120" w:line="300" w:lineRule="auto"/>
      </w:pPr>
      <w:r>
        <w:rPr>
          <w:rFonts w:ascii="Arial" w:hAnsi="Arial"/>
          <w:color w:val="000000"/>
          <w:sz w:val="22"/>
        </w:rPr>
        <w:t>The database design is ready for review and migration implementation when the team can explain:</w:t>
      </w:r>
    </w:p>
    <w:p>
      <w:pPr>
        <w:pStyle w:val="ListBullet"/>
        <w:spacing w:before="0" w:after="40" w:line="276" w:lineRule="auto"/>
        <w:ind w:left="540" w:hanging="271"/>
      </w:pPr>
      <w:r>
        <w:rPr>
          <w:rFonts w:ascii="Arial" w:hAnsi="Arial"/>
          <w:color w:val="000000"/>
          <w:sz w:val="22"/>
        </w:rPr>
        <w:t>Why provider mappings are separate from canonical instruments.</w:t>
      </w:r>
    </w:p>
    <w:p>
      <w:pPr>
        <w:pStyle w:val="ListBullet"/>
        <w:spacing w:before="0" w:after="40" w:line="276" w:lineRule="auto"/>
        <w:ind w:left="540" w:hanging="271"/>
      </w:pPr>
      <w:r>
        <w:rPr>
          <w:rFonts w:ascii="Arial" w:hAnsi="Arial"/>
          <w:color w:val="000000"/>
          <w:sz w:val="22"/>
        </w:rPr>
        <w:t>Why market candles and macro observations are separate.</w:t>
      </w:r>
    </w:p>
    <w:p>
      <w:pPr>
        <w:pStyle w:val="ListBullet"/>
        <w:spacing w:before="0" w:after="40" w:line="276" w:lineRule="auto"/>
        <w:ind w:left="540" w:hanging="271"/>
      </w:pPr>
      <w:r>
        <w:rPr>
          <w:rFonts w:ascii="Arial" w:hAnsi="Arial"/>
          <w:color w:val="000000"/>
          <w:sz w:val="22"/>
        </w:rPr>
        <w:t>Which unique keys make ingestion idempotent.</w:t>
      </w:r>
    </w:p>
    <w:p>
      <w:pPr>
        <w:pStyle w:val="ListBullet"/>
        <w:spacing w:before="0" w:after="40" w:line="276" w:lineRule="auto"/>
        <w:ind w:left="540" w:hanging="271"/>
      </w:pPr>
      <w:r>
        <w:rPr>
          <w:rFonts w:ascii="Arial" w:hAnsi="Arial"/>
          <w:color w:val="000000"/>
          <w:sz w:val="22"/>
        </w:rPr>
        <w:t>How timestamps and macro reference dates differ.</w:t>
      </w:r>
    </w:p>
    <w:p>
      <w:pPr>
        <w:pStyle w:val="ListBullet"/>
        <w:spacing w:before="0" w:after="40" w:line="276" w:lineRule="auto"/>
        <w:ind w:left="540" w:hanging="271"/>
      </w:pPr>
      <w:r>
        <w:rPr>
          <w:rFonts w:ascii="Arial" w:hAnsi="Arial"/>
          <w:color w:val="000000"/>
          <w:sz w:val="22"/>
        </w:rPr>
        <w:t>Which constraints protect OHLCV data quality.</w:t>
      </w:r>
    </w:p>
    <w:p>
      <w:pPr>
        <w:pStyle w:val="ListBullet"/>
        <w:spacing w:before="0" w:after="40" w:line="276" w:lineRule="auto"/>
        <w:ind w:left="540" w:hanging="271"/>
      </w:pPr>
      <w:r>
        <w:rPr>
          <w:rFonts w:ascii="Arial" w:hAnsi="Arial"/>
          <w:color w:val="000000"/>
          <w:sz w:val="22"/>
        </w:rPr>
        <w:t>How an ingestion run explains a failed or partial load.</w:t>
      </w:r>
    </w:p>
    <w:sectPr w:rsidR="00FC693F" w:rsidRPr="0006063C" w:rsidSect="00034616">
      <w:pgSz w:w="11906" w:h="16838"/>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ind w:left="540" w:hanging="270"/>
      </w:pPr>
    </w:lvl>
  </w:abstractNum>
  <w:num w:numId="10">
    <w:abstractNumId w:val="9"/>
  </w:num>
  <w:abstractNum w:abstractNumId="10">
    <w:multiLevelType w:val="singleLevel"/>
    <w:lvl w:ilvl="0">
      <w:start w:val="1"/>
      <w:numFmt w:val="decimal"/>
      <w:lvlText w:val="%1."/>
      <w:lvlJc w:val="left"/>
      <w:pPr>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ind w:left="540" w:hanging="271"/>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76" w:lineRule="auto"/>
      <w:ind w:left="540" w:hanging="271"/>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MoneyPlant Phase 1 Database Design</dc:title>
  <dc:subject>Proposed PostgreSQL schema, relationships, constraints, and implementation decisions</dc:subject>
  <dc:creator>MoneyPlant</dc:creator>
  <cp:keywords>MoneyPlant, data engineering, data sources, PostgreSQL</cp:keywords>
  <dc:description>generated by python-docx</dc:description>
  <cp:lastModifiedBy/>
  <cp:revision>1</cp:revision>
  <dcterms:created xsi:type="dcterms:W3CDTF">2013-12-23T23:15:00Z</dcterms:created>
  <dcterms:modified xsi:type="dcterms:W3CDTF">2013-12-23T23:15:00Z</dcterms:modified>
  <cp:category/>
</cp:coreProperties>
</file>