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5B5B5B"/>
          <w:sz w:val="26"/>
        </w:rPr>
        <w:t>MAJOR PROJECT REPORT</w:t>
      </w:r>
    </w:p>
    <w:p>
      <w:pPr>
        <w:pStyle w:val="Title"/>
        <w:jc w:val="center"/>
      </w:pPr>
      <w:r>
        <w:t>Predictive Analytics for</w:t>
        <w:br/>
        <w:t>Stock Market Movements</w:t>
      </w:r>
    </w:p>
    <w:p>
      <w:pPr>
        <w:jc w:val="center"/>
      </w:pPr>
      <w:r>
        <w:rPr>
          <w:i/>
          <w:sz w:val="24"/>
        </w:rPr>
        <w:t>Machine Learning Classification of Next-Day Price Direction</w:t>
      </w:r>
    </w:p>
    <w:p/>
    <w:p>
      <w:pPr>
        <w:jc w:val="center"/>
      </w:pPr>
      <w:r>
        <w:rPr>
          <w:b/>
        </w:rPr>
        <w:t>Project Report</w:t>
      </w:r>
    </w:p>
    <w:p>
      <w:pPr>
        <w:jc w:val="center"/>
      </w:pPr>
      <w:r>
        <w:t>Dataset period: December 1980 – April 2020</w:t>
      </w:r>
    </w:p>
    <w:p>
      <w:pPr>
        <w:jc w:val="center"/>
      </w:pPr>
      <w:r>
        <w:t>Models: Logistic Regression and Random Forest</w:t>
      </w:r>
    </w:p>
    <w:p>
      <w:r>
        <w:br w:type="page"/>
      </w:r>
    </w:p>
    <w:p>
      <w:pPr>
        <w:pStyle w:val="Heading1"/>
      </w:pPr>
      <w:r>
        <w:t>1. Project Objective</w:t>
      </w:r>
    </w:p>
    <w:p>
      <w:r>
        <w:t>The objective of this project is to analyse historical stock market data and develop machine learning models to predict whether the next trading day's closing price will increase compared with the current day's closing price.</w:t>
      </w:r>
    </w:p>
    <w:p>
      <w:r>
        <w:t>The project aims to:</w:t>
      </w:r>
    </w:p>
    <w:p>
      <w:pPr>
        <w:pStyle w:val="ListBullet"/>
      </w:pPr>
      <w:r>
        <w:t>Analyse historical stock prices, trading volume, and market trends.</w:t>
      </w:r>
    </w:p>
    <w:p>
      <w:pPr>
        <w:pStyle w:val="ListBullet"/>
      </w:pPr>
      <w:r>
        <w:t>Identify patterns and trends in stock price movements.</w:t>
      </w:r>
    </w:p>
    <w:p>
      <w:pPr>
        <w:pStyle w:val="ListBullet"/>
      </w:pPr>
      <w:r>
        <w:t>Calculate technical indicators such as moving averages and the Relative Strength Index (RSI).</w:t>
      </w:r>
    </w:p>
    <w:p>
      <w:pPr>
        <w:pStyle w:val="ListBullet"/>
      </w:pPr>
      <w:r>
        <w:t>Predict whether the next trading day's closing price will increase or not.</w:t>
      </w:r>
    </w:p>
    <w:p>
      <w:pPr>
        <w:pStyle w:val="ListBullet"/>
      </w:pPr>
      <w:r>
        <w:t>Evaluate model performance using appropriate classification metrics.</w:t>
      </w:r>
    </w:p>
    <w:p>
      <w:pPr>
        <w:pStyle w:val="ListBullet"/>
      </w:pPr>
      <w:r>
        <w:t>Compare baseline features with an expanded set of engineered features.</w:t>
      </w:r>
    </w:p>
    <w:p>
      <w:pPr>
        <w:pStyle w:val="Heading1"/>
      </w:pPr>
      <w:r>
        <w:t>2. Dataset Description</w:t>
      </w:r>
    </w:p>
    <w:p>
      <w:r>
        <w:t>The dataset contains 9,909 observations and seven original columns: Date, Open, High, Low, Close, Adj Close, and Volume. The recorded period runs from December 1980 to April 2020.</w:t>
      </w:r>
    </w:p>
    <w:p>
      <w:r>
        <w:t>The source report does not identify the ticker symbol or company name, so this report does not assume a specific stock identity.</w:t>
      </w:r>
    </w:p>
    <w:p>
      <w:pPr>
        <w:pStyle w:val="Heading1"/>
      </w:pPr>
      <w:r>
        <w:t>3. Data Preprocessing and Validation</w:t>
      </w:r>
    </w:p>
    <w:p>
      <w:r>
        <w:t>The original dataset was checked for missing values, duplicate rows, invalid prices, negative trading volume, and inconsistent daily price ranges. No missing values or duplicate rows were found in the original dataset. The Date column was converted to datetime format. Validation checks indicated that the price and volume fields met the checks described in the project workflow.</w:t>
      </w:r>
    </w:p>
    <w:p>
      <w:pPr>
        <w:pStyle w:val="Heading1"/>
      </w:pPr>
      <w:r>
        <w:t>4. Exploratory Data Analysis (EDA)</w:t>
      </w:r>
    </w:p>
    <w:p>
      <w:r>
        <w:t>The closing-price chart showed a long-term upward movement with periods of fluctuation. The trading-volume chart contained occasional spikes, indicating unusually high trading activity on some dates.</w:t>
      </w:r>
    </w:p>
    <w:p>
      <w:r>
        <w:t>Daily returns were calculated as the percentage change in closing prices. The mean daily return was approximately 0.1041%, and the standard deviation was approximately 2.8738%. The minimum and maximum daily returns were approximately -51.87% and 33.23%, respectively. These extreme observations should be investigated before drawing conclusions or deploying a model.</w:t>
      </w:r>
    </w:p>
    <w:p>
      <w:pPr>
        <w:pStyle w:val="Heading1"/>
      </w:pPr>
      <w:r>
        <w:t>5. Feature Engineering and Target Definition</w:t>
      </w:r>
    </w:p>
    <w:p>
      <w:r>
        <w:t>The project created moving-average features (MA_5, MA_10, and MA_20), RSI_14, daily returns, multi-period returns, moving-average ratios, rolling volatility, and volume changes.</w:t>
      </w:r>
    </w:p>
    <w:p>
      <w:r>
        <w:t>The target was defined as 1 when the next trading day's closing price was higher than the current day’s closing price, and 0 otherwise. The final row was excluded because the next day's closing price was not available in the dataset.</w:t>
      </w:r>
    </w:p>
    <w:p>
      <w:r>
        <w:t>The baseline model used Daily_Return, MA_5, MA_10, MA_20, and RSI_14. The expanded-feature model used Return_1, Return_2, Return_5, MA_Ratio_5, MA_Ratio_10, MA_Ratio_20, Volatility_10, Volume_Change, and RSI_14.</w:t>
      </w:r>
    </w:p>
    <w:p>
      <w:pPr>
        <w:pStyle w:val="Heading1"/>
      </w:pPr>
      <w:r>
        <w:t>6. Model Development and Validation Strategy</w:t>
      </w:r>
    </w:p>
    <w:p>
      <w:r>
        <w:t>Two classifiers were trained: Logistic Regression and Random Forest. The dataset was split chronologically, using the earlier 80% of eligible observations for training and the later 20% for testing. This preserves time order rather than randomly shuffling historical observations.</w:t>
      </w:r>
    </w:p>
    <w:p>
      <w:r>
        <w:t>The baseline and expanded-feature experiments have slightly different usable date ranges because rolling indicators and multi-period returns require earlier observations. Their metrics should therefore be interpreted as results from their respective test sets.</w:t>
      </w:r>
    </w:p>
    <w:p>
      <w:pPr>
        <w:pStyle w:val="Heading1"/>
      </w:pPr>
      <w:r>
        <w:t>7. Model Evaluation Results</w:t>
      </w:r>
    </w:p>
    <w:p>
      <w:r>
        <w:t>The following results are reproduced from the project results supplied for this report.</w:t>
      </w:r>
    </w:p>
    <w:tbl>
      <w:tblPr>
        <w:tblStyle w:val="LightShading-Accent1"/>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tcPr>
          <w:p>
            <w:r>
              <w:rPr>
                <w:b/>
              </w:rPr>
              <w:t>Experiment</w:t>
            </w:r>
          </w:p>
        </w:tc>
        <w:tc>
          <w:tcPr>
            <w:tcW w:type="dxa" w:w="1987"/>
            <w:vAlign w:val="center"/>
          </w:tcPr>
          <w:p>
            <w:r>
              <w:rPr>
                <w:b/>
              </w:rPr>
              <w:t>Model</w:t>
            </w:r>
          </w:p>
        </w:tc>
        <w:tc>
          <w:tcPr>
            <w:tcW w:type="dxa" w:w="1987"/>
            <w:vAlign w:val="center"/>
          </w:tcPr>
          <w:p>
            <w:r>
              <w:rPr>
                <w:b/>
              </w:rPr>
              <w:t>Accuracy</w:t>
            </w:r>
          </w:p>
        </w:tc>
        <w:tc>
          <w:tcPr>
            <w:tcW w:type="dxa" w:w="1987"/>
            <w:vAlign w:val="center"/>
          </w:tcPr>
          <w:p>
            <w:r>
              <w:rPr>
                <w:b/>
              </w:rPr>
              <w:t>F1-score</w:t>
            </w:r>
          </w:p>
        </w:tc>
        <w:tc>
          <w:tcPr>
            <w:tcW w:type="dxa" w:w="1987"/>
            <w:vAlign w:val="center"/>
          </w:tcPr>
          <w:p>
            <w:r>
              <w:rPr>
                <w:b/>
              </w:rPr>
              <w:t>ROC-AUC</w:t>
            </w:r>
          </w:p>
        </w:tc>
      </w:tr>
      <w:tr>
        <w:tc>
          <w:tcPr>
            <w:tcW w:type="dxa" w:w="1987"/>
            <w:vAlign w:val="center"/>
          </w:tcPr>
          <w:p>
            <w:r>
              <w:t>Baseline features</w:t>
            </w:r>
          </w:p>
        </w:tc>
        <w:tc>
          <w:tcPr>
            <w:tcW w:type="dxa" w:w="1987"/>
            <w:vAlign w:val="center"/>
          </w:tcPr>
          <w:p>
            <w:r>
              <w:t>Logistic Regression</w:t>
            </w:r>
          </w:p>
        </w:tc>
        <w:tc>
          <w:tcPr>
            <w:tcW w:type="dxa" w:w="1987"/>
            <w:vAlign w:val="center"/>
          </w:tcPr>
          <w:p>
            <w:r>
              <w:t>52.07%</w:t>
            </w:r>
          </w:p>
        </w:tc>
        <w:tc>
          <w:tcPr>
            <w:tcW w:type="dxa" w:w="1987"/>
            <w:vAlign w:val="center"/>
          </w:tcPr>
          <w:p>
            <w:r>
              <w:t>0.6848</w:t>
            </w:r>
          </w:p>
        </w:tc>
        <w:tc>
          <w:tcPr>
            <w:tcW w:type="dxa" w:w="1987"/>
            <w:vAlign w:val="center"/>
          </w:tcPr>
          <w:p>
            <w:r>
              <w:t>0.5125</w:t>
            </w:r>
          </w:p>
        </w:tc>
      </w:tr>
      <w:tr>
        <w:tc>
          <w:tcPr>
            <w:tcW w:type="dxa" w:w="1987"/>
            <w:vAlign w:val="center"/>
          </w:tcPr>
          <w:p>
            <w:r>
              <w:t>Baseline features</w:t>
            </w:r>
          </w:p>
        </w:tc>
        <w:tc>
          <w:tcPr>
            <w:tcW w:type="dxa" w:w="1987"/>
            <w:vAlign w:val="center"/>
          </w:tcPr>
          <w:p>
            <w:r>
              <w:t>Random Forest</w:t>
            </w:r>
          </w:p>
        </w:tc>
        <w:tc>
          <w:tcPr>
            <w:tcW w:type="dxa" w:w="1987"/>
            <w:vAlign w:val="center"/>
          </w:tcPr>
          <w:p>
            <w:r>
              <w:t>47.72%</w:t>
            </w:r>
          </w:p>
        </w:tc>
        <w:tc>
          <w:tcPr>
            <w:tcW w:type="dxa" w:w="1987"/>
            <w:vAlign w:val="center"/>
          </w:tcPr>
          <w:p>
            <w:r>
              <w:t>0.2646</w:t>
            </w:r>
          </w:p>
        </w:tc>
        <w:tc>
          <w:tcPr>
            <w:tcW w:type="dxa" w:w="1987"/>
            <w:vAlign w:val="center"/>
          </w:tcPr>
          <w:p>
            <w:r>
              <w:t>0.5010</w:t>
            </w:r>
          </w:p>
        </w:tc>
      </w:tr>
      <w:tr>
        <w:tc>
          <w:tcPr>
            <w:tcW w:type="dxa" w:w="1987"/>
            <w:vAlign w:val="center"/>
          </w:tcPr>
          <w:p>
            <w:r>
              <w:t>Expanded features</w:t>
            </w:r>
          </w:p>
        </w:tc>
        <w:tc>
          <w:tcPr>
            <w:tcW w:type="dxa" w:w="1987"/>
            <w:vAlign w:val="center"/>
          </w:tcPr>
          <w:p>
            <w:r>
              <w:t>Logistic Regression</w:t>
            </w:r>
          </w:p>
        </w:tc>
        <w:tc>
          <w:tcPr>
            <w:tcW w:type="dxa" w:w="1987"/>
            <w:vAlign w:val="center"/>
          </w:tcPr>
          <w:p>
            <w:r>
              <w:t>50.66%</w:t>
            </w:r>
          </w:p>
        </w:tc>
        <w:tc>
          <w:tcPr>
            <w:tcW w:type="dxa" w:w="1987"/>
            <w:vAlign w:val="center"/>
          </w:tcPr>
          <w:p>
            <w:r>
              <w:t>0.5197</w:t>
            </w:r>
          </w:p>
        </w:tc>
        <w:tc>
          <w:tcPr>
            <w:tcW w:type="dxa" w:w="1987"/>
            <w:vAlign w:val="center"/>
          </w:tcPr>
          <w:p>
            <w:r>
              <w:t>0.5041</w:t>
            </w:r>
          </w:p>
        </w:tc>
      </w:tr>
      <w:tr>
        <w:tc>
          <w:tcPr>
            <w:tcW w:type="dxa" w:w="1987"/>
            <w:vAlign w:val="center"/>
          </w:tcPr>
          <w:p>
            <w:r>
              <w:t>Expanded features</w:t>
            </w:r>
          </w:p>
        </w:tc>
        <w:tc>
          <w:tcPr>
            <w:tcW w:type="dxa" w:w="1987"/>
            <w:vAlign w:val="center"/>
          </w:tcPr>
          <w:p>
            <w:r>
              <w:t>Random Forest</w:t>
            </w:r>
          </w:p>
        </w:tc>
        <w:tc>
          <w:tcPr>
            <w:tcW w:type="dxa" w:w="1987"/>
            <w:vAlign w:val="center"/>
          </w:tcPr>
          <w:p>
            <w:r>
              <w:t>50.05%</w:t>
            </w:r>
          </w:p>
        </w:tc>
        <w:tc>
          <w:tcPr>
            <w:tcW w:type="dxa" w:w="1987"/>
            <w:vAlign w:val="center"/>
          </w:tcPr>
          <w:p>
            <w:r>
              <w:t>0.4995</w:t>
            </w:r>
          </w:p>
        </w:tc>
        <w:tc>
          <w:tcPr>
            <w:tcW w:type="dxa" w:w="1987"/>
            <w:vAlign w:val="center"/>
          </w:tcPr>
          <w:p>
            <w:r>
              <w:t>0.5166</w:t>
            </w:r>
          </w:p>
        </w:tc>
      </w:tr>
    </w:tbl>
    <w:p>
      <w:r>
        <w:t>The baseline Logistic Regression model reported 52.07% accuracy and 0.5125 ROC-AUC. The expanded-feature Random Forest reported the highest ROC-AUC among the four experiments (0.5166), but this remains close to 0.5.</w:t>
      </w:r>
    </w:p>
    <w:p>
      <w:pPr>
        <w:pStyle w:val="Heading1"/>
      </w:pPr>
      <w:r>
        <w:t>8. Interpretation of Results</w:t>
      </w:r>
    </w:p>
    <w:p>
      <w:r>
        <w:t>The ROC-AUC values range from 0.5010 to 0.5166, indicating weak discrimination between the two target classes on the test data. Accuracy alone is not sufficient to demonstrate useful predictive performance, particularly when a classifier may favour one class. The baseline Logistic Regression was reported to predict the upward class for all test observations, so its accuracy and F1-score should be interpreted alongside the confusion matrix and class-specific metrics.</w:t>
      </w:r>
    </w:p>
    <w:p>
      <w:pPr>
        <w:pStyle w:val="Heading1"/>
      </w:pPr>
      <w:r>
        <w:t>9. Conclusion</w:t>
      </w:r>
    </w:p>
    <w:p>
      <w:r>
        <w:t>The project completed the main workflow of data validation, exploratory analysis, feature engineering, chronological train-test splitting, classifier training, and model evaluation. The tested models showed limited ability to predict next-day stock-price direction. Their ROC-AUC values remained close to 0.5, so the experiments do not establish a reliable predictive advantage. Further feature research, robust time-series validation, and additional experiments would be required before considering real-world use.</w:t>
      </w:r>
    </w:p>
    <w:p>
      <w:pPr>
        <w:pStyle w:val="Heading1"/>
      </w:pPr>
      <w:r>
        <w:t>10. Limitations and Risks</w:t>
      </w:r>
    </w:p>
    <w:p>
      <w:pPr>
        <w:pStyle w:val="ListBullet"/>
      </w:pPr>
      <w:r>
        <w:t>Stock prices can be affected by economic events, company announcements, market sentiment, and unexpected shocks.</w:t>
      </w:r>
    </w:p>
    <w:p>
      <w:pPr>
        <w:pStyle w:val="ListBullet"/>
      </w:pPr>
      <w:r>
        <w:t>The dataset covers a historical period only; results may not generalise to later market conditions.</w:t>
      </w:r>
    </w:p>
    <w:p>
      <w:pPr>
        <w:pStyle w:val="ListBullet"/>
      </w:pPr>
      <w:r>
        <w:t>The models do not include transaction costs, slippage, liquidity constraints, or a full trading-strategy evaluation.</w:t>
      </w:r>
    </w:p>
    <w:p>
      <w:pPr>
        <w:pStyle w:val="ListBullet"/>
      </w:pPr>
      <w:r>
        <w:t>Extreme daily returns require investigation to confirm their context and data quality.</w:t>
      </w:r>
    </w:p>
    <w:p>
      <w:pPr>
        <w:pStyle w:val="ListBullet"/>
      </w:pPr>
      <w:r>
        <w:t>The reported results are experimental and are not financial advice or a guarantee of future performance.</w:t>
      </w:r>
    </w:p>
    <w:p>
      <w:pPr>
        <w:pStyle w:val="Heading1"/>
      </w:pPr>
      <w:r>
        <w:t>11. Project Deliverables</w:t>
      </w:r>
    </w:p>
    <w:p>
      <w:pPr>
        <w:pStyle w:val="ListBullet"/>
      </w:pPr>
      <w:r>
        <w:t>stock_market_features.csv — engineered dataset</w:t>
      </w:r>
    </w:p>
    <w:p>
      <w:pPr>
        <w:pStyle w:val="ListBullet"/>
      </w:pPr>
      <w:r>
        <w:t>model_comparison.csv — model performance comparison</w:t>
      </w:r>
    </w:p>
    <w:p>
      <w:pPr>
        <w:pStyle w:val="ListBullet"/>
      </w:pPr>
      <w:r>
        <w:t>stock_predictions.csv — actual and predicted direction output</w:t>
      </w:r>
    </w:p>
    <w:p>
      <w:pPr>
        <w:pStyle w:val="ListBullet"/>
      </w:pPr>
      <w:r>
        <w:t>improved_logistic_model.joblib — saved Logistic Regression pipeline</w:t>
      </w:r>
    </w:p>
    <w:p>
      <w:pPr>
        <w:pStyle w:val="ListBullet"/>
      </w:pPr>
      <w:r>
        <w:t>improved_random_forest_model.joblib — saved Random Forest model</w:t>
      </w:r>
    </w:p>
    <w:p>
      <w:pPr>
        <w:pStyle w:val="ListBullet"/>
      </w:pPr>
      <w:r>
        <w:t>Jupyter Notebook (.ipynb) — include the notebook used to run the analysis and models</w:t>
      </w:r>
    </w:p>
    <w:p>
      <w:pPr>
        <w:pStyle w:val="Heading1"/>
      </w:pPr>
      <w:r>
        <w:t>12. Recommended Future Work</w:t>
      </w:r>
    </w:p>
    <w:p>
      <w:pPr>
        <w:pStyle w:val="ListBullet"/>
      </w:pPr>
      <w:r>
        <w:t>Investigate extreme return observations and confirm the stock identity and source metadata.</w:t>
      </w:r>
    </w:p>
    <w:p>
      <w:pPr>
        <w:pStyle w:val="ListBullet"/>
      </w:pPr>
      <w:r>
        <w:t>Use walk-forward or expanding-window time-series validation rather than relying on a single split.</w:t>
      </w:r>
    </w:p>
    <w:p>
      <w:pPr>
        <w:pStyle w:val="ListBullet"/>
      </w:pPr>
      <w:r>
        <w:t>Compare results against simple baselines and report class-specific metrics and confusion matrices.</w:t>
      </w:r>
    </w:p>
    <w:p>
      <w:pPr>
        <w:pStyle w:val="ListBullet"/>
      </w:pPr>
      <w:r>
        <w:t>Test additional information only when it would have been available at prediction time.</w:t>
      </w:r>
    </w:p>
    <w:p>
      <w:pPr>
        <w:pStyle w:val="ListBullet"/>
      </w:pPr>
      <w:r>
        <w:t>Evaluate a trading strategy separately, including transaction costs and slippage, before making practical claims.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Predictive Analytics for Stock Market Movements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