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ANS.1) 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CSS selectors are used in HTML to style and format elements, making web pages visually appealing and user-friendly. They provide precise targeting of specific elements and separate design from content for easier maintenance.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 2)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Element Selector: Selects by element type, e.g.,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for paragraphs.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Class Selector: Selects by class attribute, e.g.,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.button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ID Selector: Selects by unique ID, e.g.,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#header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Descendant Selector: Selects descendants, e.g.,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ul li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Pseudo-class Selector: Selects based on state, e.g.,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Attribute Selector: Selects by attributes, e.g.,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[type="text"]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Child Selector: Selects direct children, e.g.,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ul &gt; li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Universal Selector: Selects all elements, e.g.,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These are essential CSS selectors for styling HTML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ANS 3)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nclude External Font: Use the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@font-face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rule in your CSS to specify the font's source, like a URL or font file.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Apply Font: Select elements and use the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property to apply the external font. For example: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font-family: 'FontName', sans-serif;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