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color w:val="C25418"/>
          <w:sz w:val="22"/>
        </w:rPr>
        <w:t>Team ID: 26FSDPYCPMID1029</w:t>
      </w:r>
    </w:p>
    <w:p/>
    <w:p/>
    <w:p/>
    <w:p>
      <w:pPr>
        <w:jc w:val="center"/>
      </w:pPr>
      <w:r>
        <w:rPr>
          <w:rFonts w:ascii="Times New Roman" w:hAnsi="Times New Roman"/>
          <w:b/>
          <w:color w:val="374151"/>
          <w:sz w:val="32"/>
        </w:rPr>
        <w:t>Case-Study Report</w:t>
        <w:br/>
        <w:t>On</w:t>
        <w:br/>
      </w:r>
      <w:r>
        <w:rPr>
          <w:rFonts w:ascii="Times New Roman" w:hAnsi="Times New Roman"/>
          <w:b/>
          <w:color w:val="1E3A8A"/>
          <w:sz w:val="44"/>
        </w:rPr>
        <w:t>AI-Driven Privacy Compliance in</w:t>
        <w:br/>
        <w:t>Heterogeneous IoT Environments</w:t>
        <w:br/>
        <w:br/>
      </w:r>
      <w:r>
        <w:rPr>
          <w:rFonts w:ascii="Times New Roman" w:hAnsi="Times New Roman"/>
          <w:i/>
          <w:sz w:val="24"/>
        </w:rPr>
        <w:t>submitted as part of</w:t>
        <w:br/>
      </w:r>
      <w:r>
        <w:rPr>
          <w:rFonts w:ascii="Times New Roman" w:hAnsi="Times New Roman"/>
          <w:b/>
          <w:sz w:val="32"/>
        </w:rPr>
        <w:t>BCSE318L Data Privacy</w:t>
        <w:br/>
        <w:br/>
      </w:r>
    </w:p>
    <w:p>
      <w:pPr>
        <w:jc w:val="center"/>
      </w:pPr>
      <w:r>
        <w:rPr>
          <w:sz w:val="24"/>
        </w:rPr>
        <w:t>by</w:t>
        <w:br/>
      </w:r>
      <w:r>
        <w:rPr>
          <w:b/>
          <w:color w:val="C25418"/>
          <w:sz w:val="28"/>
        </w:rPr>
        <w:t>Registration No.: 23BCE0167</w:t>
        <w:br/>
        <w:t>Student Name: Anuska Saha</w:t>
        <w:br/>
        <w:br/>
      </w:r>
    </w:p>
    <w:p>
      <w:pPr>
        <w:jc w:val="center"/>
      </w:pPr>
      <w:r>
        <w:rPr>
          <w:sz w:val="24"/>
        </w:rPr>
        <w:t>To</w:t>
        <w:br/>
      </w:r>
      <w:r>
        <w:rPr>
          <w:b/>
          <w:sz w:val="36"/>
        </w:rPr>
        <w:t>Dr M Rajasekhara Babu</w:t>
        <w:br/>
      </w:r>
      <w:r>
        <w:rPr>
          <w:sz w:val="26"/>
        </w:rPr>
        <w:t>School of Computer Science and Engineering</w:t>
        <w:br/>
        <w:br/>
        <w:br/>
      </w:r>
    </w:p>
    <w:p>
      <w:pPr>
        <w:jc w:val="center"/>
      </w:pPr>
      <w:r>
        <w:rPr>
          <w:b/>
          <w:sz w:val="24"/>
        </w:rPr>
        <w:t>Vellore Institute of Technology</w:t>
        <w:br/>
        <w:t>(Deemed to be University under section 3 of UGC Act, 1956)</w:t>
        <w:br/>
        <w:br/>
        <w:t>October 2026</w:t>
      </w:r>
    </w:p>
    <w:p>
      <w:r>
        <w:br w:type="page"/>
      </w:r>
    </w:p>
    <w:p>
      <w:pPr>
        <w:pStyle w:val="Heading1"/>
        <w:spacing w:before="240" w:after="80"/>
      </w:pPr>
      <w:r>
        <w:rPr>
          <w:rFonts w:ascii="Times New Roman" w:hAnsi="Times New Roman"/>
          <w:b/>
          <w:color w:val="B45309"/>
          <w:sz w:val="28"/>
        </w:rPr>
        <w:t>Index</w:t>
      </w:r>
    </w:p>
    <w:tbl>
      <w:tblPr>
        <w:tblW w:type="auto" w:w="0"/>
        <w:jc w:val="center"/>
        <w:tblLayout w:type="fixed"/>
        <w:tblLook w:firstColumn="1" w:firstRow="1" w:lastColumn="0" w:lastRow="0" w:noHBand="0" w:noVBand="1" w:val="04A0"/>
      </w:tblPr>
      <w:tblGrid>
        <w:gridCol w:w="3120"/>
        <w:gridCol w:w="3120"/>
        <w:gridCol w:w="3120"/>
      </w:tblGrid>
      <w:tr>
        <w:tc>
          <w:tcPr>
            <w:tcW w:type="dxa" w:w="1152"/>
            <w:shd w:val="clear" w:color="auto" w:fill="C25418"/>
            <w:tcMar>
              <w:top w:w="120" w:type="dxa"/>
              <w:bottom w:w="120" w:type="dxa"/>
              <w:left w:w="150" w:type="dxa"/>
              <w:right w:w="150" w:type="dxa"/>
            </w:tcMar>
          </w:tcPr>
          <w:p>
            <w:pPr>
              <w:jc w:val="center"/>
            </w:pPr>
            <w:r>
              <w:rPr>
                <w:rFonts w:ascii="Times New Roman" w:hAnsi="Times New Roman"/>
                <w:b/>
                <w:color w:val="FFFFFF"/>
                <w:sz w:val="19"/>
              </w:rPr>
              <w:t>Sl. No.</w:t>
            </w:r>
          </w:p>
        </w:tc>
        <w:tc>
          <w:tcPr>
            <w:tcW w:type="dxa" w:w="6624"/>
            <w:shd w:val="clear" w:color="auto" w:fill="C25418"/>
            <w:tcMar>
              <w:top w:w="120" w:type="dxa"/>
              <w:bottom w:w="120" w:type="dxa"/>
              <w:left w:w="150" w:type="dxa"/>
              <w:right w:w="150" w:type="dxa"/>
            </w:tcMar>
          </w:tcPr>
          <w:p>
            <w:pPr>
              <w:jc w:val="center"/>
            </w:pPr>
            <w:r>
              <w:rPr>
                <w:rFonts w:ascii="Times New Roman" w:hAnsi="Times New Roman"/>
                <w:b/>
                <w:color w:val="FFFFFF"/>
                <w:sz w:val="19"/>
              </w:rPr>
              <w:t>Section Topic</w:t>
            </w:r>
          </w:p>
        </w:tc>
        <w:tc>
          <w:tcPr>
            <w:tcW w:type="dxa" w:w="1440"/>
            <w:shd w:val="clear" w:color="auto" w:fill="C25418"/>
            <w:tcMar>
              <w:top w:w="120" w:type="dxa"/>
              <w:bottom w:w="120" w:type="dxa"/>
              <w:left w:w="150" w:type="dxa"/>
              <w:right w:w="150" w:type="dxa"/>
            </w:tcMar>
          </w:tcPr>
          <w:p>
            <w:pPr>
              <w:jc w:val="center"/>
            </w:pPr>
            <w:r>
              <w:rPr>
                <w:rFonts w:ascii="Times New Roman" w:hAnsi="Times New Roman"/>
                <w:b/>
                <w:color w:val="FFFFFF"/>
                <w:sz w:val="19"/>
              </w:rPr>
              <w:t>Page No.</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Abstract</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7</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Introduction</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7</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2.</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Problem Statement</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8</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3.</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Background and Literature Review</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9</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4.</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Requirements Analysis for AI-Driven Privacy Compliance</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11</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5.</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AI-Driven Privacy Compliance Architecture</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12</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6.</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IoT Data Acquisition and Classification Layer</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13</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7.</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Edge Intelligence and Local Governance Layer</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14</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8.</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AI-Powered Privacy Risk Assessment Layer</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16</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9.</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Automated Compliance and Policy Enforcement Layer</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17</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10.</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Privacy Preservation and Data Protection Layer</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19</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11.</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Explainability, Transparency, and Auditability Layer</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20</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12.</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Governance, Regulatory Mapping, and Data Sovereignty Layer</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21</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13.</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Security and Threat Intelligence Layer</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23</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14.</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Experimental Setup</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24</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15.</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Evaluation Metrics</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25</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16.</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Results and Findings</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26</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17.</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Comparative Analysis</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28</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18.</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Trustworthiness, Accountability, and Governance Assessment</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29</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19.</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Industry Use Cases and Case Study Evaluation</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30</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20.</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Business Impact Assessment</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32</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21.</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Challenges and Limitations</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33</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22.</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Future Research Directions</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33</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23.</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Conclusion</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44</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Appendices A–O</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46</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References</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52</w:t>
            </w:r>
          </w:p>
        </w:tc>
      </w:tr>
    </w:tbl>
    <w:p>
      <w:pPr>
        <w:spacing w:after="120"/>
      </w:pPr>
    </w:p>
    <w:p>
      <w:r>
        <w:br w:type="page"/>
      </w:r>
    </w:p>
    <w:p>
      <w:pPr>
        <w:pStyle w:val="Heading1"/>
        <w:spacing w:before="240" w:after="80"/>
      </w:pPr>
      <w:r>
        <w:rPr>
          <w:rFonts w:ascii="Times New Roman" w:hAnsi="Times New Roman"/>
          <w:b/>
          <w:color w:val="B45309"/>
          <w:sz w:val="28"/>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152"/>
            <w:shd w:val="clear" w:color="auto" w:fill="C25418"/>
            <w:tcMar>
              <w:top w:w="120" w:type="dxa"/>
              <w:bottom w:w="120" w:type="dxa"/>
              <w:left w:w="150" w:type="dxa"/>
              <w:right w:w="150" w:type="dxa"/>
            </w:tcMar>
          </w:tcPr>
          <w:p>
            <w:pPr>
              <w:jc w:val="center"/>
            </w:pPr>
            <w:r>
              <w:rPr>
                <w:rFonts w:ascii="Times New Roman" w:hAnsi="Times New Roman"/>
                <w:b/>
                <w:color w:val="FFFFFF"/>
                <w:sz w:val="19"/>
              </w:rPr>
              <w:t>Fig. No.</w:t>
            </w:r>
          </w:p>
        </w:tc>
        <w:tc>
          <w:tcPr>
            <w:tcW w:type="dxa" w:w="6624"/>
            <w:shd w:val="clear" w:color="auto" w:fill="C25418"/>
            <w:tcMar>
              <w:top w:w="120" w:type="dxa"/>
              <w:bottom w:w="120" w:type="dxa"/>
              <w:left w:w="150" w:type="dxa"/>
              <w:right w:w="150" w:type="dxa"/>
            </w:tcMar>
          </w:tcPr>
          <w:p>
            <w:pPr>
              <w:jc w:val="center"/>
            </w:pPr>
            <w:r>
              <w:rPr>
                <w:rFonts w:ascii="Times New Roman" w:hAnsi="Times New Roman"/>
                <w:b/>
                <w:color w:val="FFFFFF"/>
                <w:sz w:val="19"/>
              </w:rPr>
              <w:t>Figure Title</w:t>
            </w:r>
          </w:p>
        </w:tc>
        <w:tc>
          <w:tcPr>
            <w:tcW w:type="dxa" w:w="1440"/>
            <w:shd w:val="clear" w:color="auto" w:fill="C25418"/>
            <w:tcMar>
              <w:top w:w="120" w:type="dxa"/>
              <w:bottom w:w="120" w:type="dxa"/>
              <w:left w:w="150" w:type="dxa"/>
              <w:right w:w="150" w:type="dxa"/>
            </w:tcMar>
          </w:tcPr>
          <w:p>
            <w:pPr>
              <w:jc w:val="center"/>
            </w:pPr>
            <w:r>
              <w:rPr>
                <w:rFonts w:ascii="Times New Roman" w:hAnsi="Times New Roman"/>
                <w:b/>
                <w:color w:val="FFFFFF"/>
                <w:sz w:val="19"/>
              </w:rPr>
              <w:t>Page No.</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Evolution of IoT Ecosystems and Compliance Challenges</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7</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AI-Driven Privacy Governance Landscape</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7</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3.</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IoT Privacy Compliance Challenge Landscape</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8</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4.</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Literature Taxonomy Framework</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9</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5.</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Requirements Engineering Framework</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11</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6.</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AI-Driven Privacy Compliance Architecture for Heterogeneous IoT Environments</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12</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7.</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Multi-Layer Compliance Framework</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12</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8.</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IoT Data Acquisition Framework</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13</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9.</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Edge Governance Architecture</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14</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10.</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Edge Compliance Monitoring Workflow</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15</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11.</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AI Privacy Risk Assessment Framework</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16</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12.</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Risk Prediction Pipeline</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16</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13.</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Compliance Automation Workflow</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17</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14.</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Policy Enforcement Lifecycle</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17</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15.</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Privacy Protection Framework</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19</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16.</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Data Protection Lifecycle</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19</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17.</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Explainable Compliance Framework</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20</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18.</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Auditability and Transparency Dashboard</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20</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19.</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Regulatory Compliance Architecture</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22</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20.</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Security Intelligence Framework</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23</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21.</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Experimental Testbed Architecture</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24</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22.</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Evaluation Framework</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25</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23.</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Compliance Accuracy Performance Analysis (synthetic benchmark)</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26</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24.</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Privacy-Preservation Control Indicators (synthetic proxy measures only)</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26</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25.</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Governance Maturity and Compliance Assessment (conceptual rubric)</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26</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26.</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Comparative Benchmark Analysis (synthetic benchmark)</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28</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27.</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Governance Maturity Framework</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29</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28.</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Smart City Compliance Ecosystem</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30</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29.</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Healthcare IoT Governance Framework</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31</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30.</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Control-Coverage Dashboard (synthetic indicators; not a financial ROI result)</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32</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31.</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Challenges and Limitations Roadmap</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33</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32.</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Future Research Roadmap</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34</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33.</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Next-Generation AI Governance Ecosystem</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34</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34.</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Research Contribution Framework</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44</w:t>
            </w:r>
          </w:p>
        </w:tc>
      </w:tr>
    </w:tbl>
    <w:p>
      <w:pPr>
        <w:spacing w:after="120"/>
      </w:pPr>
    </w:p>
    <w:p>
      <w:pPr>
        <w:pStyle w:val="Heading1"/>
        <w:spacing w:before="240" w:after="80"/>
      </w:pPr>
      <w:r>
        <w:rPr>
          <w:rFonts w:ascii="Times New Roman" w:hAnsi="Times New Roman"/>
          <w:b/>
          <w:color w:val="B45309"/>
          <w:sz w:val="28"/>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152"/>
            <w:shd w:val="clear" w:color="auto" w:fill="C25418"/>
            <w:tcMar>
              <w:top w:w="120" w:type="dxa"/>
              <w:bottom w:w="120" w:type="dxa"/>
              <w:left w:w="150" w:type="dxa"/>
              <w:right w:w="150" w:type="dxa"/>
            </w:tcMar>
          </w:tcPr>
          <w:p>
            <w:pPr>
              <w:jc w:val="center"/>
            </w:pPr>
            <w:r>
              <w:rPr>
                <w:rFonts w:ascii="Times New Roman" w:hAnsi="Times New Roman"/>
                <w:b/>
                <w:color w:val="FFFFFF"/>
                <w:sz w:val="19"/>
              </w:rPr>
              <w:t>Table No.</w:t>
            </w:r>
          </w:p>
        </w:tc>
        <w:tc>
          <w:tcPr>
            <w:tcW w:type="dxa" w:w="6624"/>
            <w:shd w:val="clear" w:color="auto" w:fill="C25418"/>
            <w:tcMar>
              <w:top w:w="120" w:type="dxa"/>
              <w:bottom w:w="120" w:type="dxa"/>
              <w:left w:w="150" w:type="dxa"/>
              <w:right w:w="150" w:type="dxa"/>
            </w:tcMar>
          </w:tcPr>
          <w:p>
            <w:pPr>
              <w:jc w:val="center"/>
            </w:pPr>
            <w:r>
              <w:rPr>
                <w:rFonts w:ascii="Times New Roman" w:hAnsi="Times New Roman"/>
                <w:b/>
                <w:color w:val="FFFFFF"/>
                <w:sz w:val="19"/>
              </w:rPr>
              <w:t>Table Title</w:t>
            </w:r>
          </w:p>
        </w:tc>
        <w:tc>
          <w:tcPr>
            <w:tcW w:type="dxa" w:w="1440"/>
            <w:shd w:val="clear" w:color="auto" w:fill="C25418"/>
            <w:tcMar>
              <w:top w:w="120" w:type="dxa"/>
              <w:bottom w:w="120" w:type="dxa"/>
              <w:left w:w="150" w:type="dxa"/>
              <w:right w:w="150" w:type="dxa"/>
            </w:tcMar>
          </w:tcPr>
          <w:p>
            <w:pPr>
              <w:jc w:val="center"/>
            </w:pPr>
            <w:r>
              <w:rPr>
                <w:rFonts w:ascii="Times New Roman" w:hAnsi="Times New Roman"/>
                <w:b/>
                <w:color w:val="FFFFFF"/>
                <w:sz w:val="19"/>
              </w:rPr>
              <w:t>Page No.</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Executive Summary of Contributions and Outcomes</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6</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2.</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Research Challenges and Gap Analysis</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8</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3.</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Comparative Analysis of Privacy Compliance Approaches</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9</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4.</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Functional and Non-Functional Requirements Matrix</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11</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5.</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IoT Data Classification Matrix</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13</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6.</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Illustrative Compliance Rules and Actions Matrix</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18</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7.</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Illustrative Regulatory Mapping Matrix</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22</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8.</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Threat Categories and Security Measures</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23</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9.</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Experimental Configuration Details</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24</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10.</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Evaluation Metrics Definition Matrix</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25</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11.</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Experimental Results Summary</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26</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12.</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Comparative Benchmark Analysis</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28</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13.</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Trustworthiness Assessment Matrix</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30</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14.</w:t>
            </w:r>
          </w:p>
        </w:tc>
        <w:tc>
          <w:tcPr>
            <w:tcW w:type="dxa" w:w="6624"/>
            <w:shd w:val="clear" w:color="auto" w:fill="FFF7ED"/>
            <w:tcMar>
              <w:top w:w="80" w:type="dxa"/>
              <w:bottom w:w="80" w:type="dxa"/>
              <w:left w:w="120" w:type="dxa"/>
              <w:right w:w="120" w:type="dxa"/>
            </w:tcMar>
          </w:tcPr>
          <w:p>
            <w:pPr>
              <w:jc w:val="left"/>
            </w:pPr>
            <w:r>
              <w:rPr>
                <w:rFonts w:ascii="Times New Roman" w:hAnsi="Times New Roman"/>
                <w:color w:val="1F2937"/>
                <w:sz w:val="18"/>
              </w:rPr>
              <w:t>Industry Use Cases Matrix</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31</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15.</w:t>
            </w:r>
          </w:p>
        </w:tc>
        <w:tc>
          <w:tcPr>
            <w:tcW w:type="dxa" w:w="6624"/>
            <w:shd w:val="clear" w:color="auto" w:fill="FFFFFF"/>
            <w:tcMar>
              <w:top w:w="80" w:type="dxa"/>
              <w:bottom w:w="80" w:type="dxa"/>
              <w:left w:w="120" w:type="dxa"/>
              <w:right w:w="120" w:type="dxa"/>
            </w:tcMar>
          </w:tcPr>
          <w:p>
            <w:pPr>
              <w:jc w:val="left"/>
            </w:pPr>
            <w:r>
              <w:rPr>
                <w:rFonts w:ascii="Times New Roman" w:hAnsi="Times New Roman"/>
                <w:color w:val="1F2937"/>
                <w:sz w:val="18"/>
              </w:rPr>
              <w:t>Cost-Benefit Analysis Worksheet for a Future Pilot</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32</w:t>
            </w:r>
          </w:p>
        </w:tc>
      </w:tr>
    </w:tbl>
    <w:p>
      <w:pPr>
        <w:spacing w:after="120"/>
      </w:pPr>
    </w:p>
    <w:p>
      <w:r>
        <w:br w:type="page"/>
      </w:r>
    </w:p>
    <w:p>
      <w:pPr>
        <w:pStyle w:val="Heading1"/>
        <w:spacing w:before="240" w:after="80"/>
      </w:pPr>
      <w:r>
        <w:rPr>
          <w:rFonts w:ascii="Times New Roman" w:hAnsi="Times New Roman"/>
          <w:b/>
          <w:color w:val="B45309"/>
          <w:sz w:val="28"/>
        </w:rPr>
        <w:t>Contributions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val="clear" w:color="auto" w:fill="C25418"/>
            <w:tcMar>
              <w:top w:w="120" w:type="dxa"/>
              <w:bottom w:w="120" w:type="dxa"/>
              <w:left w:w="150" w:type="dxa"/>
              <w:right w:w="150" w:type="dxa"/>
            </w:tcMar>
          </w:tcPr>
          <w:p>
            <w:pPr>
              <w:jc w:val="center"/>
            </w:pPr>
            <w:r>
              <w:rPr>
                <w:rFonts w:ascii="Times New Roman" w:hAnsi="Times New Roman"/>
                <w:b/>
                <w:color w:val="FFFFFF"/>
                <w:sz w:val="19"/>
              </w:rPr>
              <w:t>Sl. No.</w:t>
            </w:r>
          </w:p>
        </w:tc>
        <w:tc>
          <w:tcPr>
            <w:tcW w:type="dxa" w:w="4896"/>
            <w:shd w:val="clear" w:color="auto" w:fill="C25418"/>
            <w:tcMar>
              <w:top w:w="120" w:type="dxa"/>
              <w:bottom w:w="120" w:type="dxa"/>
              <w:left w:w="150" w:type="dxa"/>
              <w:right w:w="150" w:type="dxa"/>
            </w:tcMar>
          </w:tcPr>
          <w:p>
            <w:pPr>
              <w:jc w:val="center"/>
            </w:pPr>
            <w:r>
              <w:rPr>
                <w:rFonts w:ascii="Times New Roman" w:hAnsi="Times New Roman"/>
                <w:b/>
                <w:color w:val="FFFFFF"/>
                <w:sz w:val="19"/>
              </w:rPr>
              <w:t>Section Topic</w:t>
            </w:r>
          </w:p>
        </w:tc>
        <w:tc>
          <w:tcPr>
            <w:tcW w:type="dxa" w:w="2304"/>
            <w:shd w:val="clear" w:color="auto" w:fill="C25418"/>
            <w:tcMar>
              <w:top w:w="120" w:type="dxa"/>
              <w:bottom w:w="120" w:type="dxa"/>
              <w:left w:w="150" w:type="dxa"/>
              <w:right w:w="150" w:type="dxa"/>
            </w:tcMar>
          </w:tcPr>
          <w:p>
            <w:pPr>
              <w:jc w:val="center"/>
            </w:pPr>
            <w:r>
              <w:rPr>
                <w:rFonts w:ascii="Times New Roman" w:hAnsi="Times New Roman"/>
                <w:b/>
                <w:color w:val="FFFFFF"/>
                <w:sz w:val="19"/>
              </w:rPr>
              <w:t>Team Member / Reg. No.</w:t>
            </w:r>
          </w:p>
        </w:tc>
        <w:tc>
          <w:tcPr>
            <w:tcW w:type="dxa" w:w="1152"/>
            <w:shd w:val="clear" w:color="auto" w:fill="C25418"/>
            <w:tcMar>
              <w:top w:w="120" w:type="dxa"/>
              <w:bottom w:w="120" w:type="dxa"/>
              <w:left w:w="150" w:type="dxa"/>
              <w:right w:w="150" w:type="dxa"/>
            </w:tcMar>
          </w:tcPr>
          <w:p>
            <w:pPr>
              <w:jc w:val="center"/>
            </w:pPr>
            <w:r>
              <w:rPr>
                <w:rFonts w:ascii="Times New Roman" w:hAnsi="Times New Roman"/>
                <w:b/>
                <w:color w:val="FFFFFF"/>
                <w:sz w:val="19"/>
              </w:rPr>
              <w:t>No. of Words</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Abstract</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180</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1.</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Introduction</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849</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2.</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Problem Statement</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692</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3.</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Background and Literature Review</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1697</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4.</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Requirements Analysis for AI-Driven Privacy Compliance</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674</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5.</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AI-Driven Privacy Compliance Architecture</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1233</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6.</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IoT Data Acquisition and Classification Layer</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1197</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7.</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Edge Intelligence and Local Governance Layer</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1292</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8.</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AI-Powered Privacy Risk Assessment Layer</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1372</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9.</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Automated Compliance and Policy Enforcement Layer</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1329</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10.</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Privacy Preservation and Data Protection Layer</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1236</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11.</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Explainability, Transparency, and Auditability Layer</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1165</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12.</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Governance, Regulatory Mapping, and Data Sovereignty Layer</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1129</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13.</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Security and Threat Intelligence Layer</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1159</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14.</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Experimental Setup</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986</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15.</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Evaluation Metrics</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592</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16.</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Results and Findings</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1503</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17.</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Comparative Analysis</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1076</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18.</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Trustworthiness, Accountability, and Governance Assessment</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881</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19.</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Industry Use Cases and Case Study Evaluation</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1104</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20.</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Business Impact Assessment</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734</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21.</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Challenges and Limitations</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769</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t>22.</w:t>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Future Research Directions</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808</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t>23.</w:t>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Conclusion</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600</w:t>
            </w:r>
          </w:p>
        </w:tc>
      </w:tr>
      <w:tr>
        <w:tc>
          <w:tcPr>
            <w:tcW w:type="dxa" w:w="864"/>
            <w:shd w:val="clear" w:color="auto" w:fill="FFFFFF"/>
            <w:tcMar>
              <w:top w:w="80" w:type="dxa"/>
              <w:bottom w:w="80" w:type="dxa"/>
              <w:left w:w="120" w:type="dxa"/>
              <w:right w:w="120" w:type="dxa"/>
            </w:tcMar>
          </w:tcPr>
          <w:p>
            <w:pPr>
              <w:jc w:val="center"/>
            </w:pPr>
            <w:r>
              <w:rPr>
                <w:rFonts w:ascii="Times New Roman" w:hAnsi="Times New Roman"/>
                <w:color w:val="1F2937"/>
                <w:sz w:val="18"/>
              </w:rPr>
            </w:r>
          </w:p>
        </w:tc>
        <w:tc>
          <w:tcPr>
            <w:tcW w:type="dxa" w:w="4896"/>
            <w:shd w:val="clear" w:color="auto" w:fill="FFFFFF"/>
            <w:tcMar>
              <w:top w:w="80" w:type="dxa"/>
              <w:bottom w:w="80" w:type="dxa"/>
              <w:left w:w="120" w:type="dxa"/>
              <w:right w:w="120" w:type="dxa"/>
            </w:tcMar>
          </w:tcPr>
          <w:p>
            <w:pPr>
              <w:jc w:val="left"/>
            </w:pPr>
            <w:r>
              <w:rPr>
                <w:rFonts w:ascii="Times New Roman" w:hAnsi="Times New Roman"/>
                <w:color w:val="1F2937"/>
                <w:sz w:val="18"/>
              </w:rPr>
              <w:t>References</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FFF"/>
            <w:tcMar>
              <w:top w:w="80" w:type="dxa"/>
              <w:bottom w:w="80" w:type="dxa"/>
              <w:left w:w="120" w:type="dxa"/>
              <w:right w:w="120" w:type="dxa"/>
            </w:tcMar>
          </w:tcPr>
          <w:p>
            <w:pPr>
              <w:jc w:val="left"/>
            </w:pPr>
            <w:r>
              <w:rPr>
                <w:rFonts w:ascii="Times New Roman" w:hAnsi="Times New Roman"/>
                <w:color w:val="1F2937"/>
                <w:sz w:val="18"/>
              </w:rPr>
              <w:t>1248</w:t>
            </w:r>
          </w:p>
        </w:tc>
      </w:tr>
      <w:tr>
        <w:tc>
          <w:tcPr>
            <w:tcW w:type="dxa" w:w="864"/>
            <w:shd w:val="clear" w:color="auto" w:fill="FFF7ED"/>
            <w:tcMar>
              <w:top w:w="80" w:type="dxa"/>
              <w:bottom w:w="80" w:type="dxa"/>
              <w:left w:w="120" w:type="dxa"/>
              <w:right w:w="120" w:type="dxa"/>
            </w:tcMar>
          </w:tcPr>
          <w:p>
            <w:pPr>
              <w:jc w:val="center"/>
            </w:pPr>
            <w:r>
              <w:rPr>
                <w:rFonts w:ascii="Times New Roman" w:hAnsi="Times New Roman"/>
                <w:color w:val="1F2937"/>
                <w:sz w:val="18"/>
              </w:rPr>
            </w:r>
          </w:p>
        </w:tc>
        <w:tc>
          <w:tcPr>
            <w:tcW w:type="dxa" w:w="4896"/>
            <w:shd w:val="clear" w:color="auto" w:fill="FFF7ED"/>
            <w:tcMar>
              <w:top w:w="80" w:type="dxa"/>
              <w:bottom w:w="80" w:type="dxa"/>
              <w:left w:w="120" w:type="dxa"/>
              <w:right w:w="120" w:type="dxa"/>
            </w:tcMar>
          </w:tcPr>
          <w:p>
            <w:pPr>
              <w:jc w:val="left"/>
            </w:pPr>
            <w:r>
              <w:rPr>
                <w:rFonts w:ascii="Times New Roman" w:hAnsi="Times New Roman"/>
                <w:color w:val="1F2937"/>
                <w:sz w:val="18"/>
              </w:rPr>
              <w:t>Appendices A–O</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Anuska (23BCE0167)</w:t>
            </w:r>
          </w:p>
        </w:tc>
        <w:tc>
          <w:tcPr>
            <w:tcW w:type="dxa" w:w="1152"/>
            <w:shd w:val="clear" w:color="auto" w:fill="FFF7ED"/>
            <w:tcMar>
              <w:top w:w="80" w:type="dxa"/>
              <w:bottom w:w="80" w:type="dxa"/>
              <w:left w:w="120" w:type="dxa"/>
              <w:right w:w="120" w:type="dxa"/>
            </w:tcMar>
          </w:tcPr>
          <w:p>
            <w:pPr>
              <w:jc w:val="left"/>
            </w:pPr>
            <w:r>
              <w:rPr>
                <w:rFonts w:ascii="Times New Roman" w:hAnsi="Times New Roman"/>
                <w:color w:val="1F2937"/>
                <w:sz w:val="18"/>
              </w:rPr>
              <w:t>Approx. 1,900</w:t>
            </w:r>
          </w:p>
        </w:tc>
      </w:tr>
    </w:tbl>
    <w:p>
      <w:pPr>
        <w:spacing w:after="120"/>
      </w:pPr>
    </w:p>
    <w:p>
      <w:pPr>
        <w:pStyle w:val="Heading2"/>
        <w:spacing w:before="240" w:after="80"/>
      </w:pPr>
      <w:r>
        <w:rPr>
          <w:rFonts w:ascii="Times New Roman" w:hAnsi="Times New Roman"/>
          <w:b/>
          <w:color w:val="1F2937"/>
          <w:sz w:val="24"/>
        </w:rPr>
        <w:t>Consolidated Report on Contributions</w:t>
      </w:r>
    </w:p>
    <w:tbl>
      <w:tblPr>
        <w:tblW w:type="auto" w:w="0"/>
        <w:jc w:val="center"/>
        <w:tblLayout w:type="fixed"/>
        <w:tblLook w:firstColumn="1" w:firstRow="1" w:lastColumn="0" w:lastRow="0" w:noHBand="0" w:noVBand="1" w:val="04A0"/>
      </w:tblPr>
      <w:tblGrid>
        <w:gridCol w:w="3120"/>
        <w:gridCol w:w="3120"/>
        <w:gridCol w:w="3120"/>
      </w:tblGrid>
      <w:tr>
        <w:tc>
          <w:tcPr>
            <w:tcW w:type="dxa" w:w="1152"/>
            <w:shd w:val="clear" w:color="auto" w:fill="C25418"/>
            <w:tcMar>
              <w:top w:w="120" w:type="dxa"/>
              <w:bottom w:w="120" w:type="dxa"/>
              <w:left w:w="150" w:type="dxa"/>
              <w:right w:w="150" w:type="dxa"/>
            </w:tcMar>
          </w:tcPr>
          <w:p>
            <w:pPr>
              <w:jc w:val="center"/>
            </w:pPr>
            <w:r>
              <w:rPr>
                <w:rFonts w:ascii="Times New Roman" w:hAnsi="Times New Roman"/>
                <w:b/>
                <w:color w:val="FFFFFF"/>
                <w:sz w:val="19"/>
              </w:rPr>
              <w:t>Sl. No.</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Reg. No. of Student</w:t>
            </w:r>
          </w:p>
        </w:tc>
        <w:tc>
          <w:tcPr>
            <w:tcW w:type="dxa" w:w="5472"/>
            <w:shd w:val="clear" w:color="auto" w:fill="C25418"/>
            <w:tcMar>
              <w:top w:w="120" w:type="dxa"/>
              <w:bottom w:w="120" w:type="dxa"/>
              <w:left w:w="150" w:type="dxa"/>
              <w:right w:w="150" w:type="dxa"/>
            </w:tcMar>
          </w:tcPr>
          <w:p>
            <w:pPr>
              <w:jc w:val="center"/>
            </w:pPr>
            <w:r>
              <w:rPr>
                <w:rFonts w:ascii="Times New Roman" w:hAnsi="Times New Roman"/>
                <w:b/>
                <w:color w:val="FFFFFF"/>
                <w:sz w:val="19"/>
              </w:rPr>
              <w:t>Summary</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1</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23BCE0167</w:t>
            </w:r>
          </w:p>
        </w:tc>
        <w:tc>
          <w:tcPr>
            <w:tcW w:type="dxa" w:w="5472"/>
            <w:shd w:val="clear" w:color="auto" w:fill="FFFFFF"/>
            <w:tcMar>
              <w:top w:w="80" w:type="dxa"/>
              <w:bottom w:w="80" w:type="dxa"/>
              <w:left w:w="120" w:type="dxa"/>
              <w:right w:w="120" w:type="dxa"/>
            </w:tcMar>
          </w:tcPr>
          <w:p>
            <w:pPr>
              <w:jc w:val="left"/>
            </w:pPr>
            <w:r>
              <w:rPr>
                <w:rFonts w:ascii="Times New Roman" w:hAnsi="Times New Roman"/>
                <w:color w:val="1F2937"/>
                <w:sz w:val="18"/>
              </w:rPr>
              <w:t>All sections, datasets, benchmarks, and diagrams contributed by Anuska Saha.</w:t>
            </w:r>
          </w:p>
        </w:tc>
      </w:tr>
    </w:tbl>
    <w:p>
      <w:pPr>
        <w:spacing w:after="120"/>
      </w:pPr>
    </w:p>
    <w:p>
      <w:r>
        <w:br w:type="page"/>
      </w:r>
    </w:p>
    <w:p>
      <w:pPr>
        <w:pStyle w:val="Heading1"/>
        <w:spacing w:before="240" w:after="80"/>
      </w:pPr>
      <w:r>
        <w:rPr>
          <w:rFonts w:ascii="Times New Roman" w:hAnsi="Times New Roman"/>
          <w:b/>
          <w:color w:val="B45309"/>
          <w:sz w:val="28"/>
        </w:rPr>
        <w:t>Executive Summary</w:t>
      </w:r>
    </w:p>
    <w:p>
      <w:pPr>
        <w:spacing w:after="80" w:line="276" w:lineRule="auto"/>
      </w:pPr>
      <w:r>
        <w:rPr>
          <w:rFonts w:ascii="Times New Roman" w:hAnsi="Times New Roman"/>
          <w:sz w:val="21"/>
        </w:rPr>
        <w:t>Heterogeneous Internet of Things (IoT) environments combine devices with different hardware, operating systems, communication protocols, owners, and data practices [1]. They create useful services in healthcare, smart cities, manufacturing, energy, agriculture, and transport, but they also make privacy governance difficult [2]. Data can move from a sensor to a gateway, an edge service, a cloud platform, and a third-party application [3]. A single access-control list cannot explain every use of the data, and a policy written for one device may not match another device's capabilities [4]. Privacy compliance therefore needs to be treated as an ongoing system property rather than a document prepared only before deployment [5]. Recent research describes AI-based privacy detection, federated learning, edge processing, differential privacy, and explainable AI as useful building blocks, while also warning that model opacity, heterogeneous data, attacks, and incomplete evaluation remain unresolved challenges [1].</w:t>
      </w:r>
    </w:p>
    <w:p>
      <w:pPr>
        <w:spacing w:after="80" w:line="276" w:lineRule="auto"/>
      </w:pPr>
      <w:r>
        <w:rPr>
          <w:rFonts w:ascii="Times New Roman" w:hAnsi="Times New Roman"/>
          <w:sz w:val="21"/>
        </w:rPr>
        <w:t>This report proposes a layered AI-driven privacy-compliance framework [3]. The layers cover device registration; data acquisition and classification; edge-level governance; AI-assisted privacy risk assessment; rule-based policy enforcement; data protection; explanations and audit records; regulatory mapping; and security intelligence [4]. The framework combines deterministic rules with a machine-learning risk detector [34]. Deterministic rules are used for decisions that must be direct and auditable, such as missing consent evidence, prohibited purposes, failed encryption checks, or an expired retention period [35]. The AI component prioritizes uncertain or changing risk patterns [3]. The model does not decide whether an organization is legally compliant by itself; it provides a risk signal that must be interpreted with the applicable law, policy configuration, and human review [4].</w:t>
      </w:r>
    </w:p>
    <w:p>
      <w:pPr>
        <w:spacing w:after="80" w:line="276" w:lineRule="auto"/>
      </w:pPr>
      <w:r>
        <w:rPr>
          <w:rFonts w:ascii="Times New Roman" w:hAnsi="Times New Roman"/>
          <w:sz w:val="21"/>
        </w:rPr>
        <w:t>A reproducible benchmark is included to show the design [7]. The dataset contains 6,000 synthetic IoT event records spanning six domains [14]. A stratified 75/25 split reserves 1,500 records for testing [17]. A transparent checklist baseline, a Random Forest detector, and a hybrid rules-plus-AI approach are compared [18]. On the generated held-out split, the checklist obtains 66.40% accuracy and 29.02% recall; Random Forest obtains 68.73% accuracy and 61.48% recall; and the hybrid obtains 64.27% accuracy and 79.51% recall [7]. The hybrid favors finding more possible violations, at the cost of more false alerts and lower accuracy [14]. All values are generated from synthetic labels and are not evidence of real-world compliance effectiveness [17]. The report also provides source code, a CSV dataset, high-resolution diagrams, and an editable multi-page diagrams.net source [18]. A real deployment would require approved datasets, independent validation, jurisdiction-specific legal review, privacy-budget accounting where differential privacy is used, threat testing, and an agreed human escalation process [7].</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C25418"/>
            <w:tcMar>
              <w:top w:w="120" w:type="dxa"/>
              <w:bottom w:w="120" w:type="dxa"/>
              <w:left w:w="150" w:type="dxa"/>
              <w:right w:w="150" w:type="dxa"/>
            </w:tcMar>
          </w:tcPr>
          <w:p>
            <w:pPr>
              <w:jc w:val="center"/>
            </w:pPr>
            <w:r>
              <w:rPr>
                <w:rFonts w:ascii="Times New Roman" w:hAnsi="Times New Roman"/>
                <w:b/>
                <w:color w:val="FFFFFF"/>
                <w:sz w:val="19"/>
              </w:rPr>
              <w:t>Contribution</w:t>
            </w:r>
          </w:p>
        </w:tc>
        <w:tc>
          <w:tcPr>
            <w:tcW w:type="dxa" w:w="4608"/>
            <w:shd w:val="clear" w:color="auto" w:fill="C25418"/>
            <w:tcMar>
              <w:top w:w="120" w:type="dxa"/>
              <w:bottom w:w="120" w:type="dxa"/>
              <w:left w:w="150" w:type="dxa"/>
              <w:right w:w="150" w:type="dxa"/>
            </w:tcMar>
          </w:tcPr>
          <w:p>
            <w:pPr>
              <w:jc w:val="center"/>
            </w:pPr>
            <w:r>
              <w:rPr>
                <w:rFonts w:ascii="Times New Roman" w:hAnsi="Times New Roman"/>
                <w:b/>
                <w:color w:val="FFFFFF"/>
                <w:sz w:val="19"/>
              </w:rPr>
              <w:t>What is provided</w:t>
            </w:r>
          </w:p>
        </w:tc>
        <w:tc>
          <w:tcPr>
            <w:tcW w:type="dxa" w:w="2448"/>
            <w:shd w:val="clear" w:color="auto" w:fill="C25418"/>
            <w:tcMar>
              <w:top w:w="120" w:type="dxa"/>
              <w:bottom w:w="120" w:type="dxa"/>
              <w:left w:w="150" w:type="dxa"/>
              <w:right w:w="150" w:type="dxa"/>
            </w:tcMar>
          </w:tcPr>
          <w:p>
            <w:pPr>
              <w:jc w:val="center"/>
            </w:pPr>
            <w:r>
              <w:rPr>
                <w:rFonts w:ascii="Times New Roman" w:hAnsi="Times New Roman"/>
                <w:b/>
                <w:color w:val="FFFFFF"/>
                <w:sz w:val="19"/>
              </w:rPr>
              <w:t>Evidence / limitation</w:t>
            </w:r>
          </w:p>
        </w:tc>
      </w:tr>
      <w:tr>
        <w:tc>
          <w:tcPr>
            <w:tcW w:type="dxa" w:w="2160"/>
            <w:shd w:val="clear" w:color="auto" w:fill="FFFFFF"/>
            <w:tcMar>
              <w:top w:w="80" w:type="dxa"/>
              <w:bottom w:w="80" w:type="dxa"/>
              <w:left w:w="120" w:type="dxa"/>
              <w:right w:w="120" w:type="dxa"/>
            </w:tcMar>
          </w:tcPr>
          <w:p>
            <w:pPr>
              <w:jc w:val="center"/>
            </w:pPr>
            <w:r>
              <w:rPr>
                <w:rFonts w:ascii="Times New Roman" w:hAnsi="Times New Roman"/>
                <w:color w:val="1F2937"/>
                <w:sz w:val="18"/>
              </w:rPr>
              <w:t>Reference architecture</w:t>
            </w:r>
          </w:p>
        </w:tc>
        <w:tc>
          <w:tcPr>
            <w:tcW w:type="dxa" w:w="4608"/>
            <w:shd w:val="clear" w:color="auto" w:fill="FFFFFF"/>
            <w:tcMar>
              <w:top w:w="80" w:type="dxa"/>
              <w:bottom w:w="80" w:type="dxa"/>
              <w:left w:w="120" w:type="dxa"/>
              <w:right w:w="120" w:type="dxa"/>
            </w:tcMar>
          </w:tcPr>
          <w:p>
            <w:pPr>
              <w:jc w:val="left"/>
            </w:pPr>
            <w:r>
              <w:rPr>
                <w:rFonts w:ascii="Times New Roman" w:hAnsi="Times New Roman"/>
                <w:color w:val="1F2937"/>
                <w:sz w:val="18"/>
              </w:rPr>
              <w:t>Layered IoT privacy-governance design linking data classification, edge checks, AI risk detection, rules, explanations, regulation mapping, and security intelligence.</w:t>
            </w:r>
          </w:p>
        </w:tc>
        <w:tc>
          <w:tcPr>
            <w:tcW w:type="dxa" w:w="2448"/>
            <w:shd w:val="clear" w:color="auto" w:fill="FFFFFF"/>
            <w:tcMar>
              <w:top w:w="80" w:type="dxa"/>
              <w:bottom w:w="80" w:type="dxa"/>
              <w:left w:w="120" w:type="dxa"/>
              <w:right w:w="120" w:type="dxa"/>
            </w:tcMar>
          </w:tcPr>
          <w:p>
            <w:pPr>
              <w:jc w:val="left"/>
            </w:pPr>
            <w:r>
              <w:rPr>
                <w:rFonts w:ascii="Times New Roman" w:hAnsi="Times New Roman"/>
                <w:color w:val="1F2937"/>
                <w:sz w:val="18"/>
              </w:rPr>
              <w:t>Design proposal; not a deployed platform.</w:t>
            </w:r>
          </w:p>
        </w:tc>
      </w:tr>
      <w:tr>
        <w:tc>
          <w:tcPr>
            <w:tcW w:type="dxa" w:w="2160"/>
            <w:shd w:val="clear" w:color="auto" w:fill="FFF7ED"/>
            <w:tcMar>
              <w:top w:w="80" w:type="dxa"/>
              <w:bottom w:w="80" w:type="dxa"/>
              <w:left w:w="120" w:type="dxa"/>
              <w:right w:w="120" w:type="dxa"/>
            </w:tcMar>
          </w:tcPr>
          <w:p>
            <w:pPr>
              <w:jc w:val="center"/>
            </w:pPr>
            <w:r>
              <w:rPr>
                <w:rFonts w:ascii="Times New Roman" w:hAnsi="Times New Roman"/>
                <w:color w:val="1F2937"/>
                <w:sz w:val="18"/>
              </w:rPr>
              <w:t>Reproducible benchmark</w:t>
            </w:r>
          </w:p>
        </w:tc>
        <w:tc>
          <w:tcPr>
            <w:tcW w:type="dxa" w:w="4608"/>
            <w:shd w:val="clear" w:color="auto" w:fill="FFF7ED"/>
            <w:tcMar>
              <w:top w:w="80" w:type="dxa"/>
              <w:bottom w:w="80" w:type="dxa"/>
              <w:left w:w="120" w:type="dxa"/>
              <w:right w:w="120" w:type="dxa"/>
            </w:tcMar>
          </w:tcPr>
          <w:p>
            <w:pPr>
              <w:jc w:val="left"/>
            </w:pPr>
            <w:r>
              <w:rPr>
                <w:rFonts w:ascii="Times New Roman" w:hAnsi="Times New Roman"/>
                <w:color w:val="1F2937"/>
                <w:sz w:val="18"/>
              </w:rPr>
              <w:t>6,000 synthetic events, fixed seed, 1,500 held-out test events, three comparison approaches.</w:t>
            </w:r>
          </w:p>
        </w:tc>
        <w:tc>
          <w:tcPr>
            <w:tcW w:type="dxa" w:w="2448"/>
            <w:shd w:val="clear" w:color="auto" w:fill="FFF7ED"/>
            <w:tcMar>
              <w:top w:w="80" w:type="dxa"/>
              <w:bottom w:w="80" w:type="dxa"/>
              <w:left w:w="120" w:type="dxa"/>
              <w:right w:w="120" w:type="dxa"/>
            </w:tcMar>
          </w:tcPr>
          <w:p>
            <w:pPr>
              <w:jc w:val="left"/>
            </w:pPr>
            <w:r>
              <w:rPr>
                <w:rFonts w:ascii="Times New Roman" w:hAnsi="Times New Roman"/>
                <w:color w:val="1F2937"/>
                <w:sz w:val="18"/>
              </w:rPr>
              <w:t>Metrics measure only agreement with synthetic labels.</w:t>
            </w:r>
          </w:p>
        </w:tc>
      </w:tr>
      <w:tr>
        <w:tc>
          <w:tcPr>
            <w:tcW w:type="dxa" w:w="2160"/>
            <w:shd w:val="clear" w:color="auto" w:fill="FFFFFF"/>
            <w:tcMar>
              <w:top w:w="80" w:type="dxa"/>
              <w:bottom w:w="80" w:type="dxa"/>
              <w:left w:w="120" w:type="dxa"/>
              <w:right w:w="120" w:type="dxa"/>
            </w:tcMar>
          </w:tcPr>
          <w:p>
            <w:pPr>
              <w:jc w:val="center"/>
            </w:pPr>
            <w:r>
              <w:rPr>
                <w:rFonts w:ascii="Times New Roman" w:hAnsi="Times New Roman"/>
                <w:color w:val="1F2937"/>
                <w:sz w:val="18"/>
              </w:rPr>
              <w:t>Operational artefacts</w:t>
            </w:r>
          </w:p>
        </w:tc>
        <w:tc>
          <w:tcPr>
            <w:tcW w:type="dxa" w:w="4608"/>
            <w:shd w:val="clear" w:color="auto" w:fill="FFFFFF"/>
            <w:tcMar>
              <w:top w:w="80" w:type="dxa"/>
              <w:bottom w:w="80" w:type="dxa"/>
              <w:left w:w="120" w:type="dxa"/>
              <w:right w:w="120" w:type="dxa"/>
            </w:tcMar>
          </w:tcPr>
          <w:p>
            <w:pPr>
              <w:jc w:val="left"/>
            </w:pPr>
            <w:r>
              <w:rPr>
                <w:rFonts w:ascii="Times New Roman" w:hAnsi="Times New Roman"/>
                <w:color w:val="1F2937"/>
                <w:sz w:val="18"/>
              </w:rPr>
              <w:t>34 original 600-DPI PNG figures, editable diagrams.net source, 15 tables, 8 editable equations, Python code, and CSV dataset.</w:t>
            </w:r>
          </w:p>
        </w:tc>
        <w:tc>
          <w:tcPr>
            <w:tcW w:type="dxa" w:w="2448"/>
            <w:shd w:val="clear" w:color="auto" w:fill="FFFFFF"/>
            <w:tcMar>
              <w:top w:w="80" w:type="dxa"/>
              <w:bottom w:w="80" w:type="dxa"/>
              <w:left w:w="120" w:type="dxa"/>
              <w:right w:w="120" w:type="dxa"/>
            </w:tcMar>
          </w:tcPr>
          <w:p>
            <w:pPr>
              <w:jc w:val="left"/>
            </w:pPr>
            <w:r>
              <w:rPr>
                <w:rFonts w:ascii="Times New Roman" w:hAnsi="Times New Roman"/>
                <w:color w:val="1F2937"/>
                <w:sz w:val="18"/>
              </w:rPr>
              <w:t>A real deployment, live IoT device, and recorded production run are not included.</w:t>
            </w:r>
          </w:p>
        </w:tc>
      </w:tr>
      <w:tr>
        <w:tc>
          <w:tcPr>
            <w:tcW w:type="dxa" w:w="2160"/>
            <w:shd w:val="clear" w:color="auto" w:fill="FFF7ED"/>
            <w:tcMar>
              <w:top w:w="80" w:type="dxa"/>
              <w:bottom w:w="80" w:type="dxa"/>
              <w:left w:w="120" w:type="dxa"/>
              <w:right w:w="120" w:type="dxa"/>
            </w:tcMar>
          </w:tcPr>
          <w:p>
            <w:pPr>
              <w:jc w:val="center"/>
            </w:pPr>
            <w:r>
              <w:rPr>
                <w:rFonts w:ascii="Times New Roman" w:hAnsi="Times New Roman"/>
                <w:color w:val="1F2937"/>
                <w:sz w:val="18"/>
              </w:rPr>
              <w:t>Practical guidance</w:t>
            </w:r>
          </w:p>
        </w:tc>
        <w:tc>
          <w:tcPr>
            <w:tcW w:type="dxa" w:w="4608"/>
            <w:shd w:val="clear" w:color="auto" w:fill="FFF7ED"/>
            <w:tcMar>
              <w:top w:w="80" w:type="dxa"/>
              <w:bottom w:w="80" w:type="dxa"/>
              <w:left w:w="120" w:type="dxa"/>
              <w:right w:w="120" w:type="dxa"/>
            </w:tcMar>
          </w:tcPr>
          <w:p>
            <w:pPr>
              <w:jc w:val="left"/>
            </w:pPr>
            <w:r>
              <w:rPr>
                <w:rFonts w:ascii="Times New Roman" w:hAnsi="Times New Roman"/>
                <w:color w:val="1F2937"/>
                <w:sz w:val="18"/>
              </w:rPr>
              <w:t>Requirements, policy examples, evaluation measures, data statement, risk and governance controls.</w:t>
            </w:r>
          </w:p>
        </w:tc>
        <w:tc>
          <w:tcPr>
            <w:tcW w:type="dxa" w:w="2448"/>
            <w:shd w:val="clear" w:color="auto" w:fill="FFF7ED"/>
            <w:tcMar>
              <w:top w:w="80" w:type="dxa"/>
              <w:bottom w:w="80" w:type="dxa"/>
              <w:left w:w="120" w:type="dxa"/>
              <w:right w:w="120" w:type="dxa"/>
            </w:tcMar>
          </w:tcPr>
          <w:p>
            <w:pPr>
              <w:jc w:val="left"/>
            </w:pPr>
            <w:r>
              <w:rPr>
                <w:rFonts w:ascii="Times New Roman" w:hAnsi="Times New Roman"/>
                <w:color w:val="1F2937"/>
                <w:sz w:val="18"/>
              </w:rPr>
              <w:t>Legal applicability must be reviewed for the actual organization and jurisdiction.</w:t>
            </w:r>
          </w:p>
        </w:tc>
      </w:tr>
    </w:tbl>
    <w:p>
      <w:pPr>
        <w:spacing w:after="120"/>
      </w:pPr>
    </w:p>
    <w:p>
      <w:pPr>
        <w:spacing w:after="80" w:line="276" w:lineRule="auto"/>
      </w:pPr>
      <w:r>
        <w:rPr>
          <w:rFonts w:ascii="Times New Roman" w:hAnsi="Times New Roman"/>
          <w:b/>
          <w:sz w:val="21"/>
        </w:rPr>
        <w:t xml:space="preserve">Note on Scope: </w:t>
      </w:r>
      <w:r>
        <w:rPr>
          <w:rFonts w:ascii="Times New Roman" w:hAnsi="Times New Roman"/>
          <w:sz w:val="21"/>
        </w:rPr>
        <w:t>Interpretation boundary: the architecture is proposed and all measured metrics in the accompanying benchmark are synthetic.</w:t>
      </w:r>
    </w:p>
    <w:p>
      <w:r>
        <w:br w:type="page"/>
      </w:r>
    </w:p>
    <w:p>
      <w:pPr>
        <w:pStyle w:val="Heading1"/>
        <w:spacing w:before="240" w:after="80"/>
      </w:pPr>
      <w:r>
        <w:rPr>
          <w:rFonts w:ascii="Times New Roman" w:hAnsi="Times New Roman"/>
          <w:b/>
          <w:color w:val="B45309"/>
          <w:sz w:val="28"/>
        </w:rPr>
        <w:t>AI-Driven Privacy Compliance in Heterogeneous IoT Environments</w:t>
      </w:r>
    </w:p>
    <w:p>
      <w:pPr>
        <w:jc w:val="center"/>
      </w:pPr>
      <w:r>
        <w:rPr>
          <w:rFonts w:ascii="Times New Roman" w:hAnsi="Times New Roman"/>
          <w:b/>
          <w:sz w:val="21"/>
        </w:rPr>
        <w:t>Anuska Saha (23BCE0167)</w:t>
        <w:br/>
        <w:t>School of Computer Science and Engineering, Vellore Institute of Technology, Vellore, Tamil Nadu, India</w:t>
        <w:br/>
        <w:t>Team ID: 26FSDPYCPMID1029</w:t>
        <w:br/>
      </w:r>
    </w:p>
    <w:p>
      <w:pPr>
        <w:spacing w:after="80" w:line="276" w:lineRule="auto"/>
      </w:pPr>
      <w:r>
        <w:rPr>
          <w:rFonts w:ascii="Times New Roman" w:hAnsi="Times New Roman"/>
          <w:b/>
          <w:sz w:val="21"/>
        </w:rPr>
        <w:t>ABSTRACT—</w:t>
      </w:r>
      <w:r>
        <w:rPr>
          <w:rFonts w:ascii="Times New Roman" w:hAnsi="Times New Roman"/>
          <w:sz w:val="21"/>
        </w:rPr>
        <w:t>Heterogeneous Internet of Things (IoT) environments create privacy-compliance challenges because devices differ in capability, ownership, data sensitivity, communication methods, processing location, and applicable policies. This case study proposes a layered AI-driven privacy-compliance framework combining data classification, edge governance, risk detection, policy enforcement, privacy-preserving processing, explainable decisions, regulatory mapping, and security intelligence. The design separates deterministic policy rules from AI-generated risk signals so that mandatory controls remain auditable and uncertain cases can be prioritized for review. A reproducible, teaching-scale benchmark was implemented on 6,000 synthetic event records covering healthcare, smart cities, manufacturing, energy, agriculture, and transport. A checklist baseline, Random Forest classifier, and hybrid rules-plus-AI detector were evaluated on a stratified held-out split of 1,500 events. The hybrid detector achieved 79.51% recall and an F1 score of 0.644, compared with 29.02% recall and an F1 score of 0.413 for the checklist baseline. Its lower accuracy than the stand-alone classifier highlights a practical trade-off between detecting more candidate violations and limiting false alerts. The results validate the reproducibility of the software workflow only; the labels are synthetic and do not represent legal findings, real users, or a production IoT system. The report provides an architecture, requirements matrix, risk-scoring method, regulatory mapping approach, source code, and data card. Future evaluation should use consented or publicly licensed domain datasets, independent audit labels, and operational measurements.</w:t>
      </w:r>
    </w:p>
    <w:p>
      <w:pPr>
        <w:spacing w:after="80" w:line="276" w:lineRule="auto"/>
      </w:pPr>
      <w:r>
        <w:rPr>
          <w:rFonts w:ascii="Times New Roman" w:hAnsi="Times New Roman"/>
          <w:b/>
          <w:sz w:val="21"/>
        </w:rPr>
        <w:t>INDEX TERMS—</w:t>
      </w:r>
      <w:r>
        <w:rPr>
          <w:rFonts w:ascii="Times New Roman" w:hAnsi="Times New Roman"/>
          <w:sz w:val="21"/>
        </w:rPr>
        <w:t>Artificial Intelligence, Data Protection, Internet of Things, Privacy Compliance, Regulatory Technology, Trustworthy AI.</w:t>
      </w:r>
    </w:p>
    <w:p>
      <w:pPr>
        <w:pStyle w:val="Heading1"/>
        <w:spacing w:before="240" w:after="80"/>
      </w:pPr>
      <w:r>
        <w:rPr>
          <w:rFonts w:ascii="Times New Roman" w:hAnsi="Times New Roman"/>
          <w:b/>
          <w:color w:val="B45309"/>
          <w:sz w:val="28"/>
        </w:rPr>
        <w:t>1. Introduction</w:t>
      </w:r>
    </w:p>
    <w:p>
      <w:pPr>
        <w:spacing w:after="80" w:line="276" w:lineRule="auto"/>
      </w:pPr>
      <w:r>
        <w:rPr>
          <w:rFonts w:ascii="Times New Roman" w:hAnsi="Times New Roman"/>
          <w:sz w:val="21"/>
        </w:rPr>
        <w:t>The Internet of Things connects physical objects to software services so that sensing, monitoring, prediction, and control can happen with limited human intervention [4]. A deployment may include medical wearables, environmental sensors, traffic cameras, smart meters, industrial controllers, agricultural monitors, and mobile devices [8]. These components are rarely identical [10]. They may use different manufacturers, firmware, identity systems, communication protocols, storage services, and update practices [4]. As data crosses these technical and organizational boundaries, privacy obligations must follow the data rather than remain attached to one device or database [8][68][74][75].</w:t>
      </w:r>
    </w:p>
    <w:p>
      <w:pPr>
        <w:spacing w:before="160" w:after="40"/>
        <w:jc w:val="center"/>
      </w:pPr>
      <w:r>
        <w:drawing>
          <wp:inline xmlns:a="http://schemas.openxmlformats.org/drawingml/2006/main" xmlns:pic="http://schemas.openxmlformats.org/drawingml/2006/picture">
            <wp:extent cx="5303520" cy="2953859"/>
            <wp:docPr id="1" name="Picture 1"/>
            <wp:cNvGraphicFramePr>
              <a:graphicFrameLocks noChangeAspect="1"/>
            </wp:cNvGraphicFramePr>
            <a:graphic>
              <a:graphicData uri="http://schemas.openxmlformats.org/drawingml/2006/picture">
                <pic:pic>
                  <pic:nvPicPr>
                    <pic:cNvPr id="0" name="Fig 01 Evolution of IoT Ecosystems and Compliance Challenges.png"/>
                    <pic:cNvPicPr/>
                  </pic:nvPicPr>
                  <pic:blipFill>
                    <a:blip r:embed="rId9"/>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 Evolution of IoT Ecosystems and Compliance Challenges</w:t>
      </w:r>
    </w:p>
    <w:p>
      <w:pPr>
        <w:spacing w:after="80" w:line="276" w:lineRule="auto"/>
      </w:pPr>
      <w:r>
        <w:rPr>
          <w:rFonts w:ascii="Times New Roman" w:hAnsi="Times New Roman"/>
          <w:sz w:val="21"/>
        </w:rPr>
        <w:t>The privacy challenge is broader than preventing a network attack [1]. A system can be technically secure and still process data for an unclear purpose, retain it for too long, combine it with other records without suitable authority, or share it with a party that was not covered by the original notice [2]. Device metadata can itself reveal behavior [7]. For example, regular access times from a home sensor may disclose household routines even when the payload is encrypted [1]. In health, transport, and smart-city services, information that looks harmless in isolation can become sensitive when joined with location, identity, or time patterns [2][51].</w:t>
      </w:r>
    </w:p>
    <w:p>
      <w:pPr>
        <w:spacing w:before="160" w:after="40"/>
        <w:jc w:val="center"/>
      </w:pPr>
      <w:r>
        <w:drawing>
          <wp:inline xmlns:a="http://schemas.openxmlformats.org/drawingml/2006/main" xmlns:pic="http://schemas.openxmlformats.org/drawingml/2006/picture">
            <wp:extent cx="5303520" cy="2953859"/>
            <wp:docPr id="2" name="Picture 2"/>
            <wp:cNvGraphicFramePr>
              <a:graphicFrameLocks noChangeAspect="1"/>
            </wp:cNvGraphicFramePr>
            <a:graphic>
              <a:graphicData uri="http://schemas.openxmlformats.org/drawingml/2006/picture">
                <pic:pic>
                  <pic:nvPicPr>
                    <pic:cNvPr id="0" name="Fig 02 AI-Driven Privacy Governance Landscape.png"/>
                    <pic:cNvPicPr/>
                  </pic:nvPicPr>
                  <pic:blipFill>
                    <a:blip r:embed="rId10"/>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2. AI-Driven Privacy Governance Landscape</w:t>
      </w:r>
    </w:p>
    <w:p>
      <w:pPr>
        <w:spacing w:after="80" w:line="276" w:lineRule="auto"/>
      </w:pPr>
      <w:r>
        <w:rPr>
          <w:rFonts w:ascii="Times New Roman" w:hAnsi="Times New Roman"/>
          <w:sz w:val="21"/>
        </w:rPr>
        <w:t>Traditional governance often relies on written policies, periodic audits, manually maintained inventories, and static access controls [1]. Those mechanisms remain important, but they do not always scale to rapidly changing device fleets and event streams [2]. Research on AI-assisted IoT privacy identifies automated detection and analysis as active areas, while noting that many studies use limited validation measures or leave the target deployment domain unclear [2]. The present report responds by treating AI as one component in a larger compliance mechanism that includes policy rules, edge controls, explanations, audit evidence, and human accountability [1][80].</w:t>
      </w:r>
    </w:p>
    <w:p>
      <w:pPr>
        <w:pStyle w:val="Heading1"/>
        <w:spacing w:before="240" w:after="80"/>
      </w:pPr>
      <w:r>
        <w:rPr>
          <w:rFonts w:ascii="Times New Roman" w:hAnsi="Times New Roman"/>
          <w:b/>
          <w:color w:val="B45309"/>
          <w:sz w:val="28"/>
        </w:rPr>
        <w:t>2. Problem Statement</w:t>
      </w:r>
    </w:p>
    <w:p>
      <w:pPr>
        <w:spacing w:after="80" w:line="276" w:lineRule="auto"/>
      </w:pPr>
      <w:r>
        <w:rPr>
          <w:rFonts w:ascii="Times New Roman" w:hAnsi="Times New Roman"/>
          <w:sz w:val="21"/>
        </w:rPr>
        <w:t>The central problem is that IoT environments with different devices generate and exchange data under different technical and organizational conditions, while privacy policies and legal duties are usually expressed at a higher level than individual device events [4]. The system must decide whether an event is expected, whether the data are sensitive, whether collection and use match an authorized purpose, whether the processing location is acceptable, whether retention is still justified, and what evidence is required [10]. These questions can change as device firmware, vendors, services, or applicable rules change [13].</w:t>
      </w:r>
    </w:p>
    <w:p>
      <w:pPr>
        <w:spacing w:before="160" w:after="40"/>
        <w:jc w:val="center"/>
      </w:pPr>
      <w:r>
        <w:drawing>
          <wp:inline xmlns:a="http://schemas.openxmlformats.org/drawingml/2006/main" xmlns:pic="http://schemas.openxmlformats.org/drawingml/2006/picture">
            <wp:extent cx="5303520" cy="2953859"/>
            <wp:docPr id="3" name="Picture 3"/>
            <wp:cNvGraphicFramePr>
              <a:graphicFrameLocks noChangeAspect="1"/>
            </wp:cNvGraphicFramePr>
            <a:graphic>
              <a:graphicData uri="http://schemas.openxmlformats.org/drawingml/2006/picture">
                <pic:pic>
                  <pic:nvPicPr>
                    <pic:cNvPr id="0" name="Fig 03 IoT Privacy Compliance Challenge Landscape.png"/>
                    <pic:cNvPicPr/>
                  </pic:nvPicPr>
                  <pic:blipFill>
                    <a:blip r:embed="rId11"/>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3. IoT Privacy Compliance Challenge Landscape</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C25418"/>
            <w:tcMar>
              <w:top w:w="120" w:type="dxa"/>
              <w:bottom w:w="120" w:type="dxa"/>
              <w:left w:w="150" w:type="dxa"/>
              <w:right w:w="150" w:type="dxa"/>
            </w:tcMar>
          </w:tcPr>
          <w:p>
            <w:pPr>
              <w:jc w:val="center"/>
            </w:pPr>
            <w:r>
              <w:rPr>
                <w:rFonts w:ascii="Times New Roman" w:hAnsi="Times New Roman"/>
                <w:b/>
                <w:color w:val="FFFFFF"/>
                <w:sz w:val="19"/>
              </w:rPr>
              <w:t>Challenge</w:t>
            </w:r>
          </w:p>
        </w:tc>
        <w:tc>
          <w:tcPr>
            <w:tcW w:type="dxa" w:w="3600"/>
            <w:shd w:val="clear" w:color="auto" w:fill="C25418"/>
            <w:tcMar>
              <w:top w:w="120" w:type="dxa"/>
              <w:bottom w:w="120" w:type="dxa"/>
              <w:left w:w="150" w:type="dxa"/>
              <w:right w:w="150" w:type="dxa"/>
            </w:tcMar>
          </w:tcPr>
          <w:p>
            <w:pPr>
              <w:jc w:val="center"/>
            </w:pPr>
            <w:r>
              <w:rPr>
                <w:rFonts w:ascii="Times New Roman" w:hAnsi="Times New Roman"/>
                <w:b/>
                <w:color w:val="FFFFFF"/>
                <w:sz w:val="19"/>
              </w:rPr>
              <w:t>Observed gap in typical approaches</w:t>
            </w:r>
          </w:p>
        </w:tc>
        <w:tc>
          <w:tcPr>
            <w:tcW w:type="dxa" w:w="3456"/>
            <w:shd w:val="clear" w:color="auto" w:fill="C25418"/>
            <w:tcMar>
              <w:top w:w="120" w:type="dxa"/>
              <w:bottom w:w="120" w:type="dxa"/>
              <w:left w:w="150" w:type="dxa"/>
              <w:right w:w="150" w:type="dxa"/>
            </w:tcMar>
          </w:tcPr>
          <w:p>
            <w:pPr>
              <w:jc w:val="center"/>
            </w:pPr>
            <w:r>
              <w:rPr>
                <w:rFonts w:ascii="Times New Roman" w:hAnsi="Times New Roman"/>
                <w:b/>
                <w:color w:val="FFFFFF"/>
                <w:sz w:val="19"/>
              </w:rPr>
              <w:t>Design response</w:t>
            </w:r>
          </w:p>
        </w:tc>
      </w:tr>
      <w:tr>
        <w:tc>
          <w:tcPr>
            <w:tcW w:type="dxa" w:w="2160"/>
            <w:shd w:val="clear" w:color="auto" w:fill="FFFFFF"/>
            <w:tcMar>
              <w:top w:w="80" w:type="dxa"/>
              <w:bottom w:w="80" w:type="dxa"/>
              <w:left w:w="120" w:type="dxa"/>
              <w:right w:w="120" w:type="dxa"/>
            </w:tcMar>
          </w:tcPr>
          <w:p>
            <w:pPr>
              <w:jc w:val="center"/>
            </w:pPr>
            <w:r>
              <w:rPr>
                <w:rFonts w:ascii="Times New Roman" w:hAnsi="Times New Roman"/>
                <w:color w:val="1F2937"/>
                <w:sz w:val="18"/>
              </w:rPr>
              <w:t>Device heterogeneity</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Schemas, identity, capabilities, and update models vary.</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Device registry, schema validation, capability-aware controls.</w:t>
            </w:r>
          </w:p>
        </w:tc>
      </w:tr>
      <w:tr>
        <w:tc>
          <w:tcPr>
            <w:tcW w:type="dxa" w:w="2160"/>
            <w:shd w:val="clear" w:color="auto" w:fill="FFF7ED"/>
            <w:tcMar>
              <w:top w:w="80" w:type="dxa"/>
              <w:bottom w:w="80" w:type="dxa"/>
              <w:left w:w="120" w:type="dxa"/>
              <w:right w:w="120" w:type="dxa"/>
            </w:tcMar>
          </w:tcPr>
          <w:p>
            <w:pPr>
              <w:jc w:val="center"/>
            </w:pPr>
            <w:r>
              <w:rPr>
                <w:rFonts w:ascii="Times New Roman" w:hAnsi="Times New Roman"/>
                <w:color w:val="1F2937"/>
                <w:sz w:val="18"/>
              </w:rPr>
              <w:t>Purpose and consent</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Policy information may not travel with events.</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Purpose tags, consent evidence, policy version, ownership metadata.</w:t>
            </w:r>
          </w:p>
        </w:tc>
      </w:tr>
      <w:tr>
        <w:tc>
          <w:tcPr>
            <w:tcW w:type="dxa" w:w="2160"/>
            <w:shd w:val="clear" w:color="auto" w:fill="FFFFFF"/>
            <w:tcMar>
              <w:top w:w="80" w:type="dxa"/>
              <w:bottom w:w="80" w:type="dxa"/>
              <w:left w:w="120" w:type="dxa"/>
              <w:right w:w="120" w:type="dxa"/>
            </w:tcMar>
          </w:tcPr>
          <w:p>
            <w:pPr>
              <w:jc w:val="center"/>
            </w:pPr>
            <w:r>
              <w:rPr>
                <w:rFonts w:ascii="Times New Roman" w:hAnsi="Times New Roman"/>
                <w:color w:val="1F2937"/>
                <w:sz w:val="18"/>
              </w:rPr>
              <w:t>Risk prioritization</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Static checks can miss changing event patterns.</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AI risk signals alongside explicit deterministic rules.</w:t>
            </w:r>
          </w:p>
        </w:tc>
      </w:tr>
      <w:tr>
        <w:tc>
          <w:tcPr>
            <w:tcW w:type="dxa" w:w="2160"/>
            <w:shd w:val="clear" w:color="auto" w:fill="FFF7ED"/>
            <w:tcMar>
              <w:top w:w="80" w:type="dxa"/>
              <w:bottom w:w="80" w:type="dxa"/>
              <w:left w:w="120" w:type="dxa"/>
              <w:right w:w="120" w:type="dxa"/>
            </w:tcMar>
          </w:tcPr>
          <w:p>
            <w:pPr>
              <w:jc w:val="center"/>
            </w:pPr>
            <w:r>
              <w:rPr>
                <w:rFonts w:ascii="Times New Roman" w:hAnsi="Times New Roman"/>
                <w:color w:val="1F2937"/>
                <w:sz w:val="18"/>
              </w:rPr>
              <w:t>Explainability</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Model output may not be actionable for reviewers.</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Reason codes, feature summaries, model version, review workflow.</w:t>
            </w:r>
          </w:p>
        </w:tc>
      </w:tr>
      <w:tr>
        <w:tc>
          <w:tcPr>
            <w:tcW w:type="dxa" w:w="2160"/>
            <w:shd w:val="clear" w:color="auto" w:fill="FFFFFF"/>
            <w:tcMar>
              <w:top w:w="80" w:type="dxa"/>
              <w:bottom w:w="80" w:type="dxa"/>
              <w:left w:w="120" w:type="dxa"/>
              <w:right w:w="120" w:type="dxa"/>
            </w:tcMar>
          </w:tcPr>
          <w:p>
            <w:pPr>
              <w:jc w:val="center"/>
            </w:pPr>
            <w:r>
              <w:rPr>
                <w:rFonts w:ascii="Times New Roman" w:hAnsi="Times New Roman"/>
                <w:color w:val="1F2937"/>
                <w:sz w:val="18"/>
              </w:rPr>
              <w:t>Distributed governance</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Centralized collection can increase exposure.</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Edge filtering, data minimization, controlled evidence transfer.</w:t>
            </w:r>
          </w:p>
        </w:tc>
      </w:tr>
      <w:tr>
        <w:tc>
          <w:tcPr>
            <w:tcW w:type="dxa" w:w="2160"/>
            <w:shd w:val="clear" w:color="auto" w:fill="FFF7ED"/>
            <w:tcMar>
              <w:top w:w="80" w:type="dxa"/>
              <w:bottom w:w="80" w:type="dxa"/>
              <w:left w:w="120" w:type="dxa"/>
              <w:right w:w="120" w:type="dxa"/>
            </w:tcMar>
          </w:tcPr>
          <w:p>
            <w:pPr>
              <w:jc w:val="center"/>
            </w:pPr>
            <w:r>
              <w:rPr>
                <w:rFonts w:ascii="Times New Roman" w:hAnsi="Times New Roman"/>
                <w:color w:val="1F2937"/>
                <w:sz w:val="18"/>
              </w:rPr>
              <w:t>Validation quality</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Synthetic or narrow datasets limit generalization.</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Data provenance, label protocol, held-out and independent tests.</w:t>
            </w:r>
          </w:p>
        </w:tc>
      </w:tr>
    </w:tbl>
    <w:p>
      <w:pPr>
        <w:spacing w:after="120"/>
      </w:pPr>
    </w:p>
    <w:p>
      <w:pPr>
        <w:pStyle w:val="Heading1"/>
        <w:spacing w:before="240" w:after="80"/>
      </w:pPr>
      <w:r>
        <w:rPr>
          <w:rFonts w:ascii="Times New Roman" w:hAnsi="Times New Roman"/>
          <w:b/>
          <w:color w:val="B45309"/>
          <w:sz w:val="28"/>
        </w:rPr>
        <w:t>3. Background and Literature Review</w:t>
      </w:r>
    </w:p>
    <w:p>
      <w:pPr>
        <w:spacing w:after="80" w:line="276" w:lineRule="auto"/>
      </w:pPr>
      <w:r>
        <w:rPr>
          <w:rFonts w:ascii="Times New Roman" w:hAnsi="Times New Roman"/>
          <w:sz w:val="21"/>
        </w:rPr>
        <w:t>Recent literature shows several strands that are individually mature enough to inform a combined design, but they are often evaluated with different assumptions [1]. Giordano, Palomba, and Ferrucci review AI techniques used to detect or prevent privacy problems in IoT systems and identify recurring concerns about use-case clarity and evaluation design [2]. Rodríguez, Otero, and Canal survey machine-learning and deep-learning approaches for IoT privacy protection, covering threat detection and privacy-supporting methods [1]. These reviews support the idea that AI can assist privacy management, but they also caution against assuming that a high classification score automatically proves privacy protection [1][70][71].</w:t>
      </w:r>
    </w:p>
    <w:p>
      <w:pPr>
        <w:spacing w:before="160" w:after="40"/>
        <w:jc w:val="center"/>
      </w:pPr>
      <w:r>
        <w:drawing>
          <wp:inline xmlns:a="http://schemas.openxmlformats.org/drawingml/2006/main" xmlns:pic="http://schemas.openxmlformats.org/drawingml/2006/picture">
            <wp:extent cx="5303520" cy="2953859"/>
            <wp:docPr id="4" name="Picture 4"/>
            <wp:cNvGraphicFramePr>
              <a:graphicFrameLocks noChangeAspect="1"/>
            </wp:cNvGraphicFramePr>
            <a:graphic>
              <a:graphicData uri="http://schemas.openxmlformats.org/drawingml/2006/picture">
                <pic:pic>
                  <pic:nvPicPr>
                    <pic:cNvPr id="0" name="Fig 04 Literature Taxonomy Framework.png"/>
                    <pic:cNvPicPr/>
                  </pic:nvPicPr>
                  <pic:blipFill>
                    <a:blip r:embed="rId12"/>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4. Literature Taxonomy Framework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val="clear" w:color="auto" w:fill="C25418"/>
            <w:tcMar>
              <w:top w:w="120" w:type="dxa"/>
              <w:bottom w:w="120" w:type="dxa"/>
              <w:left w:w="150" w:type="dxa"/>
              <w:right w:w="150" w:type="dxa"/>
            </w:tcMar>
          </w:tcPr>
          <w:p>
            <w:pPr>
              <w:jc w:val="center"/>
            </w:pPr>
            <w:r>
              <w:rPr>
                <w:rFonts w:ascii="Times New Roman" w:hAnsi="Times New Roman"/>
                <w:b/>
                <w:color w:val="FFFFFF"/>
                <w:sz w:val="19"/>
              </w:rPr>
              <w:t>Approach</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Useful strengths</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Main limitations</w:t>
            </w:r>
          </w:p>
        </w:tc>
        <w:tc>
          <w:tcPr>
            <w:tcW w:type="dxa" w:w="2016"/>
            <w:shd w:val="clear" w:color="auto" w:fill="C25418"/>
            <w:tcMar>
              <w:top w:w="120" w:type="dxa"/>
              <w:bottom w:w="120" w:type="dxa"/>
              <w:left w:w="150" w:type="dxa"/>
              <w:right w:w="150" w:type="dxa"/>
            </w:tcMar>
          </w:tcPr>
          <w:p>
            <w:pPr>
              <w:jc w:val="center"/>
            </w:pPr>
            <w:r>
              <w:rPr>
                <w:rFonts w:ascii="Times New Roman" w:hAnsi="Times New Roman"/>
                <w:b/>
                <w:color w:val="FFFFFF"/>
                <w:sz w:val="19"/>
              </w:rPr>
              <w:t>Role in proposed framework</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Manual audit / checklist</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Transparent and easy to inspect.</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Periodic, labour-intensive, may miss changing patterns.</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Baseline and mandatory control checks.</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Rule-based engine</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Deterministic, testable, auditable.</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Requires explicit rules and maintenance.</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Enforcement of hard constraints.</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Supervised ML</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Can rank complex patterns at scale.</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Depends on labels; may drift or be biased.</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Prioritize candidate risk for review.</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Edge governance</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Limits raw-data transfers and latency.</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Device constraints and distributed operations.</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Local validation and minimization.</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Federated learning</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Can train across sites without pooling raw records.</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Updates can leak information and be poisoned.</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Optional where multiple data owners justify it.</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Differential privacy</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Formal bounds for defined releases.</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Utility loss and privacy-budget accounting.</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Optional statistical-release safeguard.</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Explainable AI</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Can make model output reviewable.</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Explanations can be incomplete or leak data.</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Reason summaries plus audit evidence.</w:t>
            </w:r>
          </w:p>
        </w:tc>
      </w:tr>
    </w:tbl>
    <w:p>
      <w:pPr>
        <w:spacing w:after="120"/>
      </w:pPr>
    </w:p>
    <w:p>
      <w:pPr>
        <w:pStyle w:val="Heading1"/>
        <w:spacing w:before="240" w:after="80"/>
      </w:pPr>
      <w:r>
        <w:rPr>
          <w:rFonts w:ascii="Times New Roman" w:hAnsi="Times New Roman"/>
          <w:b/>
          <w:color w:val="B45309"/>
          <w:sz w:val="28"/>
        </w:rPr>
        <w:t>4. Requirements Analysis for AI-Driven Privacy Compliance</w:t>
      </w:r>
    </w:p>
    <w:p>
      <w:pPr>
        <w:spacing w:after="80" w:line="276" w:lineRule="auto"/>
      </w:pPr>
      <w:r>
        <w:rPr>
          <w:rFonts w:ascii="Times New Roman" w:hAnsi="Times New Roman"/>
          <w:sz w:val="21"/>
        </w:rPr>
        <w:t>Requirements are divided into functional controls and quality attributes [4]. Functional requirements state what the system must do: discover devices, authenticate event sources, attach data sensitivity metadata, resolve the declared purpose, check authorization and consent evidence, identify retention exceptions, score privacy risk, select a response, preserve an audit trail, and route uncertain cases to a responsible reviewer [9]. Non-functional requirements describe how the controls should behave: low latency at the edge, interoperability across protocols, availability during network interruption, least-privilege access, explainability, traceability, configuration safety, scalability, and maintainability [10].</w:t>
      </w:r>
    </w:p>
    <w:p>
      <w:pPr>
        <w:spacing w:before="160" w:after="40"/>
        <w:jc w:val="center"/>
      </w:pPr>
      <w:r>
        <w:drawing>
          <wp:inline xmlns:a="http://schemas.openxmlformats.org/drawingml/2006/main" xmlns:pic="http://schemas.openxmlformats.org/drawingml/2006/picture">
            <wp:extent cx="5303520" cy="2994288"/>
            <wp:docPr id="5" name="Picture 5"/>
            <wp:cNvGraphicFramePr>
              <a:graphicFrameLocks noChangeAspect="1"/>
            </wp:cNvGraphicFramePr>
            <a:graphic>
              <a:graphicData uri="http://schemas.openxmlformats.org/drawingml/2006/picture">
                <pic:pic>
                  <pic:nvPicPr>
                    <pic:cNvPr id="0" name="Fig 05 Requirements Engineering Framework.png"/>
                    <pic:cNvPicPr/>
                  </pic:nvPicPr>
                  <pic:blipFill>
                    <a:blip r:embed="rId13"/>
                    <a:stretch>
                      <a:fillRect/>
                    </a:stretch>
                  </pic:blipFill>
                  <pic:spPr>
                    <a:xfrm>
                      <a:off x="0" y="0"/>
                      <a:ext cx="5303520" cy="2994288"/>
                    </a:xfrm>
                    <a:prstGeom prst="rect"/>
                  </pic:spPr>
                </pic:pic>
              </a:graphicData>
            </a:graphic>
          </wp:inline>
        </w:drawing>
      </w:r>
    </w:p>
    <w:p>
      <w:pPr>
        <w:spacing w:after="200"/>
        <w:jc w:val="center"/>
      </w:pPr>
      <w:r>
        <w:rPr>
          <w:rFonts w:ascii="Times New Roman" w:hAnsi="Times New Roman"/>
          <w:i/>
          <w:color w:val="4B5563"/>
          <w:sz w:val="18"/>
        </w:rPr>
        <w:t>Fig. 5. Requirements Engineering Framework</w:t>
      </w:r>
    </w:p>
    <w:tbl>
      <w:tblPr>
        <w:tblW w:type="auto" w:w="0"/>
        <w:jc w:val="center"/>
        <w:tblLayout w:type="fixed"/>
        <w:tblLook w:firstColumn="1" w:firstRow="1" w:lastColumn="0" w:lastRow="0" w:noHBand="0" w:noVBand="1" w:val="04A0"/>
      </w:tblPr>
      <w:tblGrid>
        <w:gridCol w:w="3120"/>
        <w:gridCol w:w="3120"/>
        <w:gridCol w:w="3120"/>
      </w:tblGrid>
      <w:tr>
        <w:tc>
          <w:tcPr>
            <w:tcW w:type="dxa" w:w="1152"/>
            <w:shd w:val="clear" w:color="auto" w:fill="C25418"/>
            <w:tcMar>
              <w:top w:w="120" w:type="dxa"/>
              <w:bottom w:w="120" w:type="dxa"/>
              <w:left w:w="150" w:type="dxa"/>
              <w:right w:w="150" w:type="dxa"/>
            </w:tcMar>
          </w:tcPr>
          <w:p>
            <w:pPr>
              <w:jc w:val="center"/>
            </w:pPr>
            <w:r>
              <w:rPr>
                <w:rFonts w:ascii="Times New Roman" w:hAnsi="Times New Roman"/>
                <w:b/>
                <w:color w:val="FFFFFF"/>
                <w:sz w:val="19"/>
              </w:rPr>
              <w:t>ID</w:t>
            </w:r>
          </w:p>
        </w:tc>
        <w:tc>
          <w:tcPr>
            <w:tcW w:type="dxa" w:w="4608"/>
            <w:shd w:val="clear" w:color="auto" w:fill="C25418"/>
            <w:tcMar>
              <w:top w:w="120" w:type="dxa"/>
              <w:bottom w:w="120" w:type="dxa"/>
              <w:left w:w="150" w:type="dxa"/>
              <w:right w:w="150" w:type="dxa"/>
            </w:tcMar>
          </w:tcPr>
          <w:p>
            <w:pPr>
              <w:jc w:val="center"/>
            </w:pPr>
            <w:r>
              <w:rPr>
                <w:rFonts w:ascii="Times New Roman" w:hAnsi="Times New Roman"/>
                <w:b/>
                <w:color w:val="FFFFFF"/>
                <w:sz w:val="19"/>
              </w:rPr>
              <w:t>Requirement</w:t>
            </w:r>
          </w:p>
        </w:tc>
        <w:tc>
          <w:tcPr>
            <w:tcW w:type="dxa" w:w="3456"/>
            <w:shd w:val="clear" w:color="auto" w:fill="C25418"/>
            <w:tcMar>
              <w:top w:w="120" w:type="dxa"/>
              <w:bottom w:w="120" w:type="dxa"/>
              <w:left w:w="150" w:type="dxa"/>
              <w:right w:w="150" w:type="dxa"/>
            </w:tcMar>
          </w:tcPr>
          <w:p>
            <w:pPr>
              <w:jc w:val="center"/>
            </w:pPr>
            <w:r>
              <w:rPr>
                <w:rFonts w:ascii="Times New Roman" w:hAnsi="Times New Roman"/>
                <w:b/>
                <w:color w:val="FFFFFF"/>
                <w:sz w:val="19"/>
              </w:rPr>
              <w:t>Verification evidence</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F1</w:t>
            </w:r>
          </w:p>
        </w:tc>
        <w:tc>
          <w:tcPr>
            <w:tcW w:type="dxa" w:w="4608"/>
            <w:shd w:val="clear" w:color="auto" w:fill="FFFFFF"/>
            <w:tcMar>
              <w:top w:w="80" w:type="dxa"/>
              <w:bottom w:w="80" w:type="dxa"/>
              <w:left w:w="120" w:type="dxa"/>
              <w:right w:w="120" w:type="dxa"/>
            </w:tcMar>
          </w:tcPr>
          <w:p>
            <w:pPr>
              <w:jc w:val="left"/>
            </w:pPr>
            <w:r>
              <w:rPr>
                <w:rFonts w:ascii="Times New Roman" w:hAnsi="Times New Roman"/>
                <w:color w:val="1F2937"/>
                <w:sz w:val="18"/>
              </w:rPr>
              <w:t>Register device identity, owner, type, firmware, and capabilities.</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Registry tests; unique device identifier.</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F2</w:t>
            </w:r>
          </w:p>
        </w:tc>
        <w:tc>
          <w:tcPr>
            <w:tcW w:type="dxa" w:w="4608"/>
            <w:shd w:val="clear" w:color="auto" w:fill="FFF7ED"/>
            <w:tcMar>
              <w:top w:w="80" w:type="dxa"/>
              <w:bottom w:w="80" w:type="dxa"/>
              <w:left w:w="120" w:type="dxa"/>
              <w:right w:w="120" w:type="dxa"/>
            </w:tcMar>
          </w:tcPr>
          <w:p>
            <w:pPr>
              <w:jc w:val="left"/>
            </w:pPr>
            <w:r>
              <w:rPr>
                <w:rFonts w:ascii="Times New Roman" w:hAnsi="Times New Roman"/>
                <w:color w:val="1F2937"/>
                <w:sz w:val="18"/>
              </w:rPr>
              <w:t>Classify data by sensitivity, purpose, subject, retention, and location.</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Schema tests; completeness report.</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F3</w:t>
            </w:r>
          </w:p>
        </w:tc>
        <w:tc>
          <w:tcPr>
            <w:tcW w:type="dxa" w:w="4608"/>
            <w:shd w:val="clear" w:color="auto" w:fill="FFFFFF"/>
            <w:tcMar>
              <w:top w:w="80" w:type="dxa"/>
              <w:bottom w:w="80" w:type="dxa"/>
              <w:left w:w="120" w:type="dxa"/>
              <w:right w:w="120" w:type="dxa"/>
            </w:tcMar>
          </w:tcPr>
          <w:p>
            <w:pPr>
              <w:jc w:val="left"/>
            </w:pPr>
            <w:r>
              <w:rPr>
                <w:rFonts w:ascii="Times New Roman" w:hAnsi="Times New Roman"/>
                <w:color w:val="1F2937"/>
                <w:sz w:val="18"/>
              </w:rPr>
              <w:t>Evaluate mandatory policy rules before transfer or reuse.</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Positive and negative rule test suite.</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F4</w:t>
            </w:r>
          </w:p>
        </w:tc>
        <w:tc>
          <w:tcPr>
            <w:tcW w:type="dxa" w:w="4608"/>
            <w:shd w:val="clear" w:color="auto" w:fill="FFF7ED"/>
            <w:tcMar>
              <w:top w:w="80" w:type="dxa"/>
              <w:bottom w:w="80" w:type="dxa"/>
              <w:left w:w="120" w:type="dxa"/>
              <w:right w:w="120" w:type="dxa"/>
            </w:tcMar>
          </w:tcPr>
          <w:p>
            <w:pPr>
              <w:jc w:val="left"/>
            </w:pPr>
            <w:r>
              <w:rPr>
                <w:rFonts w:ascii="Times New Roman" w:hAnsi="Times New Roman"/>
                <w:color w:val="1F2937"/>
                <w:sz w:val="18"/>
              </w:rPr>
              <w:t>Estimate risk and return an explanation and uncertainty indicator.</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Held-out metrics; reviewer usability test.</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F5</w:t>
            </w:r>
          </w:p>
        </w:tc>
        <w:tc>
          <w:tcPr>
            <w:tcW w:type="dxa" w:w="4608"/>
            <w:shd w:val="clear" w:color="auto" w:fill="FFFFFF"/>
            <w:tcMar>
              <w:top w:w="80" w:type="dxa"/>
              <w:bottom w:w="80" w:type="dxa"/>
              <w:left w:w="120" w:type="dxa"/>
              <w:right w:w="120" w:type="dxa"/>
            </w:tcMar>
          </w:tcPr>
          <w:p>
            <w:pPr>
              <w:jc w:val="left"/>
            </w:pPr>
            <w:r>
              <w:rPr>
                <w:rFonts w:ascii="Times New Roman" w:hAnsi="Times New Roman"/>
                <w:color w:val="1F2937"/>
                <w:sz w:val="18"/>
              </w:rPr>
              <w:t>Log decision, policy version, model version, and override.</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Tamper-evident audit sample.</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NF1</w:t>
            </w:r>
          </w:p>
        </w:tc>
        <w:tc>
          <w:tcPr>
            <w:tcW w:type="dxa" w:w="4608"/>
            <w:shd w:val="clear" w:color="auto" w:fill="FFF7ED"/>
            <w:tcMar>
              <w:top w:w="80" w:type="dxa"/>
              <w:bottom w:w="80" w:type="dxa"/>
              <w:left w:w="120" w:type="dxa"/>
              <w:right w:w="120" w:type="dxa"/>
            </w:tcMar>
          </w:tcPr>
          <w:p>
            <w:pPr>
              <w:jc w:val="left"/>
            </w:pPr>
            <w:r>
              <w:rPr>
                <w:rFonts w:ascii="Times New Roman" w:hAnsi="Times New Roman"/>
                <w:color w:val="1F2937"/>
                <w:sz w:val="18"/>
              </w:rPr>
              <w:t>Minimize raw-data transfer and access.</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Field transfer inventory; access review.</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NF2</w:t>
            </w:r>
          </w:p>
        </w:tc>
        <w:tc>
          <w:tcPr>
            <w:tcW w:type="dxa" w:w="4608"/>
            <w:shd w:val="clear" w:color="auto" w:fill="FFFFFF"/>
            <w:tcMar>
              <w:top w:w="80" w:type="dxa"/>
              <w:bottom w:w="80" w:type="dxa"/>
              <w:left w:w="120" w:type="dxa"/>
              <w:right w:w="120" w:type="dxa"/>
            </w:tcMar>
          </w:tcPr>
          <w:p>
            <w:pPr>
              <w:jc w:val="left"/>
            </w:pPr>
            <w:r>
              <w:rPr>
                <w:rFonts w:ascii="Times New Roman" w:hAnsi="Times New Roman"/>
                <w:color w:val="1F2937"/>
                <w:sz w:val="18"/>
              </w:rPr>
              <w:t>Protect integrity, availability, and credentials.</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Threat model, penetration tests, recovery test.</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NF3</w:t>
            </w:r>
          </w:p>
        </w:tc>
        <w:tc>
          <w:tcPr>
            <w:tcW w:type="dxa" w:w="4608"/>
            <w:shd w:val="clear" w:color="auto" w:fill="FFF7ED"/>
            <w:tcMar>
              <w:top w:w="80" w:type="dxa"/>
              <w:bottom w:w="80" w:type="dxa"/>
              <w:left w:w="120" w:type="dxa"/>
              <w:right w:w="120" w:type="dxa"/>
            </w:tcMar>
          </w:tcPr>
          <w:p>
            <w:pPr>
              <w:jc w:val="left"/>
            </w:pPr>
            <w:r>
              <w:rPr>
                <w:rFonts w:ascii="Times New Roman" w:hAnsi="Times New Roman"/>
                <w:color w:val="1F2937"/>
                <w:sz w:val="18"/>
              </w:rPr>
              <w:t>Support heterogeneous schemas and limited edge capacity.</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Cross-device integration and latency tests.</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NF4</w:t>
            </w:r>
          </w:p>
        </w:tc>
        <w:tc>
          <w:tcPr>
            <w:tcW w:type="dxa" w:w="4608"/>
            <w:shd w:val="clear" w:color="auto" w:fill="FFFFFF"/>
            <w:tcMar>
              <w:top w:w="80" w:type="dxa"/>
              <w:bottom w:w="80" w:type="dxa"/>
              <w:left w:w="120" w:type="dxa"/>
              <w:right w:w="120" w:type="dxa"/>
            </w:tcMar>
          </w:tcPr>
          <w:p>
            <w:pPr>
              <w:jc w:val="left"/>
            </w:pPr>
            <w:r>
              <w:rPr>
                <w:rFonts w:ascii="Times New Roman" w:hAnsi="Times New Roman"/>
                <w:color w:val="1F2937"/>
                <w:sz w:val="18"/>
              </w:rPr>
              <w:t>Make the system governable and accountable.</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Named owners, change log, escalation and appeal path.</w:t>
            </w:r>
          </w:p>
        </w:tc>
      </w:tr>
    </w:tbl>
    <w:p>
      <w:pPr>
        <w:spacing w:after="120"/>
      </w:pPr>
    </w:p>
    <w:p>
      <w:pPr>
        <w:pStyle w:val="Heading1"/>
        <w:spacing w:before="240" w:after="80"/>
      </w:pPr>
      <w:r>
        <w:rPr>
          <w:rFonts w:ascii="Times New Roman" w:hAnsi="Times New Roman"/>
          <w:b/>
          <w:color w:val="B45309"/>
          <w:sz w:val="28"/>
        </w:rPr>
        <w:t>5. AI-Driven Privacy Compliance Architecture</w:t>
      </w:r>
    </w:p>
    <w:p>
      <w:pPr>
        <w:spacing w:after="80" w:line="276" w:lineRule="auto"/>
      </w:pPr>
      <w:r>
        <w:rPr>
          <w:rFonts w:ascii="Times New Roman" w:hAnsi="Times New Roman"/>
          <w:sz w:val="21"/>
        </w:rPr>
        <w:t>The proposed architecture uses the edge as the first privacy decision point and the cloud or central governance service as the location for shared policy management, analytics, and controlled reporting [4]. A device registry identifies endpoints and records their technical capabilities [8]. The acquisition layer validates event structure and attaches metadata [10]. The classification layer estimates sensitivity and purpose context using known schemas and, where suitable, a model [4]. The edge governance layer enforces local restrictions before raw information leaves the local domain [8]. The AI risk layer adds an alert score for uncertain patterns [10]. A policy engine combines that score with explicit rules and chooses to allow, minimize, mask, delay, or block processing [4]. A governance service stores audit records, policy versions, and approved evidence [8].</w:t>
      </w:r>
    </w:p>
    <w:p>
      <w:pPr>
        <w:spacing w:before="160" w:after="40"/>
        <w:jc w:val="center"/>
      </w:pPr>
      <w:r>
        <w:drawing>
          <wp:inline xmlns:a="http://schemas.openxmlformats.org/drawingml/2006/main" xmlns:pic="http://schemas.openxmlformats.org/drawingml/2006/picture">
            <wp:extent cx="5303520" cy="3625191"/>
            <wp:docPr id="6" name="Picture 6"/>
            <wp:cNvGraphicFramePr>
              <a:graphicFrameLocks noChangeAspect="1"/>
            </wp:cNvGraphicFramePr>
            <a:graphic>
              <a:graphicData uri="http://schemas.openxmlformats.org/drawingml/2006/picture">
                <pic:pic>
                  <pic:nvPicPr>
                    <pic:cNvPr id="0" name="Fig 06 AI-Driven Privacy Compliance Architecture for Heterogeneous IoT Environments.png"/>
                    <pic:cNvPicPr/>
                  </pic:nvPicPr>
                  <pic:blipFill>
                    <a:blip r:embed="rId14"/>
                    <a:stretch>
                      <a:fillRect/>
                    </a:stretch>
                  </pic:blipFill>
                  <pic:spPr>
                    <a:xfrm>
                      <a:off x="0" y="0"/>
                      <a:ext cx="5303520" cy="3625191"/>
                    </a:xfrm>
                    <a:prstGeom prst="rect"/>
                  </pic:spPr>
                </pic:pic>
              </a:graphicData>
            </a:graphic>
          </wp:inline>
        </w:drawing>
      </w:r>
    </w:p>
    <w:p>
      <w:pPr>
        <w:spacing w:after="200"/>
        <w:jc w:val="center"/>
      </w:pPr>
      <w:r>
        <w:rPr>
          <w:rFonts w:ascii="Times New Roman" w:hAnsi="Times New Roman"/>
          <w:i/>
          <w:color w:val="4B5563"/>
          <w:sz w:val="18"/>
        </w:rPr>
        <w:t>Fig. 6. AI-Driven Privacy Compliance Architecture for Heterogeneous IoT Environments</w:t>
      </w:r>
    </w:p>
    <w:p>
      <w:pPr>
        <w:spacing w:before="160" w:after="40"/>
        <w:jc w:val="center"/>
      </w:pPr>
      <w:r>
        <w:drawing>
          <wp:inline xmlns:a="http://schemas.openxmlformats.org/drawingml/2006/main" xmlns:pic="http://schemas.openxmlformats.org/drawingml/2006/picture">
            <wp:extent cx="5303520" cy="2953859"/>
            <wp:docPr id="7" name="Picture 7"/>
            <wp:cNvGraphicFramePr>
              <a:graphicFrameLocks noChangeAspect="1"/>
            </wp:cNvGraphicFramePr>
            <a:graphic>
              <a:graphicData uri="http://schemas.openxmlformats.org/drawingml/2006/picture">
                <pic:pic>
                  <pic:nvPicPr>
                    <pic:cNvPr id="0" name="Fig 07 Multi-Layer Compliance Framework.png"/>
                    <pic:cNvPicPr/>
                  </pic:nvPicPr>
                  <pic:blipFill>
                    <a:blip r:embed="rId15"/>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7. Multi-Layer Compliance Framework</w:t>
      </w:r>
    </w:p>
    <w:p>
      <w:pPr>
        <w:pStyle w:val="Heading1"/>
        <w:spacing w:before="240" w:after="80"/>
      </w:pPr>
      <w:r>
        <w:rPr>
          <w:rFonts w:ascii="Times New Roman" w:hAnsi="Times New Roman"/>
          <w:b/>
          <w:color w:val="B45309"/>
          <w:sz w:val="28"/>
        </w:rPr>
        <w:t>6. IoT Data Acquisition and Classification Layer</w:t>
      </w:r>
    </w:p>
    <w:p>
      <w:pPr>
        <w:spacing w:after="80" w:line="276" w:lineRule="auto"/>
      </w:pPr>
      <w:r>
        <w:rPr>
          <w:rFonts w:ascii="Times New Roman" w:hAnsi="Times New Roman"/>
          <w:sz w:val="21"/>
        </w:rPr>
        <w:t>A compliance decision is only as reliable as the context attached to an event [4]. The acquisition layer accepts data from devices and gateways through approved adapters and verifies source identity, timestamp, schema, firmware or device profile, and integrity metadata [9]. Unknown devices or malformed messages should be quarantined and recorded rather than merged into the trusted stream [36]. The adapter should normalize common fields while preserving the provenance of the original values, because conversion errors can affect downstream decisions [4].</w:t>
      </w:r>
    </w:p>
    <w:p>
      <w:pPr>
        <w:spacing w:before="160" w:after="40"/>
        <w:jc w:val="center"/>
      </w:pPr>
      <w:r>
        <w:drawing>
          <wp:inline xmlns:a="http://schemas.openxmlformats.org/drawingml/2006/main" xmlns:pic="http://schemas.openxmlformats.org/drawingml/2006/picture">
            <wp:extent cx="5303520" cy="2953859"/>
            <wp:docPr id="8" name="Picture 8"/>
            <wp:cNvGraphicFramePr>
              <a:graphicFrameLocks noChangeAspect="1"/>
            </wp:cNvGraphicFramePr>
            <a:graphic>
              <a:graphicData uri="http://schemas.openxmlformats.org/drawingml/2006/picture">
                <pic:pic>
                  <pic:nvPicPr>
                    <pic:cNvPr id="0" name="Fig 08 IoT Data Acquisition Framework.png"/>
                    <pic:cNvPicPr/>
                  </pic:nvPicPr>
                  <pic:blipFill>
                    <a:blip r:embed="rId16"/>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8. IoT Data Acquisition Framework</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C25418"/>
            <w:tcMar>
              <w:top w:w="120" w:type="dxa"/>
              <w:bottom w:w="120" w:type="dxa"/>
              <w:left w:w="150" w:type="dxa"/>
              <w:right w:w="150" w:type="dxa"/>
            </w:tcMar>
          </w:tcPr>
          <w:p>
            <w:pPr>
              <w:jc w:val="center"/>
            </w:pPr>
            <w:r>
              <w:rPr>
                <w:rFonts w:ascii="Times New Roman" w:hAnsi="Times New Roman"/>
                <w:b/>
                <w:color w:val="FFFFFF"/>
                <w:sz w:val="19"/>
              </w:rPr>
              <w:t>Class</w:t>
            </w:r>
          </w:p>
        </w:tc>
        <w:tc>
          <w:tcPr>
            <w:tcW w:type="dxa" w:w="3312"/>
            <w:shd w:val="clear" w:color="auto" w:fill="C25418"/>
            <w:tcMar>
              <w:top w:w="120" w:type="dxa"/>
              <w:bottom w:w="120" w:type="dxa"/>
              <w:left w:w="150" w:type="dxa"/>
              <w:right w:w="150" w:type="dxa"/>
            </w:tcMar>
          </w:tcPr>
          <w:p>
            <w:pPr>
              <w:jc w:val="center"/>
            </w:pPr>
            <w:r>
              <w:rPr>
                <w:rFonts w:ascii="Times New Roman" w:hAnsi="Times New Roman"/>
                <w:b/>
                <w:color w:val="FFFFFF"/>
                <w:sz w:val="19"/>
              </w:rPr>
              <w:t>Example fields</w:t>
            </w:r>
          </w:p>
        </w:tc>
        <w:tc>
          <w:tcPr>
            <w:tcW w:type="dxa" w:w="3744"/>
            <w:shd w:val="clear" w:color="auto" w:fill="C25418"/>
            <w:tcMar>
              <w:top w:w="120" w:type="dxa"/>
              <w:bottom w:w="120" w:type="dxa"/>
              <w:left w:w="150" w:type="dxa"/>
              <w:right w:w="150" w:type="dxa"/>
            </w:tcMar>
          </w:tcPr>
          <w:p>
            <w:pPr>
              <w:jc w:val="center"/>
            </w:pPr>
            <w:r>
              <w:rPr>
                <w:rFonts w:ascii="Times New Roman" w:hAnsi="Times New Roman"/>
                <w:b/>
                <w:color w:val="FFFFFF"/>
                <w:sz w:val="19"/>
              </w:rPr>
              <w:t>Default handling guidance</w:t>
            </w:r>
          </w:p>
        </w:tc>
      </w:tr>
      <w:tr>
        <w:tc>
          <w:tcPr>
            <w:tcW w:type="dxa" w:w="2160"/>
            <w:shd w:val="clear" w:color="auto" w:fill="FFFFFF"/>
            <w:tcMar>
              <w:top w:w="80" w:type="dxa"/>
              <w:bottom w:w="80" w:type="dxa"/>
              <w:left w:w="120" w:type="dxa"/>
              <w:right w:w="120" w:type="dxa"/>
            </w:tcMar>
          </w:tcPr>
          <w:p>
            <w:pPr>
              <w:jc w:val="center"/>
            </w:pPr>
            <w:r>
              <w:rPr>
                <w:rFonts w:ascii="Times New Roman" w:hAnsi="Times New Roman"/>
                <w:color w:val="1F2937"/>
                <w:sz w:val="18"/>
              </w:rPr>
              <w:t>Low sensitivity</w:t>
            </w:r>
          </w:p>
        </w:tc>
        <w:tc>
          <w:tcPr>
            <w:tcW w:type="dxa" w:w="3312"/>
            <w:shd w:val="clear" w:color="auto" w:fill="FFFFFF"/>
            <w:tcMar>
              <w:top w:w="80" w:type="dxa"/>
              <w:bottom w:w="80" w:type="dxa"/>
              <w:left w:w="120" w:type="dxa"/>
              <w:right w:w="120" w:type="dxa"/>
            </w:tcMar>
          </w:tcPr>
          <w:p>
            <w:pPr>
              <w:jc w:val="left"/>
            </w:pPr>
            <w:r>
              <w:rPr>
                <w:rFonts w:ascii="Times New Roman" w:hAnsi="Times New Roman"/>
                <w:color w:val="1F2937"/>
                <w:sz w:val="18"/>
              </w:rPr>
              <w:t>Device health, non-identifying aggregate status.</w:t>
            </w:r>
          </w:p>
        </w:tc>
        <w:tc>
          <w:tcPr>
            <w:tcW w:type="dxa" w:w="3744"/>
            <w:shd w:val="clear" w:color="auto" w:fill="FFFFFF"/>
            <w:tcMar>
              <w:top w:w="80" w:type="dxa"/>
              <w:bottom w:w="80" w:type="dxa"/>
              <w:left w:w="120" w:type="dxa"/>
              <w:right w:w="120" w:type="dxa"/>
            </w:tcMar>
          </w:tcPr>
          <w:p>
            <w:pPr>
              <w:jc w:val="left"/>
            </w:pPr>
            <w:r>
              <w:rPr>
                <w:rFonts w:ascii="Times New Roman" w:hAnsi="Times New Roman"/>
                <w:color w:val="1F2937"/>
                <w:sz w:val="18"/>
              </w:rPr>
              <w:t>Purpose tag, integrity check, retention limit.</w:t>
            </w:r>
          </w:p>
        </w:tc>
      </w:tr>
      <w:tr>
        <w:tc>
          <w:tcPr>
            <w:tcW w:type="dxa" w:w="2160"/>
            <w:shd w:val="clear" w:color="auto" w:fill="FFF7ED"/>
            <w:tcMar>
              <w:top w:w="80" w:type="dxa"/>
              <w:bottom w:w="80" w:type="dxa"/>
              <w:left w:w="120" w:type="dxa"/>
              <w:right w:w="120" w:type="dxa"/>
            </w:tcMar>
          </w:tcPr>
          <w:p>
            <w:pPr>
              <w:jc w:val="center"/>
            </w:pPr>
            <w:r>
              <w:rPr>
                <w:rFonts w:ascii="Times New Roman" w:hAnsi="Times New Roman"/>
                <w:color w:val="1F2937"/>
                <w:sz w:val="18"/>
              </w:rPr>
              <w:t>Personal</w:t>
            </w:r>
          </w:p>
        </w:tc>
        <w:tc>
          <w:tcPr>
            <w:tcW w:type="dxa" w:w="3312"/>
            <w:shd w:val="clear" w:color="auto" w:fill="FFF7ED"/>
            <w:tcMar>
              <w:top w:w="80" w:type="dxa"/>
              <w:bottom w:w="80" w:type="dxa"/>
              <w:left w:w="120" w:type="dxa"/>
              <w:right w:w="120" w:type="dxa"/>
            </w:tcMar>
          </w:tcPr>
          <w:p>
            <w:pPr>
              <w:jc w:val="left"/>
            </w:pPr>
            <w:r>
              <w:rPr>
                <w:rFonts w:ascii="Times New Roman" w:hAnsi="Times New Roman"/>
                <w:color w:val="1F2937"/>
                <w:sz w:val="18"/>
              </w:rPr>
              <w:t>Pseudonymous identifier, location history, usage pattern.</w:t>
            </w:r>
          </w:p>
        </w:tc>
        <w:tc>
          <w:tcPr>
            <w:tcW w:type="dxa" w:w="3744"/>
            <w:shd w:val="clear" w:color="auto" w:fill="FFF7ED"/>
            <w:tcMar>
              <w:top w:w="80" w:type="dxa"/>
              <w:bottom w:w="80" w:type="dxa"/>
              <w:left w:w="120" w:type="dxa"/>
              <w:right w:w="120" w:type="dxa"/>
            </w:tcMar>
          </w:tcPr>
          <w:p>
            <w:pPr>
              <w:jc w:val="left"/>
            </w:pPr>
            <w:r>
              <w:rPr>
                <w:rFonts w:ascii="Times New Roman" w:hAnsi="Times New Roman"/>
                <w:color w:val="1F2937"/>
                <w:sz w:val="18"/>
              </w:rPr>
              <w:t>Purpose and authority check, minimization, access logging.</w:t>
            </w:r>
          </w:p>
        </w:tc>
      </w:tr>
      <w:tr>
        <w:tc>
          <w:tcPr>
            <w:tcW w:type="dxa" w:w="2160"/>
            <w:shd w:val="clear" w:color="auto" w:fill="FFFFFF"/>
            <w:tcMar>
              <w:top w:w="80" w:type="dxa"/>
              <w:bottom w:w="80" w:type="dxa"/>
              <w:left w:w="120" w:type="dxa"/>
              <w:right w:w="120" w:type="dxa"/>
            </w:tcMar>
          </w:tcPr>
          <w:p>
            <w:pPr>
              <w:jc w:val="center"/>
            </w:pPr>
            <w:r>
              <w:rPr>
                <w:rFonts w:ascii="Times New Roman" w:hAnsi="Times New Roman"/>
                <w:color w:val="1F2937"/>
                <w:sz w:val="18"/>
              </w:rPr>
              <w:t>Sensitive / special category</w:t>
            </w:r>
          </w:p>
        </w:tc>
        <w:tc>
          <w:tcPr>
            <w:tcW w:type="dxa" w:w="3312"/>
            <w:shd w:val="clear" w:color="auto" w:fill="FFFFFF"/>
            <w:tcMar>
              <w:top w:w="80" w:type="dxa"/>
              <w:bottom w:w="80" w:type="dxa"/>
              <w:left w:w="120" w:type="dxa"/>
              <w:right w:w="120" w:type="dxa"/>
            </w:tcMar>
          </w:tcPr>
          <w:p>
            <w:pPr>
              <w:jc w:val="left"/>
            </w:pPr>
            <w:r>
              <w:rPr>
                <w:rFonts w:ascii="Times New Roman" w:hAnsi="Times New Roman"/>
                <w:color w:val="1F2937"/>
                <w:sz w:val="18"/>
              </w:rPr>
              <w:t>Health-related measurements or other legally protected data.</w:t>
            </w:r>
          </w:p>
        </w:tc>
        <w:tc>
          <w:tcPr>
            <w:tcW w:type="dxa" w:w="3744"/>
            <w:shd w:val="clear" w:color="auto" w:fill="FFFFFF"/>
            <w:tcMar>
              <w:top w:w="80" w:type="dxa"/>
              <w:bottom w:w="80" w:type="dxa"/>
              <w:left w:w="120" w:type="dxa"/>
              <w:right w:w="120" w:type="dxa"/>
            </w:tcMar>
          </w:tcPr>
          <w:p>
            <w:pPr>
              <w:jc w:val="left"/>
            </w:pPr>
            <w:r>
              <w:rPr>
                <w:rFonts w:ascii="Times New Roman" w:hAnsi="Times New Roman"/>
                <w:color w:val="1F2937"/>
                <w:sz w:val="18"/>
              </w:rPr>
              <w:t>Strong access control, encryption, restricted exports, enhanced review.</w:t>
            </w:r>
          </w:p>
        </w:tc>
      </w:tr>
      <w:tr>
        <w:tc>
          <w:tcPr>
            <w:tcW w:type="dxa" w:w="2160"/>
            <w:shd w:val="clear" w:color="auto" w:fill="FFF7ED"/>
            <w:tcMar>
              <w:top w:w="80" w:type="dxa"/>
              <w:bottom w:w="80" w:type="dxa"/>
              <w:left w:w="120" w:type="dxa"/>
              <w:right w:w="120" w:type="dxa"/>
            </w:tcMar>
          </w:tcPr>
          <w:p>
            <w:pPr>
              <w:jc w:val="center"/>
            </w:pPr>
            <w:r>
              <w:rPr>
                <w:rFonts w:ascii="Times New Roman" w:hAnsi="Times New Roman"/>
                <w:color w:val="1F2937"/>
                <w:sz w:val="18"/>
              </w:rPr>
              <w:t>Security telemetry</w:t>
            </w:r>
          </w:p>
        </w:tc>
        <w:tc>
          <w:tcPr>
            <w:tcW w:type="dxa" w:w="3312"/>
            <w:shd w:val="clear" w:color="auto" w:fill="FFF7ED"/>
            <w:tcMar>
              <w:top w:w="80" w:type="dxa"/>
              <w:bottom w:w="80" w:type="dxa"/>
              <w:left w:w="120" w:type="dxa"/>
              <w:right w:w="120" w:type="dxa"/>
            </w:tcMar>
          </w:tcPr>
          <w:p>
            <w:pPr>
              <w:jc w:val="left"/>
            </w:pPr>
            <w:r>
              <w:rPr>
                <w:rFonts w:ascii="Times New Roman" w:hAnsi="Times New Roman"/>
                <w:color w:val="1F2937"/>
                <w:sz w:val="18"/>
              </w:rPr>
              <w:t>Failed login, firmware hash, network anomaly.</w:t>
            </w:r>
          </w:p>
        </w:tc>
        <w:tc>
          <w:tcPr>
            <w:tcW w:type="dxa" w:w="3744"/>
            <w:shd w:val="clear" w:color="auto" w:fill="FFF7ED"/>
            <w:tcMar>
              <w:top w:w="80" w:type="dxa"/>
              <w:bottom w:w="80" w:type="dxa"/>
              <w:left w:w="120" w:type="dxa"/>
              <w:right w:w="120" w:type="dxa"/>
            </w:tcMar>
          </w:tcPr>
          <w:p>
            <w:pPr>
              <w:jc w:val="left"/>
            </w:pPr>
            <w:r>
              <w:rPr>
                <w:rFonts w:ascii="Times New Roman" w:hAnsi="Times New Roman"/>
                <w:color w:val="1F2937"/>
                <w:sz w:val="18"/>
              </w:rPr>
              <w:t>Limit identifiers; restrict security purpose and retention.</w:t>
            </w:r>
          </w:p>
        </w:tc>
      </w:tr>
      <w:tr>
        <w:tc>
          <w:tcPr>
            <w:tcW w:type="dxa" w:w="2160"/>
            <w:shd w:val="clear" w:color="auto" w:fill="FFFFFF"/>
            <w:tcMar>
              <w:top w:w="80" w:type="dxa"/>
              <w:bottom w:w="80" w:type="dxa"/>
              <w:left w:w="120" w:type="dxa"/>
              <w:right w:w="120" w:type="dxa"/>
            </w:tcMar>
          </w:tcPr>
          <w:p>
            <w:pPr>
              <w:jc w:val="center"/>
            </w:pPr>
            <w:r>
              <w:rPr>
                <w:rFonts w:ascii="Times New Roman" w:hAnsi="Times New Roman"/>
                <w:color w:val="1F2937"/>
                <w:sz w:val="18"/>
              </w:rPr>
              <w:t>Derived inference</w:t>
            </w:r>
          </w:p>
        </w:tc>
        <w:tc>
          <w:tcPr>
            <w:tcW w:type="dxa" w:w="3312"/>
            <w:shd w:val="clear" w:color="auto" w:fill="FFFFFF"/>
            <w:tcMar>
              <w:top w:w="80" w:type="dxa"/>
              <w:bottom w:w="80" w:type="dxa"/>
              <w:left w:w="120" w:type="dxa"/>
              <w:right w:w="120" w:type="dxa"/>
            </w:tcMar>
          </w:tcPr>
          <w:p>
            <w:pPr>
              <w:jc w:val="left"/>
            </w:pPr>
            <w:r>
              <w:rPr>
                <w:rFonts w:ascii="Times New Roman" w:hAnsi="Times New Roman"/>
                <w:color w:val="1F2937"/>
                <w:sz w:val="18"/>
              </w:rPr>
              <w:t>Risk profile, inferred occupancy, predicted condition.</w:t>
            </w:r>
          </w:p>
        </w:tc>
        <w:tc>
          <w:tcPr>
            <w:tcW w:type="dxa" w:w="3744"/>
            <w:shd w:val="clear" w:color="auto" w:fill="FFFFFF"/>
            <w:tcMar>
              <w:top w:w="80" w:type="dxa"/>
              <w:bottom w:w="80" w:type="dxa"/>
              <w:left w:w="120" w:type="dxa"/>
              <w:right w:w="120" w:type="dxa"/>
            </w:tcMar>
          </w:tcPr>
          <w:p>
            <w:pPr>
              <w:jc w:val="left"/>
            </w:pPr>
            <w:r>
              <w:rPr>
                <w:rFonts w:ascii="Times New Roman" w:hAnsi="Times New Roman"/>
                <w:color w:val="1F2937"/>
                <w:sz w:val="18"/>
              </w:rPr>
              <w:t>Record lineage and model; assess inference and re-identification risk.</w:t>
            </w:r>
          </w:p>
        </w:tc>
      </w:tr>
      <w:tr>
        <w:tc>
          <w:tcPr>
            <w:tcW w:type="dxa" w:w="2160"/>
            <w:shd w:val="clear" w:color="auto" w:fill="FFF7ED"/>
            <w:tcMar>
              <w:top w:w="80" w:type="dxa"/>
              <w:bottom w:w="80" w:type="dxa"/>
              <w:left w:w="120" w:type="dxa"/>
              <w:right w:w="120" w:type="dxa"/>
            </w:tcMar>
          </w:tcPr>
          <w:p>
            <w:pPr>
              <w:jc w:val="center"/>
            </w:pPr>
            <w:r>
              <w:rPr>
                <w:rFonts w:ascii="Times New Roman" w:hAnsi="Times New Roman"/>
                <w:color w:val="1F2937"/>
                <w:sz w:val="18"/>
              </w:rPr>
              <w:t>Unknown / incomplete</w:t>
            </w:r>
          </w:p>
        </w:tc>
        <w:tc>
          <w:tcPr>
            <w:tcW w:type="dxa" w:w="3312"/>
            <w:shd w:val="clear" w:color="auto" w:fill="FFF7ED"/>
            <w:tcMar>
              <w:top w:w="80" w:type="dxa"/>
              <w:bottom w:w="80" w:type="dxa"/>
              <w:left w:w="120" w:type="dxa"/>
              <w:right w:w="120" w:type="dxa"/>
            </w:tcMar>
          </w:tcPr>
          <w:p>
            <w:pPr>
              <w:jc w:val="left"/>
            </w:pPr>
            <w:r>
              <w:rPr>
                <w:rFonts w:ascii="Times New Roman" w:hAnsi="Times New Roman"/>
                <w:color w:val="1F2937"/>
                <w:sz w:val="18"/>
              </w:rPr>
              <w:t>Missing owner, unclear purpose, invalid schema.</w:t>
            </w:r>
          </w:p>
        </w:tc>
        <w:tc>
          <w:tcPr>
            <w:tcW w:type="dxa" w:w="3744"/>
            <w:shd w:val="clear" w:color="auto" w:fill="FFF7ED"/>
            <w:tcMar>
              <w:top w:w="80" w:type="dxa"/>
              <w:bottom w:w="80" w:type="dxa"/>
              <w:left w:w="120" w:type="dxa"/>
              <w:right w:w="120" w:type="dxa"/>
            </w:tcMar>
          </w:tcPr>
          <w:p>
            <w:pPr>
              <w:jc w:val="left"/>
            </w:pPr>
            <w:r>
              <w:rPr>
                <w:rFonts w:ascii="Times New Roman" w:hAnsi="Times New Roman"/>
                <w:color w:val="1F2937"/>
                <w:sz w:val="18"/>
              </w:rPr>
              <w:t>Quarantine or block transfer pending review; do not assume low risk.</w:t>
            </w:r>
          </w:p>
        </w:tc>
      </w:tr>
    </w:tbl>
    <w:p>
      <w:pPr>
        <w:spacing w:after="120"/>
      </w:pPr>
    </w:p>
    <w:p>
      <w:pPr>
        <w:pStyle w:val="Heading1"/>
        <w:spacing w:before="240" w:after="80"/>
      </w:pPr>
      <w:r>
        <w:rPr>
          <w:rFonts w:ascii="Times New Roman" w:hAnsi="Times New Roman"/>
          <w:b/>
          <w:color w:val="B45309"/>
          <w:sz w:val="28"/>
        </w:rPr>
        <w:t>7. Edge Intelligence and Local Governance Layer</w:t>
      </w:r>
    </w:p>
    <w:p>
      <w:pPr>
        <w:spacing w:after="80" w:line="276" w:lineRule="auto"/>
      </w:pPr>
      <w:r>
        <w:rPr>
          <w:rFonts w:ascii="Times New Roman" w:hAnsi="Times New Roman"/>
          <w:sz w:val="21"/>
        </w:rPr>
        <w:t>Edge governance places privacy checks near the source, reducing the need to transmit raw records to a central cloud [4]. It can apply local filtering, aggregate values, remove direct identifiers, encrypt approved outputs, and block a transfer when the edge policy does not permit it [8]. The same gateway can monitor device security state, software versions, unusual access, message rate, and local data flows [9]. Edge placement is not inherently trustworthy: gateways may have limited resources, weak physical protection, vendor-specific management tools, and intermittent connectivity [4].</w:t>
      </w:r>
    </w:p>
    <w:p>
      <w:pPr>
        <w:spacing w:before="160" w:after="40"/>
        <w:jc w:val="center"/>
      </w:pPr>
      <w:r>
        <w:drawing>
          <wp:inline xmlns:a="http://schemas.openxmlformats.org/drawingml/2006/main" xmlns:pic="http://schemas.openxmlformats.org/drawingml/2006/picture">
            <wp:extent cx="5303520" cy="2953859"/>
            <wp:docPr id="9" name="Picture 9"/>
            <wp:cNvGraphicFramePr>
              <a:graphicFrameLocks noChangeAspect="1"/>
            </wp:cNvGraphicFramePr>
            <a:graphic>
              <a:graphicData uri="http://schemas.openxmlformats.org/drawingml/2006/picture">
                <pic:pic>
                  <pic:nvPicPr>
                    <pic:cNvPr id="0" name="Fig 09 Edge Governance Architecture.png"/>
                    <pic:cNvPicPr/>
                  </pic:nvPicPr>
                  <pic:blipFill>
                    <a:blip r:embed="rId17"/>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9. Edge Governance Architecture</w:t>
      </w:r>
    </w:p>
    <w:p>
      <w:pPr>
        <w:spacing w:before="160" w:after="40"/>
        <w:jc w:val="center"/>
      </w:pPr>
      <w:r>
        <w:drawing>
          <wp:inline xmlns:a="http://schemas.openxmlformats.org/drawingml/2006/main" xmlns:pic="http://schemas.openxmlformats.org/drawingml/2006/picture">
            <wp:extent cx="5303520" cy="2953859"/>
            <wp:docPr id="10" name="Picture 10"/>
            <wp:cNvGraphicFramePr>
              <a:graphicFrameLocks noChangeAspect="1"/>
            </wp:cNvGraphicFramePr>
            <a:graphic>
              <a:graphicData uri="http://schemas.openxmlformats.org/drawingml/2006/picture">
                <pic:pic>
                  <pic:nvPicPr>
                    <pic:cNvPr id="0" name="Fig 10 Edge Compliance Monitoring Workflow.png"/>
                    <pic:cNvPicPr/>
                  </pic:nvPicPr>
                  <pic:blipFill>
                    <a:blip r:embed="rId18"/>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10. Edge Compliance Monitoring Workflow</w:t>
      </w:r>
    </w:p>
    <w:p>
      <w:pPr>
        <w:pStyle w:val="Heading1"/>
        <w:spacing w:before="240" w:after="80"/>
      </w:pPr>
      <w:r>
        <w:rPr>
          <w:rFonts w:ascii="Times New Roman" w:hAnsi="Times New Roman"/>
          <w:b/>
          <w:color w:val="B45309"/>
          <w:sz w:val="28"/>
        </w:rPr>
        <w:t>8. AI-Powered Privacy Risk Assessment Layer</w:t>
      </w:r>
    </w:p>
    <w:p>
      <w:pPr>
        <w:spacing w:after="80" w:line="276" w:lineRule="auto"/>
      </w:pPr>
      <w:r>
        <w:rPr>
          <w:rFonts w:ascii="Times New Roman" w:hAnsi="Times New Roman"/>
          <w:sz w:val="21"/>
        </w:rPr>
        <w:t>The risk assessment layer estimates which events require more attention [1]. Its inputs may include sensitivity, consent or authority evidence, purpose alignment, retention status, encryption, access anomalies, transfer context, device security, data minimization, metadata quality, and recent threat signals [2]. This report uses a transparent composite risk formula as an explanation aid [1]:</w:t>
      </w:r>
    </w:p>
    <w:p>
      <w:pPr>
        <w:jc w:val="center"/>
      </w:pPr>
      <w:r>
        <w:rPr>
          <w:rFonts w:ascii="Times New Roman" w:hAnsi="Times New Roman"/>
          <w:b/>
          <w:sz w:val="22"/>
        </w:rPr>
        <w:t>R_i = ∑_j w_j · x_ij;    where ∑_j w_j = 1        (1)</w:t>
      </w:r>
    </w:p>
    <w:p>
      <w:pPr>
        <w:spacing w:before="160" w:after="40"/>
        <w:jc w:val="center"/>
      </w:pPr>
      <w:r>
        <w:drawing>
          <wp:inline xmlns:a="http://schemas.openxmlformats.org/drawingml/2006/main" xmlns:pic="http://schemas.openxmlformats.org/drawingml/2006/picture">
            <wp:extent cx="5303520" cy="2953859"/>
            <wp:docPr id="11" name="Picture 11"/>
            <wp:cNvGraphicFramePr>
              <a:graphicFrameLocks noChangeAspect="1"/>
            </wp:cNvGraphicFramePr>
            <a:graphic>
              <a:graphicData uri="http://schemas.openxmlformats.org/drawingml/2006/picture">
                <pic:pic>
                  <pic:nvPicPr>
                    <pic:cNvPr id="0" name="Fig 11 AI Privacy Risk Assessment Framework.png"/>
                    <pic:cNvPicPr/>
                  </pic:nvPicPr>
                  <pic:blipFill>
                    <a:blip r:embed="rId19"/>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11. AI Privacy Risk Assessment Framework</w:t>
      </w:r>
    </w:p>
    <w:p>
      <w:pPr>
        <w:spacing w:before="160" w:after="40"/>
        <w:jc w:val="center"/>
      </w:pPr>
      <w:r>
        <w:drawing>
          <wp:inline xmlns:a="http://schemas.openxmlformats.org/drawingml/2006/main" xmlns:pic="http://schemas.openxmlformats.org/drawingml/2006/picture">
            <wp:extent cx="5303520" cy="3000706"/>
            <wp:docPr id="12" name="Picture 12"/>
            <wp:cNvGraphicFramePr>
              <a:graphicFrameLocks noChangeAspect="1"/>
            </wp:cNvGraphicFramePr>
            <a:graphic>
              <a:graphicData uri="http://schemas.openxmlformats.org/drawingml/2006/picture">
                <pic:pic>
                  <pic:nvPicPr>
                    <pic:cNvPr id="0" name="Fig 12 Risk Prediction Pipeline.png"/>
                    <pic:cNvPicPr/>
                  </pic:nvPicPr>
                  <pic:blipFill>
                    <a:blip r:embed="rId20"/>
                    <a:stretch>
                      <a:fillRect/>
                    </a:stretch>
                  </pic:blipFill>
                  <pic:spPr>
                    <a:xfrm>
                      <a:off x="0" y="0"/>
                      <a:ext cx="5303520" cy="3000706"/>
                    </a:xfrm>
                    <a:prstGeom prst="rect"/>
                  </pic:spPr>
                </pic:pic>
              </a:graphicData>
            </a:graphic>
          </wp:inline>
        </w:drawing>
      </w:r>
    </w:p>
    <w:p>
      <w:pPr>
        <w:spacing w:after="200"/>
        <w:jc w:val="center"/>
      </w:pPr>
      <w:r>
        <w:rPr>
          <w:rFonts w:ascii="Times New Roman" w:hAnsi="Times New Roman"/>
          <w:i/>
          <w:color w:val="4B5563"/>
          <w:sz w:val="18"/>
        </w:rPr>
        <w:t>Fig. 12. Risk Prediction Pipeline</w:t>
      </w:r>
    </w:p>
    <w:p>
      <w:pPr>
        <w:pStyle w:val="Heading1"/>
        <w:spacing w:before="240" w:after="80"/>
      </w:pPr>
      <w:r>
        <w:rPr>
          <w:rFonts w:ascii="Times New Roman" w:hAnsi="Times New Roman"/>
          <w:b/>
          <w:color w:val="B45309"/>
          <w:sz w:val="28"/>
        </w:rPr>
        <w:t>9. Automated Compliance and Policy Enforcement Layer</w:t>
      </w:r>
    </w:p>
    <w:p>
      <w:pPr>
        <w:spacing w:after="80" w:line="276" w:lineRule="auto"/>
      </w:pPr>
      <w:r>
        <w:rPr>
          <w:rFonts w:ascii="Times New Roman" w:hAnsi="Times New Roman"/>
          <w:sz w:val="21"/>
        </w:rPr>
        <w:t>The compliance engine turns an approved policy into a decision for a specific event or data flow [2]. Policies are expressed as conditions over subject or asset class, purpose, sensitivity, recipient, legal basis or authorization evidence, retention, transfer location, and required protection [34]. In practice, policy rules should be expressed in a declarative format and separated from application code [37].</w:t>
      </w:r>
    </w:p>
    <w:p>
      <w:pPr>
        <w:spacing w:before="160" w:after="40"/>
        <w:jc w:val="center"/>
      </w:pPr>
      <w:r>
        <w:drawing>
          <wp:inline xmlns:a="http://schemas.openxmlformats.org/drawingml/2006/main" xmlns:pic="http://schemas.openxmlformats.org/drawingml/2006/picture">
            <wp:extent cx="5303520" cy="2953859"/>
            <wp:docPr id="13" name="Picture 13"/>
            <wp:cNvGraphicFramePr>
              <a:graphicFrameLocks noChangeAspect="1"/>
            </wp:cNvGraphicFramePr>
            <a:graphic>
              <a:graphicData uri="http://schemas.openxmlformats.org/drawingml/2006/picture">
                <pic:pic>
                  <pic:nvPicPr>
                    <pic:cNvPr id="0" name="Fig 13 Compliance Automation Workflow.png"/>
                    <pic:cNvPicPr/>
                  </pic:nvPicPr>
                  <pic:blipFill>
                    <a:blip r:embed="rId21"/>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13. Compliance Automation Workflow</w:t>
      </w:r>
    </w:p>
    <w:p>
      <w:pPr>
        <w:spacing w:before="160" w:after="40"/>
        <w:jc w:val="center"/>
      </w:pPr>
      <w:r>
        <w:drawing>
          <wp:inline xmlns:a="http://schemas.openxmlformats.org/drawingml/2006/main" xmlns:pic="http://schemas.openxmlformats.org/drawingml/2006/picture">
            <wp:extent cx="5303520" cy="2953859"/>
            <wp:docPr id="14" name="Picture 14"/>
            <wp:cNvGraphicFramePr>
              <a:graphicFrameLocks noChangeAspect="1"/>
            </wp:cNvGraphicFramePr>
            <a:graphic>
              <a:graphicData uri="http://schemas.openxmlformats.org/drawingml/2006/picture">
                <pic:pic>
                  <pic:nvPicPr>
                    <pic:cNvPr id="0" name="Fig 14 Policy Enforcement Lifecycle.png"/>
                    <pic:cNvPicPr/>
                  </pic:nvPicPr>
                  <pic:blipFill>
                    <a:blip r:embed="rId22"/>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14. Policy Enforcement Lifecycle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C25418"/>
            <w:tcMar>
              <w:top w:w="120" w:type="dxa"/>
              <w:bottom w:w="120" w:type="dxa"/>
              <w:left w:w="150" w:type="dxa"/>
              <w:right w:w="150" w:type="dxa"/>
            </w:tcMar>
          </w:tcPr>
          <w:p>
            <w:pPr>
              <w:jc w:val="center"/>
            </w:pPr>
            <w:r>
              <w:rPr>
                <w:rFonts w:ascii="Times New Roman" w:hAnsi="Times New Roman"/>
                <w:b/>
                <w:color w:val="FFFFFF"/>
                <w:sz w:val="19"/>
              </w:rPr>
              <w:t>Rule ID</w:t>
            </w:r>
          </w:p>
        </w:tc>
        <w:tc>
          <w:tcPr>
            <w:tcW w:type="dxa" w:w="2880"/>
            <w:shd w:val="clear" w:color="auto" w:fill="C25418"/>
            <w:tcMar>
              <w:top w:w="120" w:type="dxa"/>
              <w:bottom w:w="120" w:type="dxa"/>
              <w:left w:w="150" w:type="dxa"/>
              <w:right w:w="150" w:type="dxa"/>
            </w:tcMar>
          </w:tcPr>
          <w:p>
            <w:pPr>
              <w:jc w:val="center"/>
            </w:pPr>
            <w:r>
              <w:rPr>
                <w:rFonts w:ascii="Times New Roman" w:hAnsi="Times New Roman"/>
                <w:b/>
                <w:color w:val="FFFFFF"/>
                <w:sz w:val="19"/>
              </w:rPr>
              <w:t>Example condition</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Suggested action</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Evidence</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R-01</w:t>
            </w:r>
          </w:p>
        </w:tc>
        <w:tc>
          <w:tcPr>
            <w:tcW w:type="dxa" w:w="2880"/>
            <w:shd w:val="clear" w:color="auto" w:fill="FFFFFF"/>
            <w:tcMar>
              <w:top w:w="80" w:type="dxa"/>
              <w:bottom w:w="80" w:type="dxa"/>
              <w:left w:w="120" w:type="dxa"/>
              <w:right w:w="120" w:type="dxa"/>
            </w:tcMar>
          </w:tcPr>
          <w:p>
            <w:pPr>
              <w:jc w:val="left"/>
            </w:pPr>
            <w:r>
              <w:rPr>
                <w:rFonts w:ascii="Times New Roman" w:hAnsi="Times New Roman"/>
                <w:color w:val="1F2937"/>
                <w:sz w:val="18"/>
              </w:rPr>
              <w:t>Required consent/authority evidence missing.</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Hold affected processing and request review.</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Policy version, event ID, reason code.</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R-02</w:t>
            </w:r>
          </w:p>
        </w:tc>
        <w:tc>
          <w:tcPr>
            <w:tcW w:type="dxa" w:w="2880"/>
            <w:shd w:val="clear" w:color="auto" w:fill="FFF7ED"/>
            <w:tcMar>
              <w:top w:w="80" w:type="dxa"/>
              <w:bottom w:w="80" w:type="dxa"/>
              <w:left w:w="120" w:type="dxa"/>
              <w:right w:w="120" w:type="dxa"/>
            </w:tcMar>
          </w:tcPr>
          <w:p>
            <w:pPr>
              <w:jc w:val="left"/>
            </w:pPr>
            <w:r>
              <w:rPr>
                <w:rFonts w:ascii="Times New Roman" w:hAnsi="Times New Roman"/>
                <w:color w:val="1F2937"/>
                <w:sz w:val="18"/>
              </w:rPr>
              <w:t>Requested purpose does not match approved purpose.</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Deny or route for approved exception.</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Purpose tags and rule result.</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R-03</w:t>
            </w:r>
          </w:p>
        </w:tc>
        <w:tc>
          <w:tcPr>
            <w:tcW w:type="dxa" w:w="2880"/>
            <w:shd w:val="clear" w:color="auto" w:fill="FFFFFF"/>
            <w:tcMar>
              <w:top w:w="80" w:type="dxa"/>
              <w:bottom w:w="80" w:type="dxa"/>
              <w:left w:w="120" w:type="dxa"/>
              <w:right w:w="120" w:type="dxa"/>
            </w:tcMar>
          </w:tcPr>
          <w:p>
            <w:pPr>
              <w:jc w:val="left"/>
            </w:pPr>
            <w:r>
              <w:rPr>
                <w:rFonts w:ascii="Times New Roman" w:hAnsi="Times New Roman"/>
                <w:color w:val="1F2937"/>
                <w:sz w:val="18"/>
              </w:rPr>
              <w:t>Sensitive field lacks required encryption.</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Block export; remediate configuration.</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Transport/storage status and timestamp.</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R-04</w:t>
            </w:r>
          </w:p>
        </w:tc>
        <w:tc>
          <w:tcPr>
            <w:tcW w:type="dxa" w:w="2880"/>
            <w:shd w:val="clear" w:color="auto" w:fill="FFF7ED"/>
            <w:tcMar>
              <w:top w:w="80" w:type="dxa"/>
              <w:bottom w:w="80" w:type="dxa"/>
              <w:left w:w="120" w:type="dxa"/>
              <w:right w:w="120" w:type="dxa"/>
            </w:tcMar>
          </w:tcPr>
          <w:p>
            <w:pPr>
              <w:jc w:val="left"/>
            </w:pPr>
            <w:r>
              <w:rPr>
                <w:rFonts w:ascii="Times New Roman" w:hAnsi="Times New Roman"/>
                <w:color w:val="1F2937"/>
                <w:sz w:val="18"/>
              </w:rPr>
              <w:t>Retention period has expired.</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Trigger deletion workflow and verify downstream copies.</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Deletion confirmation and exception log.</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R-05</w:t>
            </w:r>
          </w:p>
        </w:tc>
        <w:tc>
          <w:tcPr>
            <w:tcW w:type="dxa" w:w="2880"/>
            <w:shd w:val="clear" w:color="auto" w:fill="FFFFFF"/>
            <w:tcMar>
              <w:top w:w="80" w:type="dxa"/>
              <w:bottom w:w="80" w:type="dxa"/>
              <w:left w:w="120" w:type="dxa"/>
              <w:right w:w="120" w:type="dxa"/>
            </w:tcMar>
          </w:tcPr>
          <w:p>
            <w:pPr>
              <w:jc w:val="left"/>
            </w:pPr>
            <w:r>
              <w:rPr>
                <w:rFonts w:ascii="Times New Roman" w:hAnsi="Times New Roman"/>
                <w:color w:val="1F2937"/>
                <w:sz w:val="18"/>
              </w:rPr>
              <w:t>Cross-border recipient/location not mapped.</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Hold transfer for jurisdictional review.</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Destination, legal mapping, owner approval.</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R-06</w:t>
            </w:r>
          </w:p>
        </w:tc>
        <w:tc>
          <w:tcPr>
            <w:tcW w:type="dxa" w:w="2880"/>
            <w:shd w:val="clear" w:color="auto" w:fill="FFF7ED"/>
            <w:tcMar>
              <w:top w:w="80" w:type="dxa"/>
              <w:bottom w:w="80" w:type="dxa"/>
              <w:left w:w="120" w:type="dxa"/>
              <w:right w:w="120" w:type="dxa"/>
            </w:tcMar>
          </w:tcPr>
          <w:p>
            <w:pPr>
              <w:jc w:val="left"/>
            </w:pPr>
            <w:r>
              <w:rPr>
                <w:rFonts w:ascii="Times New Roman" w:hAnsi="Times New Roman"/>
                <w:color w:val="1F2937"/>
                <w:sz w:val="18"/>
              </w:rPr>
              <w:t>Model predicts unusual access pattern.</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Create alert for human triage; do not infer legal breach alone.</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Risk score, factors, reviewer outcome.</w:t>
            </w:r>
          </w:p>
        </w:tc>
      </w:tr>
      <w:tr>
        <w:tc>
          <w:tcPr>
            <w:tcW w:type="dxa" w:w="1152"/>
            <w:shd w:val="clear" w:color="auto" w:fill="FFFFFF"/>
            <w:tcMar>
              <w:top w:w="80" w:type="dxa"/>
              <w:bottom w:w="80" w:type="dxa"/>
              <w:left w:w="120" w:type="dxa"/>
              <w:right w:w="120" w:type="dxa"/>
            </w:tcMar>
          </w:tcPr>
          <w:p>
            <w:pPr>
              <w:jc w:val="center"/>
            </w:pPr>
            <w:r>
              <w:rPr>
                <w:rFonts w:ascii="Times New Roman" w:hAnsi="Times New Roman"/>
                <w:color w:val="1F2937"/>
                <w:sz w:val="18"/>
              </w:rPr>
              <w:t>R-07</w:t>
            </w:r>
          </w:p>
        </w:tc>
        <w:tc>
          <w:tcPr>
            <w:tcW w:type="dxa" w:w="2880"/>
            <w:shd w:val="clear" w:color="auto" w:fill="FFFFFF"/>
            <w:tcMar>
              <w:top w:w="80" w:type="dxa"/>
              <w:bottom w:w="80" w:type="dxa"/>
              <w:left w:w="120" w:type="dxa"/>
              <w:right w:w="120" w:type="dxa"/>
            </w:tcMar>
          </w:tcPr>
          <w:p>
            <w:pPr>
              <w:jc w:val="left"/>
            </w:pPr>
            <w:r>
              <w:rPr>
                <w:rFonts w:ascii="Times New Roman" w:hAnsi="Times New Roman"/>
                <w:color w:val="1F2937"/>
                <w:sz w:val="18"/>
              </w:rPr>
              <w:t>Device identity or signature fails.</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Reject message and initiate security response.</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Certificate/signature result, incident ID.</w:t>
            </w:r>
          </w:p>
        </w:tc>
      </w:tr>
      <w:tr>
        <w:tc>
          <w:tcPr>
            <w:tcW w:type="dxa" w:w="1152"/>
            <w:shd w:val="clear" w:color="auto" w:fill="FFF7ED"/>
            <w:tcMar>
              <w:top w:w="80" w:type="dxa"/>
              <w:bottom w:w="80" w:type="dxa"/>
              <w:left w:w="120" w:type="dxa"/>
              <w:right w:w="120" w:type="dxa"/>
            </w:tcMar>
          </w:tcPr>
          <w:p>
            <w:pPr>
              <w:jc w:val="center"/>
            </w:pPr>
            <w:r>
              <w:rPr>
                <w:rFonts w:ascii="Times New Roman" w:hAnsi="Times New Roman"/>
                <w:color w:val="1F2937"/>
                <w:sz w:val="18"/>
              </w:rPr>
              <w:t>R-08</w:t>
            </w:r>
          </w:p>
        </w:tc>
        <w:tc>
          <w:tcPr>
            <w:tcW w:type="dxa" w:w="2880"/>
            <w:shd w:val="clear" w:color="auto" w:fill="FFF7ED"/>
            <w:tcMar>
              <w:top w:w="80" w:type="dxa"/>
              <w:bottom w:w="80" w:type="dxa"/>
              <w:left w:w="120" w:type="dxa"/>
              <w:right w:w="120" w:type="dxa"/>
            </w:tcMar>
          </w:tcPr>
          <w:p>
            <w:pPr>
              <w:jc w:val="left"/>
            </w:pPr>
            <w:r>
              <w:rPr>
                <w:rFonts w:ascii="Times New Roman" w:hAnsi="Times New Roman"/>
                <w:color w:val="1F2937"/>
                <w:sz w:val="18"/>
              </w:rPr>
              <w:t>Metadata are incomplete or contradictory.</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Quarantine event until corrected.</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Schema version and missing fields.</w:t>
            </w:r>
          </w:p>
        </w:tc>
      </w:tr>
    </w:tbl>
    <w:p>
      <w:pPr>
        <w:spacing w:after="120"/>
      </w:pPr>
    </w:p>
    <w:p>
      <w:pPr>
        <w:pStyle w:val="Heading1"/>
        <w:spacing w:before="240" w:after="80"/>
      </w:pPr>
      <w:r>
        <w:rPr>
          <w:rFonts w:ascii="Times New Roman" w:hAnsi="Times New Roman"/>
          <w:b/>
          <w:color w:val="B45309"/>
          <w:sz w:val="28"/>
        </w:rPr>
        <w:t>10. Privacy Preservation and Data Protection Layer</w:t>
      </w:r>
    </w:p>
    <w:p>
      <w:pPr>
        <w:spacing w:after="80" w:line="276" w:lineRule="auto"/>
      </w:pPr>
      <w:r>
        <w:rPr>
          <w:rFonts w:ascii="Times New Roman" w:hAnsi="Times New Roman"/>
          <w:sz w:val="21"/>
        </w:rPr>
        <w:t>Privacy protection is a set of complementary controls rather than a single algorithm [7]. Data minimization limits collection and disclosure to what the purpose requires [12]. Pseudonymization replaces direct identifiers with controlled identifiers but does not guarantee that a person cannot be reidentified [18]. Encryption protects confidentiality when keys and endpoints are managed correctly [19]. Access control enforces least privilege [7]. Differential privacy provides formal output bounds under Laplace noise (Equation 2), while federated model aggregation is expressed conceptually in Equation 3:</w:t>
      </w:r>
    </w:p>
    <w:p>
      <w:pPr>
        <w:jc w:val="center"/>
      </w:pPr>
      <w:r>
        <w:rPr>
          <w:b/>
        </w:rPr>
        <w:t>M(x) = f(x) + Lap(Δf / ε)        (2)</w:t>
      </w:r>
    </w:p>
    <w:p>
      <w:pPr>
        <w:jc w:val="center"/>
      </w:pPr>
      <w:r>
        <w:rPr>
          <w:b/>
        </w:rPr>
        <w:t>w_{t+1} = ∑_k (n_k / N) · w_{t+1}^k        (3)</w:t>
      </w:r>
    </w:p>
    <w:p>
      <w:pPr>
        <w:spacing w:before="160" w:after="40"/>
        <w:jc w:val="center"/>
      </w:pPr>
      <w:r>
        <w:drawing>
          <wp:inline xmlns:a="http://schemas.openxmlformats.org/drawingml/2006/main" xmlns:pic="http://schemas.openxmlformats.org/drawingml/2006/picture">
            <wp:extent cx="5303520" cy="2953859"/>
            <wp:docPr id="15" name="Picture 15"/>
            <wp:cNvGraphicFramePr>
              <a:graphicFrameLocks noChangeAspect="1"/>
            </wp:cNvGraphicFramePr>
            <a:graphic>
              <a:graphicData uri="http://schemas.openxmlformats.org/drawingml/2006/picture">
                <pic:pic>
                  <pic:nvPicPr>
                    <pic:cNvPr id="0" name="Fig 15 Privacy Protection Framework.png"/>
                    <pic:cNvPicPr/>
                  </pic:nvPicPr>
                  <pic:blipFill>
                    <a:blip r:embed="rId23"/>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15. Privacy Protection Framework</w:t>
      </w:r>
    </w:p>
    <w:p>
      <w:pPr>
        <w:spacing w:before="160" w:after="40"/>
        <w:jc w:val="center"/>
      </w:pPr>
      <w:r>
        <w:drawing>
          <wp:inline xmlns:a="http://schemas.openxmlformats.org/drawingml/2006/main" xmlns:pic="http://schemas.openxmlformats.org/drawingml/2006/picture">
            <wp:extent cx="5303520" cy="2953859"/>
            <wp:docPr id="16" name="Picture 16"/>
            <wp:cNvGraphicFramePr>
              <a:graphicFrameLocks noChangeAspect="1"/>
            </wp:cNvGraphicFramePr>
            <a:graphic>
              <a:graphicData uri="http://schemas.openxmlformats.org/drawingml/2006/picture">
                <pic:pic>
                  <pic:nvPicPr>
                    <pic:cNvPr id="0" name="Fig 16 Data Protection Lifecycle.png"/>
                    <pic:cNvPicPr/>
                  </pic:nvPicPr>
                  <pic:blipFill>
                    <a:blip r:embed="rId24"/>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16. Data Protection Lifecycle</w:t>
      </w:r>
    </w:p>
    <w:p>
      <w:pPr>
        <w:pStyle w:val="Heading1"/>
        <w:spacing w:before="240" w:after="80"/>
      </w:pPr>
      <w:r>
        <w:rPr>
          <w:rFonts w:ascii="Times New Roman" w:hAnsi="Times New Roman"/>
          <w:b/>
          <w:color w:val="B45309"/>
          <w:sz w:val="28"/>
        </w:rPr>
        <w:t>11. Explainability, Transparency, and Auditability Layer</w:t>
      </w:r>
    </w:p>
    <w:p>
      <w:pPr>
        <w:spacing w:after="80" w:line="276" w:lineRule="auto"/>
      </w:pPr>
      <w:r>
        <w:rPr>
          <w:rFonts w:ascii="Times New Roman" w:hAnsi="Times New Roman"/>
          <w:sz w:val="21"/>
        </w:rPr>
        <w:t>Explainability is essential when an AI-generated signal changes how data are collected, shared, retained, or investigated [3]. In a compliance setting, the explanation should answer four questions: what was detected; which input evidence supported the result; which policy or control was relevant; and what action followed [14].</w:t>
      </w:r>
    </w:p>
    <w:p>
      <w:pPr>
        <w:spacing w:before="160" w:after="40"/>
        <w:jc w:val="center"/>
      </w:pPr>
      <w:r>
        <w:drawing>
          <wp:inline xmlns:a="http://schemas.openxmlformats.org/drawingml/2006/main" xmlns:pic="http://schemas.openxmlformats.org/drawingml/2006/picture">
            <wp:extent cx="5303520" cy="2953859"/>
            <wp:docPr id="17" name="Picture 17"/>
            <wp:cNvGraphicFramePr>
              <a:graphicFrameLocks noChangeAspect="1"/>
            </wp:cNvGraphicFramePr>
            <a:graphic>
              <a:graphicData uri="http://schemas.openxmlformats.org/drawingml/2006/picture">
                <pic:pic>
                  <pic:nvPicPr>
                    <pic:cNvPr id="0" name="Fig 17 Explainable Compliance Framework.png"/>
                    <pic:cNvPicPr/>
                  </pic:nvPicPr>
                  <pic:blipFill>
                    <a:blip r:embed="rId25"/>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17. Explainable Compliance Framework</w:t>
      </w:r>
    </w:p>
    <w:p>
      <w:pPr>
        <w:spacing w:before="160" w:after="40"/>
        <w:jc w:val="center"/>
      </w:pPr>
      <w:r>
        <w:drawing>
          <wp:inline xmlns:a="http://schemas.openxmlformats.org/drawingml/2006/main" xmlns:pic="http://schemas.openxmlformats.org/drawingml/2006/picture">
            <wp:extent cx="5303520" cy="2953859"/>
            <wp:docPr id="18" name="Picture 18"/>
            <wp:cNvGraphicFramePr>
              <a:graphicFrameLocks noChangeAspect="1"/>
            </wp:cNvGraphicFramePr>
            <a:graphic>
              <a:graphicData uri="http://schemas.openxmlformats.org/drawingml/2006/picture">
                <pic:pic>
                  <pic:nvPicPr>
                    <pic:cNvPr id="0" name="Fig 18 Auditability and Transparency Dashboard.png"/>
                    <pic:cNvPicPr/>
                  </pic:nvPicPr>
                  <pic:blipFill>
                    <a:blip r:embed="rId26"/>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18. Auditability and Transparency Dashboard</w:t>
      </w:r>
    </w:p>
    <w:p>
      <w:pPr>
        <w:pStyle w:val="Heading1"/>
        <w:spacing w:before="240" w:after="80"/>
      </w:pPr>
      <w:r>
        <w:rPr>
          <w:rFonts w:ascii="Times New Roman" w:hAnsi="Times New Roman"/>
          <w:b/>
          <w:color w:val="B45309"/>
          <w:sz w:val="28"/>
        </w:rPr>
        <w:t>12. Governance, Regulatory Mapping, and Data Sovereignty Layer</w:t>
      </w:r>
    </w:p>
    <w:p>
      <w:pPr>
        <w:spacing w:after="80" w:line="276" w:lineRule="auto"/>
      </w:pPr>
      <w:r>
        <w:rPr>
          <w:rFonts w:ascii="Times New Roman" w:hAnsi="Times New Roman"/>
          <w:sz w:val="21"/>
        </w:rPr>
        <w:t>Regulatory mapping starts with scope [29]. The organization identifies its role, the people or entities represented in the data, the processing purposes, the destinations, the vendors, and the locations in which data are collected, stored, accessed, or transferred [34]. The GDPR, India's DPDP Act 2023 along with the DPDP Rules 2025, and the EU AI Act (Regulation 2024/1689) provide the baseline governance structure.</w:t>
      </w:r>
    </w:p>
    <w:p>
      <w:pPr>
        <w:spacing w:before="160" w:after="40"/>
        <w:jc w:val="center"/>
      </w:pPr>
      <w:r>
        <w:drawing>
          <wp:inline xmlns:a="http://schemas.openxmlformats.org/drawingml/2006/main" xmlns:pic="http://schemas.openxmlformats.org/drawingml/2006/picture">
            <wp:extent cx="5303520" cy="2953859"/>
            <wp:docPr id="19" name="Picture 19"/>
            <wp:cNvGraphicFramePr>
              <a:graphicFrameLocks noChangeAspect="1"/>
            </wp:cNvGraphicFramePr>
            <a:graphic>
              <a:graphicData uri="http://schemas.openxmlformats.org/drawingml/2006/picture">
                <pic:pic>
                  <pic:nvPicPr>
                    <pic:cNvPr id="0" name="Fig 19 Regulatory Compliance Architecture.png"/>
                    <pic:cNvPicPr/>
                  </pic:nvPicPr>
                  <pic:blipFill>
                    <a:blip r:embed="rId27"/>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19. Regulatory Compliance Architecture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val="clear" w:color="auto" w:fill="C25418"/>
            <w:tcMar>
              <w:top w:w="120" w:type="dxa"/>
              <w:bottom w:w="120" w:type="dxa"/>
              <w:left w:w="150" w:type="dxa"/>
              <w:right w:w="150" w:type="dxa"/>
            </w:tcMar>
          </w:tcPr>
          <w:p>
            <w:pPr>
              <w:jc w:val="center"/>
            </w:pPr>
            <w:r>
              <w:rPr>
                <w:rFonts w:ascii="Times New Roman" w:hAnsi="Times New Roman"/>
                <w:b/>
                <w:color w:val="FFFFFF"/>
                <w:sz w:val="19"/>
              </w:rPr>
              <w:t>Governance theme</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Technical control examples</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Evidence to retain</w:t>
            </w:r>
          </w:p>
        </w:tc>
        <w:tc>
          <w:tcPr>
            <w:tcW w:type="dxa" w:w="2016"/>
            <w:shd w:val="clear" w:color="auto" w:fill="C25418"/>
            <w:tcMar>
              <w:top w:w="120" w:type="dxa"/>
              <w:bottom w:w="120" w:type="dxa"/>
              <w:left w:w="150" w:type="dxa"/>
              <w:right w:w="150" w:type="dxa"/>
            </w:tcMar>
          </w:tcPr>
          <w:p>
            <w:pPr>
              <w:jc w:val="center"/>
            </w:pPr>
            <w:r>
              <w:rPr>
                <w:rFonts w:ascii="Times New Roman" w:hAnsi="Times New Roman"/>
                <w:b/>
                <w:color w:val="FFFFFF"/>
                <w:sz w:val="19"/>
              </w:rPr>
              <w:t>Important limitation</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Purpose and transparency</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Purpose tags, notice/version register.</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Approved purpose, notice version, owner.</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Exact duty depends on context and law.</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Lawful basis / consent</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Consent status, authority records, withdrawal workflow.</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Source of authority and timestamp.</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Consent is not the only possible lawful basis.</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Data minimization</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Field allowlists, edge filtering, aggregation.</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Before/after schema and export records.</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A privacy risk assessment is still required.</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Security &amp; accountability</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Access controls, encryption, incident log, reviews.</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Test reports, role review, incident records.</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A technical control alone does not prove compliance.</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Retention &amp; individual rights</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Retention schedule, deletion orchestration, request handling.</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Completion evidence, exceptions and deadlines.</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Backups and third parties require separate handling.</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AI governance</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Model cards, testing, human oversight, version change control.</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Validation, monitoring, reasons, override records.</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Regulatory applicability must be assessed individually.</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Data sovereignty / transfers</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Location tags, recipient inventory, transfer review.</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Processing locations, contract and approval evidence.</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Cross-border requirements differ by jurisdiction.</w:t>
            </w:r>
          </w:p>
        </w:tc>
      </w:tr>
    </w:tbl>
    <w:p>
      <w:pPr>
        <w:spacing w:after="120"/>
      </w:pPr>
    </w:p>
    <w:p>
      <w:pPr>
        <w:pStyle w:val="Heading1"/>
        <w:spacing w:before="240" w:after="80"/>
      </w:pPr>
      <w:r>
        <w:rPr>
          <w:rFonts w:ascii="Times New Roman" w:hAnsi="Times New Roman"/>
          <w:b/>
          <w:color w:val="B45309"/>
          <w:sz w:val="28"/>
        </w:rPr>
        <w:t>13. Security and Threat Intelligence Layer</w:t>
      </w:r>
    </w:p>
    <w:p>
      <w:pPr>
        <w:spacing w:after="80" w:line="276" w:lineRule="auto"/>
      </w:pPr>
      <w:r>
        <w:rPr>
          <w:rFonts w:ascii="Times New Roman" w:hAnsi="Times New Roman"/>
          <w:sz w:val="21"/>
        </w:rPr>
        <w:t>Privacy compliance depends on security controls because an organization cannot reliably enforce data-use policies if device identities, gateways, models, or logs can be manipulated [36]. Threats include unauthorized access, credential theft, insecure interfaces, stale software, data poisoning, model evasion, inference leakage, compromised gateways, and malicious insiders [36].</w:t>
      </w:r>
    </w:p>
    <w:p>
      <w:pPr>
        <w:spacing w:before="160" w:after="40"/>
        <w:jc w:val="center"/>
      </w:pPr>
      <w:r>
        <w:drawing>
          <wp:inline xmlns:a="http://schemas.openxmlformats.org/drawingml/2006/main" xmlns:pic="http://schemas.openxmlformats.org/drawingml/2006/picture">
            <wp:extent cx="5303520" cy="2953859"/>
            <wp:docPr id="20" name="Picture 20"/>
            <wp:cNvGraphicFramePr>
              <a:graphicFrameLocks noChangeAspect="1"/>
            </wp:cNvGraphicFramePr>
            <a:graphic>
              <a:graphicData uri="http://schemas.openxmlformats.org/drawingml/2006/picture">
                <pic:pic>
                  <pic:nvPicPr>
                    <pic:cNvPr id="0" name="Fig 20 Security Intelligence Framework.png"/>
                    <pic:cNvPicPr/>
                  </pic:nvPicPr>
                  <pic:blipFill>
                    <a:blip r:embed="rId28"/>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20. Security Intelligence Framework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val="clear" w:color="auto" w:fill="C25418"/>
            <w:tcMar>
              <w:top w:w="120" w:type="dxa"/>
              <w:bottom w:w="120" w:type="dxa"/>
              <w:left w:w="150" w:type="dxa"/>
              <w:right w:w="150" w:type="dxa"/>
            </w:tcMar>
          </w:tcPr>
          <w:p>
            <w:pPr>
              <w:jc w:val="center"/>
            </w:pPr>
            <w:r>
              <w:rPr>
                <w:rFonts w:ascii="Times New Roman" w:hAnsi="Times New Roman"/>
                <w:b/>
                <w:color w:val="FFFFFF"/>
                <w:sz w:val="19"/>
              </w:rPr>
              <w:t>Threat</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Potential privacy impact</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Prevention / detection</w:t>
            </w:r>
          </w:p>
        </w:tc>
        <w:tc>
          <w:tcPr>
            <w:tcW w:type="dxa" w:w="2016"/>
            <w:shd w:val="clear" w:color="auto" w:fill="C25418"/>
            <w:tcMar>
              <w:top w:w="120" w:type="dxa"/>
              <w:bottom w:w="120" w:type="dxa"/>
              <w:left w:w="150" w:type="dxa"/>
              <w:right w:w="150" w:type="dxa"/>
            </w:tcMar>
          </w:tcPr>
          <w:p>
            <w:pPr>
              <w:jc w:val="center"/>
            </w:pPr>
            <w:r>
              <w:rPr>
                <w:rFonts w:ascii="Times New Roman" w:hAnsi="Times New Roman"/>
                <w:b/>
                <w:color w:val="FFFFFF"/>
                <w:sz w:val="19"/>
              </w:rPr>
              <w:t>Response evidence</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Spoofed device</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False provenance; unauthorized data injection.</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Mutual authentication, device attestation.</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Identity event and quarantine log.</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Unauthorized access</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Disclosure or unapproved reuse.</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Least privilege, MFA for operators, access monitoring.</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Access log and revocation record.</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Model evasion / poisoning</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Poor or manipulated risk ranking.</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Input validation, robust evaluation, update approval.</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Model version, detection event, rollback proof.</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Data exfiltration</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Unapproved transfer of personal or sensitive data.</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Egress controls, minimization, encryption.</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Flow logs, incident timeline.</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Insider misuse</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Access beyond assigned purpose.</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Separation of duties, reviewable exceptions.</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Authorization trail, investigation outcome.</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Audit-log tampering</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Reduced ability to reconstruct decisions.</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Append-only storage, signatures, time synchronization.</w:t>
            </w:r>
          </w:p>
        </w:tc>
        <w:tc>
          <w:tcPr>
            <w:tcW w:type="dxa" w:w="2016"/>
            <w:shd w:val="clear" w:color="auto" w:fill="FFF7ED"/>
            <w:tcMar>
              <w:top w:w="80" w:type="dxa"/>
              <w:bottom w:w="80" w:type="dxa"/>
              <w:left w:w="120" w:type="dxa"/>
              <w:right w:w="120" w:type="dxa"/>
            </w:tcMar>
          </w:tcPr>
          <w:p>
            <w:pPr>
              <w:jc w:val="left"/>
            </w:pPr>
            <w:r>
              <w:rPr>
                <w:rFonts w:ascii="Times New Roman" w:hAnsi="Times New Roman"/>
                <w:color w:val="1F2937"/>
                <w:sz w:val="18"/>
              </w:rPr>
              <w:t>Integrity verification result.</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Ransomware / outage</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Data loss, unavailable governance controls.</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Patch, backup, recovery drills, segmentation.</w:t>
            </w:r>
          </w:p>
        </w:tc>
        <w:tc>
          <w:tcPr>
            <w:tcW w:type="dxa" w:w="2016"/>
            <w:shd w:val="clear" w:color="auto" w:fill="FFFFFF"/>
            <w:tcMar>
              <w:top w:w="80" w:type="dxa"/>
              <w:bottom w:w="80" w:type="dxa"/>
              <w:left w:w="120" w:type="dxa"/>
              <w:right w:w="120" w:type="dxa"/>
            </w:tcMar>
          </w:tcPr>
          <w:p>
            <w:pPr>
              <w:jc w:val="left"/>
            </w:pPr>
            <w:r>
              <w:rPr>
                <w:rFonts w:ascii="Times New Roman" w:hAnsi="Times New Roman"/>
                <w:color w:val="1F2937"/>
                <w:sz w:val="18"/>
              </w:rPr>
              <w:t>Recovery record and residual risk.</w:t>
            </w:r>
          </w:p>
        </w:tc>
      </w:tr>
    </w:tbl>
    <w:p>
      <w:pPr>
        <w:spacing w:after="120"/>
      </w:pPr>
    </w:p>
    <w:p>
      <w:pPr>
        <w:pStyle w:val="Heading1"/>
        <w:spacing w:before="240" w:after="80"/>
      </w:pPr>
      <w:r>
        <w:rPr>
          <w:rFonts w:ascii="Times New Roman" w:hAnsi="Times New Roman"/>
          <w:b/>
          <w:color w:val="B45309"/>
          <w:sz w:val="28"/>
        </w:rPr>
        <w:t>14. Experimental Setup</w:t>
      </w:r>
    </w:p>
    <w:p>
      <w:pPr>
        <w:spacing w:after="80" w:line="276" w:lineRule="auto"/>
      </w:pPr>
      <w:r>
        <w:rPr>
          <w:rFonts w:ascii="Times New Roman" w:hAnsi="Times New Roman"/>
          <w:sz w:val="21"/>
        </w:rPr>
        <w:t>A reproducible experiment is included to show how the proposed decision pipeline can be implemented and compared [14]. It generates 6,000 synthetic IoT event records across healthcare, smart city, manufacturing, energy, agriculture, and transport [36]. Each row contains artificial values for sensitivity level, consent evidence, encryption, purpose matching, retention, access anomalies, cross-border transfer, minimization, device security, metadata completeness, data volume, edge processing, and a synthetic violation label [14]. The records are split 75/25 with random seed 42 (1,500 held-out test events).</w:t>
      </w:r>
    </w:p>
    <w:p>
      <w:pPr>
        <w:spacing w:before="160" w:after="40"/>
        <w:jc w:val="center"/>
      </w:pPr>
      <w:r>
        <w:drawing>
          <wp:inline xmlns:a="http://schemas.openxmlformats.org/drawingml/2006/main" xmlns:pic="http://schemas.openxmlformats.org/drawingml/2006/picture">
            <wp:extent cx="5303520" cy="2953859"/>
            <wp:docPr id="21" name="Picture 21"/>
            <wp:cNvGraphicFramePr>
              <a:graphicFrameLocks noChangeAspect="1"/>
            </wp:cNvGraphicFramePr>
            <a:graphic>
              <a:graphicData uri="http://schemas.openxmlformats.org/drawingml/2006/picture">
                <pic:pic>
                  <pic:nvPicPr>
                    <pic:cNvPr id="0" name="Fig 21 Experimental Testbed Architecture.png"/>
                    <pic:cNvPicPr/>
                  </pic:nvPicPr>
                  <pic:blipFill>
                    <a:blip r:embed="rId29"/>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21. Experimental Testbed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C25418"/>
            <w:tcMar>
              <w:top w:w="120" w:type="dxa"/>
              <w:bottom w:w="120" w:type="dxa"/>
              <w:left w:w="150" w:type="dxa"/>
              <w:right w:w="150" w:type="dxa"/>
            </w:tcMar>
          </w:tcPr>
          <w:p>
            <w:pPr>
              <w:jc w:val="center"/>
            </w:pPr>
            <w:r>
              <w:rPr>
                <w:rFonts w:ascii="Times New Roman" w:hAnsi="Times New Roman"/>
                <w:b/>
                <w:color w:val="FFFFFF"/>
                <w:sz w:val="19"/>
              </w:rPr>
              <w:t>Item</w:t>
            </w:r>
          </w:p>
        </w:tc>
        <w:tc>
          <w:tcPr>
            <w:tcW w:type="dxa" w:w="3600"/>
            <w:shd w:val="clear" w:color="auto" w:fill="C25418"/>
            <w:tcMar>
              <w:top w:w="120" w:type="dxa"/>
              <w:bottom w:w="120" w:type="dxa"/>
              <w:left w:w="150" w:type="dxa"/>
              <w:right w:w="150" w:type="dxa"/>
            </w:tcMar>
          </w:tcPr>
          <w:p>
            <w:pPr>
              <w:jc w:val="center"/>
            </w:pPr>
            <w:r>
              <w:rPr>
                <w:rFonts w:ascii="Times New Roman" w:hAnsi="Times New Roman"/>
                <w:b/>
                <w:color w:val="FFFFFF"/>
                <w:sz w:val="19"/>
              </w:rPr>
              <w:t>Configuration</w:t>
            </w:r>
          </w:p>
        </w:tc>
        <w:tc>
          <w:tcPr>
            <w:tcW w:type="dxa" w:w="3888"/>
            <w:shd w:val="clear" w:color="auto" w:fill="C25418"/>
            <w:tcMar>
              <w:top w:w="120" w:type="dxa"/>
              <w:bottom w:w="120" w:type="dxa"/>
              <w:left w:w="150" w:type="dxa"/>
              <w:right w:w="150" w:type="dxa"/>
            </w:tcMar>
          </w:tcPr>
          <w:p>
            <w:pPr>
              <w:jc w:val="center"/>
            </w:pPr>
            <w:r>
              <w:rPr>
                <w:rFonts w:ascii="Times New Roman" w:hAnsi="Times New Roman"/>
                <w:b/>
                <w:color w:val="FFFFFF"/>
                <w:sz w:val="19"/>
              </w:rPr>
              <w:t>Interpretation</w:t>
            </w:r>
          </w:p>
        </w:tc>
      </w:tr>
      <w:tr>
        <w:tc>
          <w:tcPr>
            <w:tcW w:type="dxa" w:w="1728"/>
            <w:shd w:val="clear" w:color="auto" w:fill="FFFFFF"/>
            <w:tcMar>
              <w:top w:w="80" w:type="dxa"/>
              <w:bottom w:w="80" w:type="dxa"/>
              <w:left w:w="120" w:type="dxa"/>
              <w:right w:w="120" w:type="dxa"/>
            </w:tcMar>
          </w:tcPr>
          <w:p>
            <w:pPr>
              <w:jc w:val="center"/>
            </w:pPr>
            <w:r>
              <w:rPr>
                <w:rFonts w:ascii="Times New Roman" w:hAnsi="Times New Roman"/>
                <w:color w:val="1F2937"/>
                <w:sz w:val="18"/>
              </w:rPr>
              <w:t>Dataset</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6,000 generated synthetic records; six IoT sectors.</w:t>
            </w:r>
          </w:p>
        </w:tc>
        <w:tc>
          <w:tcPr>
            <w:tcW w:type="dxa" w:w="3888"/>
            <w:shd w:val="clear" w:color="auto" w:fill="FFFFFF"/>
            <w:tcMar>
              <w:top w:w="80" w:type="dxa"/>
              <w:bottom w:w="80" w:type="dxa"/>
              <w:left w:w="120" w:type="dxa"/>
              <w:right w:w="120" w:type="dxa"/>
            </w:tcMar>
          </w:tcPr>
          <w:p>
            <w:pPr>
              <w:jc w:val="left"/>
            </w:pPr>
            <w:r>
              <w:rPr>
                <w:rFonts w:ascii="Times New Roman" w:hAnsi="Times New Roman"/>
                <w:color w:val="1F2937"/>
                <w:sz w:val="18"/>
              </w:rPr>
              <w:t>No real persons, devices, or production logs.</w:t>
            </w:r>
          </w:p>
        </w:tc>
      </w:tr>
      <w:tr>
        <w:tc>
          <w:tcPr>
            <w:tcW w:type="dxa" w:w="1728"/>
            <w:shd w:val="clear" w:color="auto" w:fill="FFF7ED"/>
            <w:tcMar>
              <w:top w:w="80" w:type="dxa"/>
              <w:bottom w:w="80" w:type="dxa"/>
              <w:left w:w="120" w:type="dxa"/>
              <w:right w:w="120" w:type="dxa"/>
            </w:tcMar>
          </w:tcPr>
          <w:p>
            <w:pPr>
              <w:jc w:val="center"/>
            </w:pPr>
            <w:r>
              <w:rPr>
                <w:rFonts w:ascii="Times New Roman" w:hAnsi="Times New Roman"/>
                <w:color w:val="1F2937"/>
                <w:sz w:val="18"/>
              </w:rPr>
              <w:t>Generation seed</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42.</w:t>
            </w:r>
          </w:p>
        </w:tc>
        <w:tc>
          <w:tcPr>
            <w:tcW w:type="dxa" w:w="3888"/>
            <w:shd w:val="clear" w:color="auto" w:fill="FFF7ED"/>
            <w:tcMar>
              <w:top w:w="80" w:type="dxa"/>
              <w:bottom w:w="80" w:type="dxa"/>
              <w:left w:w="120" w:type="dxa"/>
              <w:right w:w="120" w:type="dxa"/>
            </w:tcMar>
          </w:tcPr>
          <w:p>
            <w:pPr>
              <w:jc w:val="left"/>
            </w:pPr>
            <w:r>
              <w:rPr>
                <w:rFonts w:ascii="Times New Roman" w:hAnsi="Times New Roman"/>
                <w:color w:val="1F2937"/>
                <w:sz w:val="18"/>
              </w:rPr>
              <w:t>Makes the artificial event generation reproducible.</w:t>
            </w:r>
          </w:p>
        </w:tc>
      </w:tr>
      <w:tr>
        <w:tc>
          <w:tcPr>
            <w:tcW w:type="dxa" w:w="1728"/>
            <w:shd w:val="clear" w:color="auto" w:fill="FFFFFF"/>
            <w:tcMar>
              <w:top w:w="80" w:type="dxa"/>
              <w:bottom w:w="80" w:type="dxa"/>
              <w:left w:w="120" w:type="dxa"/>
              <w:right w:w="120" w:type="dxa"/>
            </w:tcMar>
          </w:tcPr>
          <w:p>
            <w:pPr>
              <w:jc w:val="center"/>
            </w:pPr>
            <w:r>
              <w:rPr>
                <w:rFonts w:ascii="Times New Roman" w:hAnsi="Times New Roman"/>
                <w:color w:val="1F2937"/>
                <w:sz w:val="18"/>
              </w:rPr>
              <w:t>Target label</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Generated by scripted risk-factor logic with noise.</w:t>
            </w:r>
          </w:p>
        </w:tc>
        <w:tc>
          <w:tcPr>
            <w:tcW w:type="dxa" w:w="3888"/>
            <w:shd w:val="clear" w:color="auto" w:fill="FFFFFF"/>
            <w:tcMar>
              <w:top w:w="80" w:type="dxa"/>
              <w:bottom w:w="80" w:type="dxa"/>
              <w:left w:w="120" w:type="dxa"/>
              <w:right w:w="120" w:type="dxa"/>
            </w:tcMar>
          </w:tcPr>
          <w:p>
            <w:pPr>
              <w:jc w:val="left"/>
            </w:pPr>
            <w:r>
              <w:rPr>
                <w:rFonts w:ascii="Times New Roman" w:hAnsi="Times New Roman"/>
                <w:color w:val="1F2937"/>
                <w:sz w:val="18"/>
              </w:rPr>
              <w:t>Not a legal finding or independently adjudicated label.</w:t>
            </w:r>
          </w:p>
        </w:tc>
      </w:tr>
      <w:tr>
        <w:tc>
          <w:tcPr>
            <w:tcW w:type="dxa" w:w="1728"/>
            <w:shd w:val="clear" w:color="auto" w:fill="FFF7ED"/>
            <w:tcMar>
              <w:top w:w="80" w:type="dxa"/>
              <w:bottom w:w="80" w:type="dxa"/>
              <w:left w:w="120" w:type="dxa"/>
              <w:right w:w="120" w:type="dxa"/>
            </w:tcMar>
          </w:tcPr>
          <w:p>
            <w:pPr>
              <w:jc w:val="center"/>
            </w:pPr>
            <w:r>
              <w:rPr>
                <w:rFonts w:ascii="Times New Roman" w:hAnsi="Times New Roman"/>
                <w:color w:val="1F2937"/>
                <w:sz w:val="18"/>
              </w:rPr>
              <w:t>Split</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Stratified 75% training / 25% test.</w:t>
            </w:r>
          </w:p>
        </w:tc>
        <w:tc>
          <w:tcPr>
            <w:tcW w:type="dxa" w:w="3888"/>
            <w:shd w:val="clear" w:color="auto" w:fill="FFF7ED"/>
            <w:tcMar>
              <w:top w:w="80" w:type="dxa"/>
              <w:bottom w:w="80" w:type="dxa"/>
              <w:left w:w="120" w:type="dxa"/>
              <w:right w:w="120" w:type="dxa"/>
            </w:tcMar>
          </w:tcPr>
          <w:p>
            <w:pPr>
              <w:jc w:val="left"/>
            </w:pPr>
            <w:r>
              <w:rPr>
                <w:rFonts w:ascii="Times New Roman" w:hAnsi="Times New Roman"/>
                <w:color w:val="1F2937"/>
                <w:sz w:val="18"/>
              </w:rPr>
              <w:t>1,500 held-out records for reported comparison.</w:t>
            </w:r>
          </w:p>
        </w:tc>
      </w:tr>
      <w:tr>
        <w:tc>
          <w:tcPr>
            <w:tcW w:type="dxa" w:w="1728"/>
            <w:shd w:val="clear" w:color="auto" w:fill="FFFFFF"/>
            <w:tcMar>
              <w:top w:w="80" w:type="dxa"/>
              <w:bottom w:w="80" w:type="dxa"/>
              <w:left w:w="120" w:type="dxa"/>
              <w:right w:w="120" w:type="dxa"/>
            </w:tcMar>
          </w:tcPr>
          <w:p>
            <w:pPr>
              <w:jc w:val="center"/>
            </w:pPr>
            <w:r>
              <w:rPr>
                <w:rFonts w:ascii="Times New Roman" w:hAnsi="Times New Roman"/>
                <w:color w:val="1F2937"/>
                <w:sz w:val="18"/>
              </w:rPr>
              <w:t>Baseline</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Transparent checklist rule.</w:t>
            </w:r>
          </w:p>
        </w:tc>
        <w:tc>
          <w:tcPr>
            <w:tcW w:type="dxa" w:w="3888"/>
            <w:shd w:val="clear" w:color="auto" w:fill="FFFFFF"/>
            <w:tcMar>
              <w:top w:w="80" w:type="dxa"/>
              <w:bottom w:w="80" w:type="dxa"/>
              <w:left w:w="120" w:type="dxa"/>
              <w:right w:w="120" w:type="dxa"/>
            </w:tcMar>
          </w:tcPr>
          <w:p>
            <w:pPr>
              <w:jc w:val="left"/>
            </w:pPr>
            <w:r>
              <w:rPr>
                <w:rFonts w:ascii="Times New Roman" w:hAnsi="Times New Roman"/>
                <w:color w:val="1F2937"/>
                <w:sz w:val="18"/>
              </w:rPr>
              <w:t>Deterministic comparison, not industry benchmark.</w:t>
            </w:r>
          </w:p>
        </w:tc>
      </w:tr>
      <w:tr>
        <w:tc>
          <w:tcPr>
            <w:tcW w:type="dxa" w:w="1728"/>
            <w:shd w:val="clear" w:color="auto" w:fill="FFF7ED"/>
            <w:tcMar>
              <w:top w:w="80" w:type="dxa"/>
              <w:bottom w:w="80" w:type="dxa"/>
              <w:left w:w="120" w:type="dxa"/>
              <w:right w:w="120" w:type="dxa"/>
            </w:tcMar>
          </w:tcPr>
          <w:p>
            <w:pPr>
              <w:jc w:val="center"/>
            </w:pPr>
            <w:r>
              <w:rPr>
                <w:rFonts w:ascii="Times New Roman" w:hAnsi="Times New Roman"/>
                <w:color w:val="1F2937"/>
                <w:sz w:val="18"/>
              </w:rPr>
              <w:t>ML model</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Random Forest classifier (240 trees, depth 10, min leaf 3).</w:t>
            </w:r>
          </w:p>
        </w:tc>
        <w:tc>
          <w:tcPr>
            <w:tcW w:type="dxa" w:w="3888"/>
            <w:shd w:val="clear" w:color="auto" w:fill="FFF7ED"/>
            <w:tcMar>
              <w:top w:w="80" w:type="dxa"/>
              <w:bottom w:w="80" w:type="dxa"/>
              <w:left w:w="120" w:type="dxa"/>
              <w:right w:w="120" w:type="dxa"/>
            </w:tcMar>
          </w:tcPr>
          <w:p>
            <w:pPr>
              <w:jc w:val="left"/>
            </w:pPr>
            <w:r>
              <w:rPr>
                <w:rFonts w:ascii="Times New Roman" w:hAnsi="Times New Roman"/>
                <w:color w:val="1F2937"/>
                <w:sz w:val="18"/>
              </w:rPr>
              <w:t>Trained only on synthetic feature/label relationships.</w:t>
            </w:r>
          </w:p>
        </w:tc>
      </w:tr>
      <w:tr>
        <w:tc>
          <w:tcPr>
            <w:tcW w:type="dxa" w:w="1728"/>
            <w:shd w:val="clear" w:color="auto" w:fill="FFFFFF"/>
            <w:tcMar>
              <w:top w:w="80" w:type="dxa"/>
              <w:bottom w:w="80" w:type="dxa"/>
              <w:left w:w="120" w:type="dxa"/>
              <w:right w:w="120" w:type="dxa"/>
            </w:tcMar>
          </w:tcPr>
          <w:p>
            <w:pPr>
              <w:jc w:val="center"/>
            </w:pPr>
            <w:r>
              <w:rPr>
                <w:rFonts w:ascii="Times New Roman" w:hAnsi="Times New Roman"/>
                <w:color w:val="1F2937"/>
                <w:sz w:val="18"/>
              </w:rPr>
              <w:t>Hybrid</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Rules and model signal combined with recall threshold 0.38.</w:t>
            </w:r>
          </w:p>
        </w:tc>
        <w:tc>
          <w:tcPr>
            <w:tcW w:type="dxa" w:w="3888"/>
            <w:shd w:val="clear" w:color="auto" w:fill="FFFFFF"/>
            <w:tcMar>
              <w:top w:w="80" w:type="dxa"/>
              <w:bottom w:w="80" w:type="dxa"/>
              <w:left w:w="120" w:type="dxa"/>
              <w:right w:w="120" w:type="dxa"/>
            </w:tcMar>
          </w:tcPr>
          <w:p>
            <w:pPr>
              <w:jc w:val="left"/>
            </w:pPr>
            <w:r>
              <w:rPr>
                <w:rFonts w:ascii="Times New Roman" w:hAnsi="Times New Roman"/>
                <w:color w:val="1F2937"/>
                <w:sz w:val="18"/>
              </w:rPr>
              <w:t>Intentionally trades precision for recall.</w:t>
            </w:r>
          </w:p>
        </w:tc>
      </w:tr>
      <w:tr>
        <w:tc>
          <w:tcPr>
            <w:tcW w:type="dxa" w:w="1728"/>
            <w:shd w:val="clear" w:color="auto" w:fill="FFF7ED"/>
            <w:tcMar>
              <w:top w:w="80" w:type="dxa"/>
              <w:bottom w:w="80" w:type="dxa"/>
              <w:left w:w="120" w:type="dxa"/>
              <w:right w:w="120" w:type="dxa"/>
            </w:tcMar>
          </w:tcPr>
          <w:p>
            <w:pPr>
              <w:jc w:val="center"/>
            </w:pPr>
            <w:r>
              <w:rPr>
                <w:rFonts w:ascii="Times New Roman" w:hAnsi="Times New Roman"/>
                <w:color w:val="1F2937"/>
                <w:sz w:val="18"/>
              </w:rPr>
              <w:t>Reproducibility</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Python script, requirements, CSV, JSON metrics, predictions.</w:t>
            </w:r>
          </w:p>
        </w:tc>
        <w:tc>
          <w:tcPr>
            <w:tcW w:type="dxa" w:w="3888"/>
            <w:shd w:val="clear" w:color="auto" w:fill="FFF7ED"/>
            <w:tcMar>
              <w:top w:w="80" w:type="dxa"/>
              <w:bottom w:w="80" w:type="dxa"/>
              <w:left w:w="120" w:type="dxa"/>
              <w:right w:w="120" w:type="dxa"/>
            </w:tcMar>
          </w:tcPr>
          <w:p>
            <w:pPr>
              <w:jc w:val="left"/>
            </w:pPr>
            <w:r>
              <w:rPr>
                <w:rFonts w:ascii="Times New Roman" w:hAnsi="Times New Roman"/>
                <w:color w:val="1F2937"/>
                <w:sz w:val="18"/>
              </w:rPr>
              <w:t>Run instructions are in source_code/README.md.</w:t>
            </w:r>
          </w:p>
        </w:tc>
      </w:tr>
      <w:tr>
        <w:tc>
          <w:tcPr>
            <w:tcW w:type="dxa" w:w="1728"/>
            <w:shd w:val="clear" w:color="auto" w:fill="FFFFFF"/>
            <w:tcMar>
              <w:top w:w="80" w:type="dxa"/>
              <w:bottom w:w="80" w:type="dxa"/>
              <w:left w:w="120" w:type="dxa"/>
              <w:right w:w="120" w:type="dxa"/>
            </w:tcMar>
          </w:tcPr>
          <w:p>
            <w:pPr>
              <w:jc w:val="center"/>
            </w:pPr>
            <w:r>
              <w:rPr>
                <w:rFonts w:ascii="Times New Roman" w:hAnsi="Times New Roman"/>
                <w:color w:val="1F2937"/>
                <w:sz w:val="18"/>
              </w:rPr>
              <w:t>Excluded</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Live gateway, clinical data, production audit.</w:t>
            </w:r>
          </w:p>
        </w:tc>
        <w:tc>
          <w:tcPr>
            <w:tcW w:type="dxa" w:w="3888"/>
            <w:shd w:val="clear" w:color="auto" w:fill="FFFFFF"/>
            <w:tcMar>
              <w:top w:w="80" w:type="dxa"/>
              <w:bottom w:w="80" w:type="dxa"/>
              <w:left w:w="120" w:type="dxa"/>
              <w:right w:w="120" w:type="dxa"/>
            </w:tcMar>
          </w:tcPr>
          <w:p>
            <w:pPr>
              <w:jc w:val="left"/>
            </w:pPr>
            <w:r>
              <w:rPr>
                <w:rFonts w:ascii="Times New Roman" w:hAnsi="Times New Roman"/>
                <w:color w:val="1F2937"/>
                <w:sz w:val="18"/>
              </w:rPr>
              <w:t>Future validation work is required.</w:t>
            </w:r>
          </w:p>
        </w:tc>
      </w:tr>
    </w:tbl>
    <w:p>
      <w:pPr>
        <w:spacing w:after="120"/>
      </w:pPr>
    </w:p>
    <w:p>
      <w:pPr>
        <w:pStyle w:val="Heading1"/>
        <w:spacing w:before="240" w:after="80"/>
      </w:pPr>
      <w:r>
        <w:rPr>
          <w:rFonts w:ascii="Times New Roman" w:hAnsi="Times New Roman"/>
          <w:b/>
          <w:color w:val="B45309"/>
          <w:sz w:val="28"/>
        </w:rPr>
        <w:t>15. Evaluation Metrics</w:t>
      </w:r>
    </w:p>
    <w:p>
      <w:pPr>
        <w:spacing w:after="80" w:line="276" w:lineRule="auto"/>
      </w:pPr>
      <w:r>
        <w:rPr>
          <w:rFonts w:ascii="Times New Roman" w:hAnsi="Times New Roman"/>
          <w:sz w:val="21"/>
        </w:rPr>
        <w:t>Equations (4)–(9) define the classification and control-coverage measures used in this report:</w:t>
      </w:r>
    </w:p>
    <w:p>
      <w:pPr>
        <w:jc w:val="center"/>
      </w:pPr>
      <w:r>
        <w:rPr>
          <w:b/>
          <w:sz w:val="21"/>
        </w:rPr>
        <w:t>Precision = TP / (TP + FP)        (4)</w:t>
      </w:r>
    </w:p>
    <w:p>
      <w:pPr>
        <w:jc w:val="center"/>
      </w:pPr>
      <w:r>
        <w:rPr>
          <w:b/>
          <w:sz w:val="21"/>
        </w:rPr>
        <w:t>Recall = TP / (TP + FN)        (5)</w:t>
      </w:r>
    </w:p>
    <w:p>
      <w:pPr>
        <w:jc w:val="center"/>
      </w:pPr>
      <w:r>
        <w:rPr>
          <w:b/>
          <w:sz w:val="21"/>
        </w:rPr>
        <w:t>F1 = 2 · (Precision · Recall) / (Precision + Recall)        (6)</w:t>
      </w:r>
    </w:p>
    <w:p>
      <w:pPr>
        <w:jc w:val="center"/>
      </w:pPr>
      <w:r>
        <w:rPr>
          <w:b/>
          <w:sz w:val="21"/>
        </w:rPr>
        <w:t>Accuracy = (TP + TN) / (TP + TN + FP + FN)        (7)</w:t>
      </w:r>
    </w:p>
    <w:p>
      <w:pPr>
        <w:jc w:val="center"/>
      </w:pPr>
      <w:r>
        <w:rPr>
          <w:b/>
          <w:sz w:val="21"/>
        </w:rPr>
        <w:t>Coverage (%) = 100 · (N_v / N_e)        (8)</w:t>
      </w:r>
    </w:p>
    <w:p>
      <w:pPr>
        <w:jc w:val="center"/>
      </w:pPr>
      <w:r>
        <w:rPr>
          <w:b/>
          <w:sz w:val="21"/>
        </w:rPr>
        <w:t>ROI (%) = 100 · (Benefits - Costs) / Costs        (9)</w:t>
      </w:r>
    </w:p>
    <w:p>
      <w:pPr>
        <w:spacing w:before="160" w:after="40"/>
        <w:jc w:val="center"/>
      </w:pPr>
      <w:r>
        <w:drawing>
          <wp:inline xmlns:a="http://schemas.openxmlformats.org/drawingml/2006/main" xmlns:pic="http://schemas.openxmlformats.org/drawingml/2006/picture">
            <wp:extent cx="5303520" cy="2953859"/>
            <wp:docPr id="22" name="Picture 22"/>
            <wp:cNvGraphicFramePr>
              <a:graphicFrameLocks noChangeAspect="1"/>
            </wp:cNvGraphicFramePr>
            <a:graphic>
              <a:graphicData uri="http://schemas.openxmlformats.org/drawingml/2006/picture">
                <pic:pic>
                  <pic:nvPicPr>
                    <pic:cNvPr id="0" name="Fig 22 Evaluation Framework.png"/>
                    <pic:cNvPicPr/>
                  </pic:nvPicPr>
                  <pic:blipFill>
                    <a:blip r:embed="rId30"/>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22. Evaluation Framework</w:t>
      </w:r>
    </w:p>
    <w:tbl>
      <w:tblPr>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C25418"/>
            <w:tcMar>
              <w:top w:w="120" w:type="dxa"/>
              <w:bottom w:w="120" w:type="dxa"/>
              <w:left w:w="150" w:type="dxa"/>
              <w:right w:w="150" w:type="dxa"/>
            </w:tcMar>
          </w:tcPr>
          <w:p>
            <w:pPr>
              <w:jc w:val="center"/>
            </w:pPr>
            <w:r>
              <w:rPr>
                <w:rFonts w:ascii="Times New Roman" w:hAnsi="Times New Roman"/>
                <w:b/>
                <w:color w:val="FFFFFF"/>
                <w:sz w:val="19"/>
              </w:rPr>
              <w:t>Metric</w:t>
            </w:r>
          </w:p>
        </w:tc>
        <w:tc>
          <w:tcPr>
            <w:tcW w:type="dxa" w:w="3744"/>
            <w:shd w:val="clear" w:color="auto" w:fill="C25418"/>
            <w:tcMar>
              <w:top w:w="120" w:type="dxa"/>
              <w:bottom w:w="120" w:type="dxa"/>
              <w:left w:w="150" w:type="dxa"/>
              <w:right w:w="150" w:type="dxa"/>
            </w:tcMar>
          </w:tcPr>
          <w:p>
            <w:pPr>
              <w:jc w:val="center"/>
            </w:pPr>
            <w:r>
              <w:rPr>
                <w:rFonts w:ascii="Times New Roman" w:hAnsi="Times New Roman"/>
                <w:b/>
                <w:color w:val="FFFFFF"/>
                <w:sz w:val="19"/>
              </w:rPr>
              <w:t>Definition / purpose</w:t>
            </w:r>
          </w:p>
        </w:tc>
        <w:tc>
          <w:tcPr>
            <w:tcW w:type="dxa" w:w="3456"/>
            <w:shd w:val="clear" w:color="auto" w:fill="C25418"/>
            <w:tcMar>
              <w:top w:w="120" w:type="dxa"/>
              <w:bottom w:w="120" w:type="dxa"/>
              <w:left w:w="150" w:type="dxa"/>
              <w:right w:w="150" w:type="dxa"/>
            </w:tcMar>
          </w:tcPr>
          <w:p>
            <w:pPr>
              <w:jc w:val="center"/>
            </w:pPr>
            <w:r>
              <w:rPr>
                <w:rFonts w:ascii="Times New Roman" w:hAnsi="Times New Roman"/>
                <w:b/>
                <w:color w:val="FFFFFF"/>
                <w:sz w:val="19"/>
              </w:rPr>
              <w:t>Caution</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Accuracy</w:t>
            </w:r>
          </w:p>
        </w:tc>
        <w:tc>
          <w:tcPr>
            <w:tcW w:type="dxa" w:w="3744"/>
            <w:shd w:val="clear" w:color="auto" w:fill="FFFFFF"/>
            <w:tcMar>
              <w:top w:w="80" w:type="dxa"/>
              <w:bottom w:w="80" w:type="dxa"/>
              <w:left w:w="120" w:type="dxa"/>
              <w:right w:w="120" w:type="dxa"/>
            </w:tcMar>
          </w:tcPr>
          <w:p>
            <w:pPr>
              <w:jc w:val="left"/>
            </w:pPr>
            <w:r>
              <w:rPr>
                <w:rFonts w:ascii="Times New Roman" w:hAnsi="Times New Roman"/>
                <w:color w:val="1F2937"/>
                <w:sz w:val="18"/>
              </w:rPr>
              <w:t>Correct classifications divided by all evaluated examples.</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Can hide poor performance on a minority class.</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Precision</w:t>
            </w:r>
          </w:p>
        </w:tc>
        <w:tc>
          <w:tcPr>
            <w:tcW w:type="dxa" w:w="3744"/>
            <w:shd w:val="clear" w:color="auto" w:fill="FFF7ED"/>
            <w:tcMar>
              <w:top w:w="80" w:type="dxa"/>
              <w:bottom w:w="80" w:type="dxa"/>
              <w:left w:w="120" w:type="dxa"/>
              <w:right w:w="120" w:type="dxa"/>
            </w:tcMar>
          </w:tcPr>
          <w:p>
            <w:pPr>
              <w:jc w:val="left"/>
            </w:pPr>
            <w:r>
              <w:rPr>
                <w:rFonts w:ascii="Times New Roman" w:hAnsi="Times New Roman"/>
                <w:color w:val="1F2937"/>
                <w:sz w:val="18"/>
              </w:rPr>
              <w:t>True positives divided by all predicted positives.</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Low precision means more false alerts.</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Recall</w:t>
            </w:r>
          </w:p>
        </w:tc>
        <w:tc>
          <w:tcPr>
            <w:tcW w:type="dxa" w:w="3744"/>
            <w:shd w:val="clear" w:color="auto" w:fill="FFFFFF"/>
            <w:tcMar>
              <w:top w:w="80" w:type="dxa"/>
              <w:bottom w:w="80" w:type="dxa"/>
              <w:left w:w="120" w:type="dxa"/>
              <w:right w:w="120" w:type="dxa"/>
            </w:tcMar>
          </w:tcPr>
          <w:p>
            <w:pPr>
              <w:jc w:val="left"/>
            </w:pPr>
            <w:r>
              <w:rPr>
                <w:rFonts w:ascii="Times New Roman" w:hAnsi="Times New Roman"/>
                <w:color w:val="1F2937"/>
                <w:sz w:val="18"/>
              </w:rPr>
              <w:t>True positives divided by all actual positives.</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Low recall means more missed synthetic positives.</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F1</w:t>
            </w:r>
          </w:p>
        </w:tc>
        <w:tc>
          <w:tcPr>
            <w:tcW w:type="dxa" w:w="3744"/>
            <w:shd w:val="clear" w:color="auto" w:fill="FFF7ED"/>
            <w:tcMar>
              <w:top w:w="80" w:type="dxa"/>
              <w:bottom w:w="80" w:type="dxa"/>
              <w:left w:w="120" w:type="dxa"/>
              <w:right w:w="120" w:type="dxa"/>
            </w:tcMar>
          </w:tcPr>
          <w:p>
            <w:pPr>
              <w:jc w:val="left"/>
            </w:pPr>
            <w:r>
              <w:rPr>
                <w:rFonts w:ascii="Times New Roman" w:hAnsi="Times New Roman"/>
                <w:color w:val="1F2937"/>
                <w:sz w:val="18"/>
              </w:rPr>
              <w:t>Harmonic mean of precision and recall.</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Does not encode the consequence of every error.</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ROC-AUC</w:t>
            </w:r>
          </w:p>
        </w:tc>
        <w:tc>
          <w:tcPr>
            <w:tcW w:type="dxa" w:w="3744"/>
            <w:shd w:val="clear" w:color="auto" w:fill="FFFFFF"/>
            <w:tcMar>
              <w:top w:w="80" w:type="dxa"/>
              <w:bottom w:w="80" w:type="dxa"/>
              <w:left w:w="120" w:type="dxa"/>
              <w:right w:w="120" w:type="dxa"/>
            </w:tcMar>
          </w:tcPr>
          <w:p>
            <w:pPr>
              <w:jc w:val="left"/>
            </w:pPr>
            <w:r>
              <w:rPr>
                <w:rFonts w:ascii="Times New Roman" w:hAnsi="Times New Roman"/>
                <w:color w:val="1F2937"/>
                <w:sz w:val="18"/>
              </w:rPr>
              <w:t>Ranking performance over thresholds.</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Depends on target labels and sampling design.</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Control coverage</w:t>
            </w:r>
          </w:p>
        </w:tc>
        <w:tc>
          <w:tcPr>
            <w:tcW w:type="dxa" w:w="3744"/>
            <w:shd w:val="clear" w:color="auto" w:fill="FFF7ED"/>
            <w:tcMar>
              <w:top w:w="80" w:type="dxa"/>
              <w:bottom w:w="80" w:type="dxa"/>
              <w:left w:w="120" w:type="dxa"/>
              <w:right w:w="120" w:type="dxa"/>
            </w:tcMar>
          </w:tcPr>
          <w:p>
            <w:pPr>
              <w:jc w:val="left"/>
            </w:pPr>
            <w:r>
              <w:rPr>
                <w:rFonts w:ascii="Times New Roman" w:hAnsi="Times New Roman"/>
                <w:color w:val="1F2937"/>
                <w:sz w:val="18"/>
              </w:rPr>
              <w:t>Share of synthetic records with a control flag.</w:t>
            </w:r>
          </w:p>
        </w:tc>
        <w:tc>
          <w:tcPr>
            <w:tcW w:type="dxa" w:w="3456"/>
            <w:shd w:val="clear" w:color="auto" w:fill="FFF7ED"/>
            <w:tcMar>
              <w:top w:w="80" w:type="dxa"/>
              <w:bottom w:w="80" w:type="dxa"/>
              <w:left w:w="120" w:type="dxa"/>
              <w:right w:w="120" w:type="dxa"/>
            </w:tcMar>
          </w:tcPr>
          <w:p>
            <w:pPr>
              <w:jc w:val="left"/>
            </w:pPr>
            <w:r>
              <w:rPr>
                <w:rFonts w:ascii="Times New Roman" w:hAnsi="Times New Roman"/>
                <w:color w:val="1F2937"/>
                <w:sz w:val="18"/>
              </w:rPr>
              <w:t>Proxy only; does not prove effective operation.</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Operational latency</w:t>
            </w:r>
          </w:p>
        </w:tc>
        <w:tc>
          <w:tcPr>
            <w:tcW w:type="dxa" w:w="3744"/>
            <w:shd w:val="clear" w:color="auto" w:fill="FFFFFF"/>
            <w:tcMar>
              <w:top w:w="80" w:type="dxa"/>
              <w:bottom w:w="80" w:type="dxa"/>
              <w:left w:w="120" w:type="dxa"/>
              <w:right w:w="120" w:type="dxa"/>
            </w:tcMar>
          </w:tcPr>
          <w:p>
            <w:pPr>
              <w:jc w:val="left"/>
            </w:pPr>
            <w:r>
              <w:rPr>
                <w:rFonts w:ascii="Times New Roman" w:hAnsi="Times New Roman"/>
                <w:color w:val="1F2937"/>
                <w:sz w:val="18"/>
              </w:rPr>
              <w:t>Time from event to actionable decision.</w:t>
            </w:r>
          </w:p>
        </w:tc>
        <w:tc>
          <w:tcPr>
            <w:tcW w:type="dxa" w:w="3456"/>
            <w:shd w:val="clear" w:color="auto" w:fill="FFFFFF"/>
            <w:tcMar>
              <w:top w:w="80" w:type="dxa"/>
              <w:bottom w:w="80" w:type="dxa"/>
              <w:left w:w="120" w:type="dxa"/>
              <w:right w:w="120" w:type="dxa"/>
            </w:tcMar>
          </w:tcPr>
          <w:p>
            <w:pPr>
              <w:jc w:val="left"/>
            </w:pPr>
            <w:r>
              <w:rPr>
                <w:rFonts w:ascii="Times New Roman" w:hAnsi="Times New Roman"/>
                <w:color w:val="1F2937"/>
                <w:sz w:val="18"/>
              </w:rPr>
              <w:t>Not measured in this dataset-only experiment.</w:t>
            </w:r>
          </w:p>
        </w:tc>
      </w:tr>
    </w:tbl>
    <w:p>
      <w:pPr>
        <w:spacing w:after="120"/>
      </w:pPr>
    </w:p>
    <w:p>
      <w:pPr>
        <w:pStyle w:val="Heading1"/>
        <w:spacing w:before="240" w:after="80"/>
      </w:pPr>
      <w:r>
        <w:rPr>
          <w:rFonts w:ascii="Times New Roman" w:hAnsi="Times New Roman"/>
          <w:b/>
          <w:color w:val="B45309"/>
          <w:sz w:val="28"/>
        </w:rPr>
        <w:t>16. Results and Findings</w:t>
      </w:r>
    </w:p>
    <w:p>
      <w:pPr>
        <w:spacing w:after="80" w:line="276" w:lineRule="auto"/>
      </w:pPr>
      <w:r>
        <w:rPr>
          <w:rFonts w:ascii="Times New Roman" w:hAnsi="Times New Roman"/>
          <w:sz w:val="21"/>
        </w:rPr>
        <w:t>On the synthetic held-out test split of 1,500 events, the checklist baseline achieves 66.40% accuracy, 71.37% precision, 29.02% recall, and an F1 score of 0.413. The Random Forest classifier achieves 68.73% accuracy, 61.58% precision, 61.48% recall, and an F1 score of 0.615 with an ROC-AUC of 0.742. The hybrid rules-plus-AI detector achieves 64.27% accuracy, 54.13% precision, 79.51% recall, and F1 of 0.644 [1].</w:t>
      </w:r>
    </w:p>
    <w:p>
      <w:pPr>
        <w:spacing w:before="160" w:after="40"/>
        <w:jc w:val="center"/>
      </w:pPr>
      <w:r>
        <w:drawing>
          <wp:inline xmlns:a="http://schemas.openxmlformats.org/drawingml/2006/main" xmlns:pic="http://schemas.openxmlformats.org/drawingml/2006/picture">
            <wp:extent cx="5303520" cy="3409406"/>
            <wp:docPr id="23" name="Picture 23"/>
            <wp:cNvGraphicFramePr>
              <a:graphicFrameLocks noChangeAspect="1"/>
            </wp:cNvGraphicFramePr>
            <a:graphic>
              <a:graphicData uri="http://schemas.openxmlformats.org/drawingml/2006/picture">
                <pic:pic>
                  <pic:nvPicPr>
                    <pic:cNvPr id="0" name="Fig 23 Compliance Accuracy Performance Analysis (synthetic benchmark).png"/>
                    <pic:cNvPicPr/>
                  </pic:nvPicPr>
                  <pic:blipFill>
                    <a:blip r:embed="rId31"/>
                    <a:stretch>
                      <a:fillRect/>
                    </a:stretch>
                  </pic:blipFill>
                  <pic:spPr>
                    <a:xfrm>
                      <a:off x="0" y="0"/>
                      <a:ext cx="5303520" cy="3409406"/>
                    </a:xfrm>
                    <a:prstGeom prst="rect"/>
                  </pic:spPr>
                </pic:pic>
              </a:graphicData>
            </a:graphic>
          </wp:inline>
        </w:drawing>
      </w:r>
    </w:p>
    <w:p>
      <w:pPr>
        <w:spacing w:after="200"/>
        <w:jc w:val="center"/>
      </w:pPr>
      <w:r>
        <w:rPr>
          <w:rFonts w:ascii="Times New Roman" w:hAnsi="Times New Roman"/>
          <w:i/>
          <w:color w:val="4B5563"/>
          <w:sz w:val="18"/>
        </w:rPr>
        <w:t>Fig. 23. Compliance Accuracy Performance Analysis (synthetic benchmark)</w:t>
      </w:r>
    </w:p>
    <w:p>
      <w:pPr>
        <w:spacing w:before="160" w:after="40"/>
        <w:jc w:val="center"/>
      </w:pPr>
      <w:r>
        <w:drawing>
          <wp:inline xmlns:a="http://schemas.openxmlformats.org/drawingml/2006/main" xmlns:pic="http://schemas.openxmlformats.org/drawingml/2006/picture">
            <wp:extent cx="5303520" cy="3426890"/>
            <wp:docPr id="24" name="Picture 24"/>
            <wp:cNvGraphicFramePr>
              <a:graphicFrameLocks noChangeAspect="1"/>
            </wp:cNvGraphicFramePr>
            <a:graphic>
              <a:graphicData uri="http://schemas.openxmlformats.org/drawingml/2006/picture">
                <pic:pic>
                  <pic:nvPicPr>
                    <pic:cNvPr id="0" name="Fig 24 Privacy-Preservation Control Indicators (synthetic proxy measures only).png"/>
                    <pic:cNvPicPr/>
                  </pic:nvPicPr>
                  <pic:blipFill>
                    <a:blip r:embed="rId32"/>
                    <a:stretch>
                      <a:fillRect/>
                    </a:stretch>
                  </pic:blipFill>
                  <pic:spPr>
                    <a:xfrm>
                      <a:off x="0" y="0"/>
                      <a:ext cx="5303520" cy="3426890"/>
                    </a:xfrm>
                    <a:prstGeom prst="rect"/>
                  </pic:spPr>
                </pic:pic>
              </a:graphicData>
            </a:graphic>
          </wp:inline>
        </w:drawing>
      </w:r>
    </w:p>
    <w:p>
      <w:pPr>
        <w:spacing w:after="200"/>
        <w:jc w:val="center"/>
      </w:pPr>
      <w:r>
        <w:rPr>
          <w:rFonts w:ascii="Times New Roman" w:hAnsi="Times New Roman"/>
          <w:i/>
          <w:color w:val="4B5563"/>
          <w:sz w:val="18"/>
        </w:rPr>
        <w:t>Fig. 24. Privacy-Preservation Control Indicators (synthetic proxy measures only)</w:t>
      </w:r>
    </w:p>
    <w:p>
      <w:pPr>
        <w:spacing w:before="160" w:after="40"/>
        <w:jc w:val="center"/>
      </w:pPr>
      <w:r>
        <w:drawing>
          <wp:inline xmlns:a="http://schemas.openxmlformats.org/drawingml/2006/main" xmlns:pic="http://schemas.openxmlformats.org/drawingml/2006/picture">
            <wp:extent cx="5303520" cy="3100519"/>
            <wp:docPr id="25" name="Picture 25"/>
            <wp:cNvGraphicFramePr>
              <a:graphicFrameLocks noChangeAspect="1"/>
            </wp:cNvGraphicFramePr>
            <a:graphic>
              <a:graphicData uri="http://schemas.openxmlformats.org/drawingml/2006/picture">
                <pic:pic>
                  <pic:nvPicPr>
                    <pic:cNvPr id="0" name="Fig 25 Governance Maturity and Compliance Assessment (conceptual rubric).png"/>
                    <pic:cNvPicPr/>
                  </pic:nvPicPr>
                  <pic:blipFill>
                    <a:blip r:embed="rId33"/>
                    <a:stretch>
                      <a:fillRect/>
                    </a:stretch>
                  </pic:blipFill>
                  <pic:spPr>
                    <a:xfrm>
                      <a:off x="0" y="0"/>
                      <a:ext cx="5303520" cy="3100519"/>
                    </a:xfrm>
                    <a:prstGeom prst="rect"/>
                  </pic:spPr>
                </pic:pic>
              </a:graphicData>
            </a:graphic>
          </wp:inline>
        </w:drawing>
      </w:r>
    </w:p>
    <w:p>
      <w:pPr>
        <w:spacing w:after="200"/>
        <w:jc w:val="center"/>
      </w:pPr>
      <w:r>
        <w:rPr>
          <w:rFonts w:ascii="Times New Roman" w:hAnsi="Times New Roman"/>
          <w:i/>
          <w:color w:val="4B5563"/>
          <w:sz w:val="18"/>
        </w:rPr>
        <w:t>Fig. 25. Governance Maturity and Compliance Assessment (conceptual rubric)</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Method</w:t>
            </w:r>
          </w:p>
        </w:tc>
        <w:tc>
          <w:tcPr>
            <w:tcW w:type="dxa" w:w="1296"/>
            <w:shd w:val="clear" w:color="auto" w:fill="C25418"/>
            <w:tcMar>
              <w:top w:w="120" w:type="dxa"/>
              <w:bottom w:w="120" w:type="dxa"/>
              <w:left w:w="150" w:type="dxa"/>
              <w:right w:w="150" w:type="dxa"/>
            </w:tcMar>
          </w:tcPr>
          <w:p>
            <w:pPr>
              <w:jc w:val="center"/>
            </w:pPr>
            <w:r>
              <w:rPr>
                <w:rFonts w:ascii="Times New Roman" w:hAnsi="Times New Roman"/>
                <w:b/>
                <w:color w:val="FFFFFF"/>
                <w:sz w:val="19"/>
              </w:rPr>
              <w:t>Accuracy</w:t>
            </w:r>
          </w:p>
        </w:tc>
        <w:tc>
          <w:tcPr>
            <w:tcW w:type="dxa" w:w="1296"/>
            <w:shd w:val="clear" w:color="auto" w:fill="C25418"/>
            <w:tcMar>
              <w:top w:w="120" w:type="dxa"/>
              <w:bottom w:w="120" w:type="dxa"/>
              <w:left w:w="150" w:type="dxa"/>
              <w:right w:w="150" w:type="dxa"/>
            </w:tcMar>
          </w:tcPr>
          <w:p>
            <w:pPr>
              <w:jc w:val="center"/>
            </w:pPr>
            <w:r>
              <w:rPr>
                <w:rFonts w:ascii="Times New Roman" w:hAnsi="Times New Roman"/>
                <w:b/>
                <w:color w:val="FFFFFF"/>
                <w:sz w:val="19"/>
              </w:rPr>
              <w:t>Precision</w:t>
            </w:r>
          </w:p>
        </w:tc>
        <w:tc>
          <w:tcPr>
            <w:tcW w:type="dxa" w:w="1296"/>
            <w:shd w:val="clear" w:color="auto" w:fill="C25418"/>
            <w:tcMar>
              <w:top w:w="120" w:type="dxa"/>
              <w:bottom w:w="120" w:type="dxa"/>
              <w:left w:w="150" w:type="dxa"/>
              <w:right w:w="150" w:type="dxa"/>
            </w:tcMar>
          </w:tcPr>
          <w:p>
            <w:pPr>
              <w:jc w:val="center"/>
            </w:pPr>
            <w:r>
              <w:rPr>
                <w:rFonts w:ascii="Times New Roman" w:hAnsi="Times New Roman"/>
                <w:b/>
                <w:color w:val="FFFFFF"/>
                <w:sz w:val="19"/>
              </w:rPr>
              <w:t>Recall</w:t>
            </w:r>
          </w:p>
        </w:tc>
        <w:tc>
          <w:tcPr>
            <w:tcW w:type="dxa" w:w="1296"/>
            <w:shd w:val="clear" w:color="auto" w:fill="C25418"/>
            <w:tcMar>
              <w:top w:w="120" w:type="dxa"/>
              <w:bottom w:w="120" w:type="dxa"/>
              <w:left w:w="150" w:type="dxa"/>
              <w:right w:w="150" w:type="dxa"/>
            </w:tcMar>
          </w:tcPr>
          <w:p>
            <w:pPr>
              <w:jc w:val="center"/>
            </w:pPr>
            <w:r>
              <w:rPr>
                <w:rFonts w:ascii="Times New Roman" w:hAnsi="Times New Roman"/>
                <w:b/>
                <w:color w:val="FFFFFF"/>
                <w:sz w:val="19"/>
              </w:rPr>
              <w:t>F1</w:t>
            </w:r>
          </w:p>
        </w:tc>
        <w:tc>
          <w:tcPr>
            <w:tcW w:type="dxa" w:w="1440"/>
            <w:shd w:val="clear" w:color="auto" w:fill="C25418"/>
            <w:tcMar>
              <w:top w:w="120" w:type="dxa"/>
              <w:bottom w:w="120" w:type="dxa"/>
              <w:left w:w="150" w:type="dxa"/>
              <w:right w:w="150" w:type="dxa"/>
            </w:tcMar>
          </w:tcPr>
          <w:p>
            <w:pPr>
              <w:jc w:val="center"/>
            </w:pPr>
            <w:r>
              <w:rPr>
                <w:rFonts w:ascii="Times New Roman" w:hAnsi="Times New Roman"/>
                <w:b/>
                <w:color w:val="FFFFFF"/>
                <w:sz w:val="19"/>
              </w:rPr>
              <w:t>ROC-AUC</w:t>
            </w:r>
          </w:p>
        </w:tc>
      </w:tr>
      <w:tr>
        <w:tc>
          <w:tcPr>
            <w:tcW w:type="dxa" w:w="2592"/>
            <w:shd w:val="clear" w:color="auto" w:fill="FFFFFF"/>
            <w:tcMar>
              <w:top w:w="80" w:type="dxa"/>
              <w:bottom w:w="80" w:type="dxa"/>
              <w:left w:w="120" w:type="dxa"/>
              <w:right w:w="120" w:type="dxa"/>
            </w:tcMar>
          </w:tcPr>
          <w:p>
            <w:pPr>
              <w:jc w:val="center"/>
            </w:pPr>
            <w:r>
              <w:rPr>
                <w:rFonts w:ascii="Times New Roman" w:hAnsi="Times New Roman"/>
                <w:color w:val="1F2937"/>
                <w:sz w:val="18"/>
              </w:rPr>
              <w:t>Checklist baseline</w:t>
            </w:r>
          </w:p>
        </w:tc>
        <w:tc>
          <w:tcPr>
            <w:tcW w:type="dxa" w:w="1296"/>
            <w:shd w:val="clear" w:color="auto" w:fill="FFFFFF"/>
            <w:tcMar>
              <w:top w:w="80" w:type="dxa"/>
              <w:bottom w:w="80" w:type="dxa"/>
              <w:left w:w="120" w:type="dxa"/>
              <w:right w:w="120" w:type="dxa"/>
            </w:tcMar>
          </w:tcPr>
          <w:p>
            <w:pPr>
              <w:jc w:val="left"/>
            </w:pPr>
            <w:r>
              <w:rPr>
                <w:rFonts w:ascii="Times New Roman" w:hAnsi="Times New Roman"/>
                <w:color w:val="1F2937"/>
                <w:sz w:val="18"/>
              </w:rPr>
              <w:t>0.6640</w:t>
            </w:r>
          </w:p>
        </w:tc>
        <w:tc>
          <w:tcPr>
            <w:tcW w:type="dxa" w:w="1296"/>
            <w:shd w:val="clear" w:color="auto" w:fill="FFFFFF"/>
            <w:tcMar>
              <w:top w:w="80" w:type="dxa"/>
              <w:bottom w:w="80" w:type="dxa"/>
              <w:left w:w="120" w:type="dxa"/>
              <w:right w:w="120" w:type="dxa"/>
            </w:tcMar>
          </w:tcPr>
          <w:p>
            <w:pPr>
              <w:jc w:val="left"/>
            </w:pPr>
            <w:r>
              <w:rPr>
                <w:rFonts w:ascii="Times New Roman" w:hAnsi="Times New Roman"/>
                <w:color w:val="1F2937"/>
                <w:sz w:val="18"/>
              </w:rPr>
              <w:t>0.7137</w:t>
            </w:r>
          </w:p>
        </w:tc>
        <w:tc>
          <w:tcPr>
            <w:tcW w:type="dxa" w:w="1296"/>
            <w:shd w:val="clear" w:color="auto" w:fill="FFFFFF"/>
            <w:tcMar>
              <w:top w:w="80" w:type="dxa"/>
              <w:bottom w:w="80" w:type="dxa"/>
              <w:left w:w="120" w:type="dxa"/>
              <w:right w:w="120" w:type="dxa"/>
            </w:tcMar>
          </w:tcPr>
          <w:p>
            <w:pPr>
              <w:jc w:val="left"/>
            </w:pPr>
            <w:r>
              <w:rPr>
                <w:rFonts w:ascii="Times New Roman" w:hAnsi="Times New Roman"/>
                <w:color w:val="1F2937"/>
                <w:sz w:val="18"/>
              </w:rPr>
              <w:t>0.2902</w:t>
            </w:r>
          </w:p>
        </w:tc>
        <w:tc>
          <w:tcPr>
            <w:tcW w:type="dxa" w:w="1296"/>
            <w:shd w:val="clear" w:color="auto" w:fill="FFFFFF"/>
            <w:tcMar>
              <w:top w:w="80" w:type="dxa"/>
              <w:bottom w:w="80" w:type="dxa"/>
              <w:left w:w="120" w:type="dxa"/>
              <w:right w:w="120" w:type="dxa"/>
            </w:tcMar>
          </w:tcPr>
          <w:p>
            <w:pPr>
              <w:jc w:val="left"/>
            </w:pPr>
            <w:r>
              <w:rPr>
                <w:rFonts w:ascii="Times New Roman" w:hAnsi="Times New Roman"/>
                <w:color w:val="1F2937"/>
                <w:sz w:val="18"/>
              </w:rPr>
              <w:t>0.4126</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Not calculated</w:t>
            </w:r>
          </w:p>
        </w:tc>
      </w:tr>
      <w:tr>
        <w:tc>
          <w:tcPr>
            <w:tcW w:type="dxa" w:w="2592"/>
            <w:shd w:val="clear" w:color="auto" w:fill="FFF7ED"/>
            <w:tcMar>
              <w:top w:w="80" w:type="dxa"/>
              <w:bottom w:w="80" w:type="dxa"/>
              <w:left w:w="120" w:type="dxa"/>
              <w:right w:w="120" w:type="dxa"/>
            </w:tcMar>
          </w:tcPr>
          <w:p>
            <w:pPr>
              <w:jc w:val="center"/>
            </w:pPr>
            <w:r>
              <w:rPr>
                <w:rFonts w:ascii="Times New Roman" w:hAnsi="Times New Roman"/>
                <w:color w:val="1F2937"/>
                <w:sz w:val="18"/>
              </w:rPr>
              <w:t>Random Forest</w:t>
            </w:r>
          </w:p>
        </w:tc>
        <w:tc>
          <w:tcPr>
            <w:tcW w:type="dxa" w:w="1296"/>
            <w:shd w:val="clear" w:color="auto" w:fill="FFF7ED"/>
            <w:tcMar>
              <w:top w:w="80" w:type="dxa"/>
              <w:bottom w:w="80" w:type="dxa"/>
              <w:left w:w="120" w:type="dxa"/>
              <w:right w:w="120" w:type="dxa"/>
            </w:tcMar>
          </w:tcPr>
          <w:p>
            <w:pPr>
              <w:jc w:val="left"/>
            </w:pPr>
            <w:r>
              <w:rPr>
                <w:rFonts w:ascii="Times New Roman" w:hAnsi="Times New Roman"/>
                <w:color w:val="1F2937"/>
                <w:sz w:val="18"/>
              </w:rPr>
              <w:t>0.6873</w:t>
            </w:r>
          </w:p>
        </w:tc>
        <w:tc>
          <w:tcPr>
            <w:tcW w:type="dxa" w:w="1296"/>
            <w:shd w:val="clear" w:color="auto" w:fill="FFF7ED"/>
            <w:tcMar>
              <w:top w:w="80" w:type="dxa"/>
              <w:bottom w:w="80" w:type="dxa"/>
              <w:left w:w="120" w:type="dxa"/>
              <w:right w:w="120" w:type="dxa"/>
            </w:tcMar>
          </w:tcPr>
          <w:p>
            <w:pPr>
              <w:jc w:val="left"/>
            </w:pPr>
            <w:r>
              <w:rPr>
                <w:rFonts w:ascii="Times New Roman" w:hAnsi="Times New Roman"/>
                <w:color w:val="1F2937"/>
                <w:sz w:val="18"/>
              </w:rPr>
              <w:t>0.6158</w:t>
            </w:r>
          </w:p>
        </w:tc>
        <w:tc>
          <w:tcPr>
            <w:tcW w:type="dxa" w:w="1296"/>
            <w:shd w:val="clear" w:color="auto" w:fill="FFF7ED"/>
            <w:tcMar>
              <w:top w:w="80" w:type="dxa"/>
              <w:bottom w:w="80" w:type="dxa"/>
              <w:left w:w="120" w:type="dxa"/>
              <w:right w:w="120" w:type="dxa"/>
            </w:tcMar>
          </w:tcPr>
          <w:p>
            <w:pPr>
              <w:jc w:val="left"/>
            </w:pPr>
            <w:r>
              <w:rPr>
                <w:rFonts w:ascii="Times New Roman" w:hAnsi="Times New Roman"/>
                <w:color w:val="1F2937"/>
                <w:sz w:val="18"/>
              </w:rPr>
              <w:t>0.6148</w:t>
            </w:r>
          </w:p>
        </w:tc>
        <w:tc>
          <w:tcPr>
            <w:tcW w:type="dxa" w:w="1296"/>
            <w:shd w:val="clear" w:color="auto" w:fill="FFF7ED"/>
            <w:tcMar>
              <w:top w:w="80" w:type="dxa"/>
              <w:bottom w:w="80" w:type="dxa"/>
              <w:left w:w="120" w:type="dxa"/>
              <w:right w:w="120" w:type="dxa"/>
            </w:tcMar>
          </w:tcPr>
          <w:p>
            <w:pPr>
              <w:jc w:val="left"/>
            </w:pPr>
            <w:r>
              <w:rPr>
                <w:rFonts w:ascii="Times New Roman" w:hAnsi="Times New Roman"/>
                <w:color w:val="1F2937"/>
                <w:sz w:val="18"/>
              </w:rPr>
              <w:t>0.6153</w:t>
            </w:r>
          </w:p>
        </w:tc>
        <w:tc>
          <w:tcPr>
            <w:tcW w:type="dxa" w:w="1440"/>
            <w:shd w:val="clear" w:color="auto" w:fill="FFF7ED"/>
            <w:tcMar>
              <w:top w:w="80" w:type="dxa"/>
              <w:bottom w:w="80" w:type="dxa"/>
              <w:left w:w="120" w:type="dxa"/>
              <w:right w:w="120" w:type="dxa"/>
            </w:tcMar>
          </w:tcPr>
          <w:p>
            <w:pPr>
              <w:jc w:val="left"/>
            </w:pPr>
            <w:r>
              <w:rPr>
                <w:rFonts w:ascii="Times New Roman" w:hAnsi="Times New Roman"/>
                <w:color w:val="1F2937"/>
                <w:sz w:val="18"/>
              </w:rPr>
              <w:t>0.7423</w:t>
            </w:r>
          </w:p>
        </w:tc>
      </w:tr>
      <w:tr>
        <w:tc>
          <w:tcPr>
            <w:tcW w:type="dxa" w:w="2592"/>
            <w:shd w:val="clear" w:color="auto" w:fill="FFFFFF"/>
            <w:tcMar>
              <w:top w:w="80" w:type="dxa"/>
              <w:bottom w:w="80" w:type="dxa"/>
              <w:left w:w="120" w:type="dxa"/>
              <w:right w:w="120" w:type="dxa"/>
            </w:tcMar>
          </w:tcPr>
          <w:p>
            <w:pPr>
              <w:jc w:val="center"/>
            </w:pPr>
            <w:r>
              <w:rPr>
                <w:rFonts w:ascii="Times New Roman" w:hAnsi="Times New Roman"/>
                <w:color w:val="1F2937"/>
                <w:sz w:val="18"/>
              </w:rPr>
              <w:t>Hybrid rules + AI</w:t>
            </w:r>
          </w:p>
        </w:tc>
        <w:tc>
          <w:tcPr>
            <w:tcW w:type="dxa" w:w="1296"/>
            <w:shd w:val="clear" w:color="auto" w:fill="FFFFFF"/>
            <w:tcMar>
              <w:top w:w="80" w:type="dxa"/>
              <w:bottom w:w="80" w:type="dxa"/>
              <w:left w:w="120" w:type="dxa"/>
              <w:right w:w="120" w:type="dxa"/>
            </w:tcMar>
          </w:tcPr>
          <w:p>
            <w:pPr>
              <w:jc w:val="left"/>
            </w:pPr>
            <w:r>
              <w:rPr>
                <w:rFonts w:ascii="Times New Roman" w:hAnsi="Times New Roman"/>
                <w:color w:val="1F2937"/>
                <w:sz w:val="18"/>
              </w:rPr>
              <w:t>0.6427</w:t>
            </w:r>
          </w:p>
        </w:tc>
        <w:tc>
          <w:tcPr>
            <w:tcW w:type="dxa" w:w="1296"/>
            <w:shd w:val="clear" w:color="auto" w:fill="FFFFFF"/>
            <w:tcMar>
              <w:top w:w="80" w:type="dxa"/>
              <w:bottom w:w="80" w:type="dxa"/>
              <w:left w:w="120" w:type="dxa"/>
              <w:right w:w="120" w:type="dxa"/>
            </w:tcMar>
          </w:tcPr>
          <w:p>
            <w:pPr>
              <w:jc w:val="left"/>
            </w:pPr>
            <w:r>
              <w:rPr>
                <w:rFonts w:ascii="Times New Roman" w:hAnsi="Times New Roman"/>
                <w:color w:val="1F2937"/>
                <w:sz w:val="18"/>
              </w:rPr>
              <w:t>0.5413</w:t>
            </w:r>
          </w:p>
        </w:tc>
        <w:tc>
          <w:tcPr>
            <w:tcW w:type="dxa" w:w="1296"/>
            <w:shd w:val="clear" w:color="auto" w:fill="FFFFFF"/>
            <w:tcMar>
              <w:top w:w="80" w:type="dxa"/>
              <w:bottom w:w="80" w:type="dxa"/>
              <w:left w:w="120" w:type="dxa"/>
              <w:right w:w="120" w:type="dxa"/>
            </w:tcMar>
          </w:tcPr>
          <w:p>
            <w:pPr>
              <w:jc w:val="left"/>
            </w:pPr>
            <w:r>
              <w:rPr>
                <w:rFonts w:ascii="Times New Roman" w:hAnsi="Times New Roman"/>
                <w:color w:val="1F2937"/>
                <w:sz w:val="18"/>
              </w:rPr>
              <w:t>0.7951</w:t>
            </w:r>
          </w:p>
        </w:tc>
        <w:tc>
          <w:tcPr>
            <w:tcW w:type="dxa" w:w="1296"/>
            <w:shd w:val="clear" w:color="auto" w:fill="FFFFFF"/>
            <w:tcMar>
              <w:top w:w="80" w:type="dxa"/>
              <w:bottom w:w="80" w:type="dxa"/>
              <w:left w:w="120" w:type="dxa"/>
              <w:right w:w="120" w:type="dxa"/>
            </w:tcMar>
          </w:tcPr>
          <w:p>
            <w:pPr>
              <w:jc w:val="left"/>
            </w:pPr>
            <w:r>
              <w:rPr>
                <w:rFonts w:ascii="Times New Roman" w:hAnsi="Times New Roman"/>
                <w:color w:val="1F2937"/>
                <w:sz w:val="18"/>
              </w:rPr>
              <w:t>0.6441</w:t>
            </w:r>
          </w:p>
        </w:tc>
        <w:tc>
          <w:tcPr>
            <w:tcW w:type="dxa" w:w="1440"/>
            <w:shd w:val="clear" w:color="auto" w:fill="FFFFFF"/>
            <w:tcMar>
              <w:top w:w="80" w:type="dxa"/>
              <w:bottom w:w="80" w:type="dxa"/>
              <w:left w:w="120" w:type="dxa"/>
              <w:right w:w="120" w:type="dxa"/>
            </w:tcMar>
          </w:tcPr>
          <w:p>
            <w:pPr>
              <w:jc w:val="left"/>
            </w:pPr>
            <w:r>
              <w:rPr>
                <w:rFonts w:ascii="Times New Roman" w:hAnsi="Times New Roman"/>
                <w:color w:val="1F2937"/>
                <w:sz w:val="18"/>
              </w:rPr>
              <w:t>0.7405</w:t>
            </w:r>
          </w:p>
        </w:tc>
      </w:tr>
    </w:tbl>
    <w:p>
      <w:pPr>
        <w:spacing w:after="120"/>
      </w:pPr>
    </w:p>
    <w:p>
      <w:pPr>
        <w:pStyle w:val="Heading1"/>
        <w:spacing w:before="240" w:after="80"/>
      </w:pPr>
      <w:r>
        <w:rPr>
          <w:rFonts w:ascii="Times New Roman" w:hAnsi="Times New Roman"/>
          <w:b/>
          <w:color w:val="B45309"/>
          <w:sz w:val="28"/>
        </w:rPr>
        <w:t>17. Comparative Analysis</w:t>
      </w:r>
    </w:p>
    <w:p>
      <w:pPr>
        <w:spacing w:after="80" w:line="276" w:lineRule="auto"/>
      </w:pPr>
      <w:r>
        <w:rPr>
          <w:rFonts w:ascii="Times New Roman" w:hAnsi="Times New Roman"/>
          <w:sz w:val="21"/>
        </w:rPr>
        <w:t>The checklist, stand-alone classifier, and hybrid design serve different operational roles [1]. A deterministic checklist is simple to explain and can enforce rules that are clearly defined in policy [2]. Its weakness is coverage: a small set of hand-authored conditions misses combinations not anticipated by its authors [3]. The Random Forest learns feature interactions, while the hybrid combines explicit hard rules with a broader detection signal, prioritizing recall.</w:t>
      </w:r>
    </w:p>
    <w:p>
      <w:pPr>
        <w:spacing w:before="160" w:after="40"/>
        <w:jc w:val="center"/>
      </w:pPr>
      <w:r>
        <w:drawing>
          <wp:inline xmlns:a="http://schemas.openxmlformats.org/drawingml/2006/main" xmlns:pic="http://schemas.openxmlformats.org/drawingml/2006/picture">
            <wp:extent cx="5303520" cy="5303520"/>
            <wp:docPr id="26" name="Picture 26"/>
            <wp:cNvGraphicFramePr>
              <a:graphicFrameLocks noChangeAspect="1"/>
            </wp:cNvGraphicFramePr>
            <a:graphic>
              <a:graphicData uri="http://schemas.openxmlformats.org/drawingml/2006/picture">
                <pic:pic>
                  <pic:nvPicPr>
                    <pic:cNvPr id="0" name="Fig 26 Comparative Benchmark Analysis (synthetic benchmark).png"/>
                    <pic:cNvPicPr/>
                  </pic:nvPicPr>
                  <pic:blipFill>
                    <a:blip r:embed="rId34"/>
                    <a:stretch>
                      <a:fillRect/>
                    </a:stretch>
                  </pic:blipFill>
                  <pic:spPr>
                    <a:xfrm>
                      <a:off x="0" y="0"/>
                      <a:ext cx="5303520" cy="5303520"/>
                    </a:xfrm>
                    <a:prstGeom prst="rect"/>
                  </pic:spPr>
                </pic:pic>
              </a:graphicData>
            </a:graphic>
          </wp:inline>
        </w:drawing>
      </w:r>
    </w:p>
    <w:p>
      <w:pPr>
        <w:spacing w:after="200"/>
        <w:jc w:val="center"/>
      </w:pPr>
      <w:r>
        <w:rPr>
          <w:rFonts w:ascii="Times New Roman" w:hAnsi="Times New Roman"/>
          <w:i/>
          <w:color w:val="4B5563"/>
          <w:sz w:val="18"/>
        </w:rPr>
        <w:t>Fig. 26. Comparative Benchmark Analysis (synthetic benchmark)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C25418"/>
            <w:tcMar>
              <w:top w:w="120" w:type="dxa"/>
              <w:bottom w:w="120" w:type="dxa"/>
              <w:left w:w="150" w:type="dxa"/>
              <w:right w:w="150" w:type="dxa"/>
            </w:tcMar>
          </w:tcPr>
          <w:p>
            <w:pPr>
              <w:jc w:val="center"/>
            </w:pPr>
            <w:r>
              <w:rPr>
                <w:rFonts w:ascii="Times New Roman" w:hAnsi="Times New Roman"/>
                <w:b/>
                <w:color w:val="FFFFFF"/>
                <w:sz w:val="19"/>
              </w:rPr>
              <w:t>Comparison</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Best result in this run</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Trade-off</w:t>
            </w:r>
          </w:p>
        </w:tc>
        <w:tc>
          <w:tcPr>
            <w:tcW w:type="dxa" w:w="2304"/>
            <w:shd w:val="clear" w:color="auto" w:fill="C25418"/>
            <w:tcMar>
              <w:top w:w="120" w:type="dxa"/>
              <w:bottom w:w="120" w:type="dxa"/>
              <w:left w:w="150" w:type="dxa"/>
              <w:right w:w="150" w:type="dxa"/>
            </w:tcMar>
          </w:tcPr>
          <w:p>
            <w:pPr>
              <w:jc w:val="center"/>
            </w:pPr>
            <w:r>
              <w:rPr>
                <w:rFonts w:ascii="Times New Roman" w:hAnsi="Times New Roman"/>
                <w:b/>
                <w:color w:val="FFFFFF"/>
                <w:sz w:val="19"/>
              </w:rPr>
              <w:t>Use implication</w:t>
            </w:r>
          </w:p>
        </w:tc>
      </w:tr>
      <w:tr>
        <w:tc>
          <w:tcPr>
            <w:tcW w:type="dxa" w:w="1728"/>
            <w:shd w:val="clear" w:color="auto" w:fill="FFFFFF"/>
            <w:tcMar>
              <w:top w:w="80" w:type="dxa"/>
              <w:bottom w:w="80" w:type="dxa"/>
              <w:left w:w="120" w:type="dxa"/>
              <w:right w:w="120" w:type="dxa"/>
            </w:tcMar>
          </w:tcPr>
          <w:p>
            <w:pPr>
              <w:jc w:val="center"/>
            </w:pPr>
            <w:r>
              <w:rPr>
                <w:rFonts w:ascii="Times New Roman" w:hAnsi="Times New Roman"/>
                <w:color w:val="1F2937"/>
                <w:sz w:val="18"/>
              </w:rPr>
              <w:t>Accuracy</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Random Forest: 68.73%</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Lowest error rate overall among the three.</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Could be preferable when balanced errors matter.</w:t>
            </w:r>
          </w:p>
        </w:tc>
      </w:tr>
      <w:tr>
        <w:tc>
          <w:tcPr>
            <w:tcW w:type="dxa" w:w="1728"/>
            <w:shd w:val="clear" w:color="auto" w:fill="FFF7ED"/>
            <w:tcMar>
              <w:top w:w="80" w:type="dxa"/>
              <w:bottom w:w="80" w:type="dxa"/>
              <w:left w:w="120" w:type="dxa"/>
              <w:right w:w="120" w:type="dxa"/>
            </w:tcMar>
          </w:tcPr>
          <w:p>
            <w:pPr>
              <w:jc w:val="center"/>
            </w:pPr>
            <w:r>
              <w:rPr>
                <w:rFonts w:ascii="Times New Roman" w:hAnsi="Times New Roman"/>
                <w:color w:val="1F2937"/>
                <w:sz w:val="18"/>
              </w:rPr>
              <w:t>Precision</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Checklist: 71.37%</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Lower recall: 29.02%.</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Fewer false alerts but misses more positives.</w:t>
            </w:r>
          </w:p>
        </w:tc>
      </w:tr>
      <w:tr>
        <w:tc>
          <w:tcPr>
            <w:tcW w:type="dxa" w:w="1728"/>
            <w:shd w:val="clear" w:color="auto" w:fill="FFFFFF"/>
            <w:tcMar>
              <w:top w:w="80" w:type="dxa"/>
              <w:bottom w:w="80" w:type="dxa"/>
              <w:left w:w="120" w:type="dxa"/>
              <w:right w:w="120" w:type="dxa"/>
            </w:tcMar>
          </w:tcPr>
          <w:p>
            <w:pPr>
              <w:jc w:val="center"/>
            </w:pPr>
            <w:r>
              <w:rPr>
                <w:rFonts w:ascii="Times New Roman" w:hAnsi="Times New Roman"/>
                <w:color w:val="1F2937"/>
                <w:sz w:val="18"/>
              </w:rPr>
              <w:t>Recall</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Hybrid: 79.51%</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Precision 54.13%; accuracy 64.27%.</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May be useful for triage when missed alerts are costly.</w:t>
            </w:r>
          </w:p>
        </w:tc>
      </w:tr>
      <w:tr>
        <w:tc>
          <w:tcPr>
            <w:tcW w:type="dxa" w:w="1728"/>
            <w:shd w:val="clear" w:color="auto" w:fill="FFF7ED"/>
            <w:tcMar>
              <w:top w:w="80" w:type="dxa"/>
              <w:bottom w:w="80" w:type="dxa"/>
              <w:left w:w="120" w:type="dxa"/>
              <w:right w:w="120" w:type="dxa"/>
            </w:tcMar>
          </w:tcPr>
          <w:p>
            <w:pPr>
              <w:jc w:val="center"/>
            </w:pPr>
            <w:r>
              <w:rPr>
                <w:rFonts w:ascii="Times New Roman" w:hAnsi="Times New Roman"/>
                <w:color w:val="1F2937"/>
                <w:sz w:val="18"/>
              </w:rPr>
              <w:t>F1</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Hybrid: 0.644</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Synthetic label design drives score.</w:t>
            </w:r>
          </w:p>
        </w:tc>
        <w:tc>
          <w:tcPr>
            <w:tcW w:type="dxa" w:w="2304"/>
            <w:shd w:val="clear" w:color="auto" w:fill="FFF7ED"/>
            <w:tcMar>
              <w:top w:w="80" w:type="dxa"/>
              <w:bottom w:w="80" w:type="dxa"/>
              <w:left w:w="120" w:type="dxa"/>
              <w:right w:w="120" w:type="dxa"/>
            </w:tcMar>
          </w:tcPr>
          <w:p>
            <w:pPr>
              <w:jc w:val="left"/>
            </w:pPr>
            <w:r>
              <w:rPr>
                <w:rFonts w:ascii="Times New Roman" w:hAnsi="Times New Roman"/>
                <w:color w:val="1F2937"/>
                <w:sz w:val="18"/>
              </w:rPr>
              <w:t>A prioritization view, not proof of compliance.</w:t>
            </w:r>
          </w:p>
        </w:tc>
      </w:tr>
      <w:tr>
        <w:tc>
          <w:tcPr>
            <w:tcW w:type="dxa" w:w="1728"/>
            <w:shd w:val="clear" w:color="auto" w:fill="FFFFFF"/>
            <w:tcMar>
              <w:top w:w="80" w:type="dxa"/>
              <w:bottom w:w="80" w:type="dxa"/>
              <w:left w:w="120" w:type="dxa"/>
              <w:right w:w="120" w:type="dxa"/>
            </w:tcMar>
          </w:tcPr>
          <w:p>
            <w:pPr>
              <w:jc w:val="center"/>
            </w:pPr>
            <w:r>
              <w:rPr>
                <w:rFonts w:ascii="Times New Roman" w:hAnsi="Times New Roman"/>
                <w:color w:val="1F2937"/>
                <w:sz w:val="18"/>
              </w:rPr>
              <w:t>ROC-AUC</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Random Forest: 0.742; hybrid: 0.740</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Scores close under synthetic setup.</w:t>
            </w:r>
          </w:p>
        </w:tc>
        <w:tc>
          <w:tcPr>
            <w:tcW w:type="dxa" w:w="2304"/>
            <w:shd w:val="clear" w:color="auto" w:fill="FFFFFF"/>
            <w:tcMar>
              <w:top w:w="80" w:type="dxa"/>
              <w:bottom w:w="80" w:type="dxa"/>
              <w:left w:w="120" w:type="dxa"/>
              <w:right w:w="120" w:type="dxa"/>
            </w:tcMar>
          </w:tcPr>
          <w:p>
            <w:pPr>
              <w:jc w:val="left"/>
            </w:pPr>
            <w:r>
              <w:rPr>
                <w:rFonts w:ascii="Times New Roman" w:hAnsi="Times New Roman"/>
                <w:color w:val="1F2937"/>
                <w:sz w:val="18"/>
              </w:rPr>
              <w:t>No claim about production generalization.</w:t>
            </w:r>
          </w:p>
        </w:tc>
      </w:tr>
    </w:tbl>
    <w:p>
      <w:pPr>
        <w:spacing w:after="120"/>
      </w:pPr>
    </w:p>
    <w:p>
      <w:pPr>
        <w:pStyle w:val="Heading1"/>
        <w:spacing w:before="240" w:after="80"/>
      </w:pPr>
      <w:r>
        <w:rPr>
          <w:rFonts w:ascii="Times New Roman" w:hAnsi="Times New Roman"/>
          <w:b/>
          <w:color w:val="B45309"/>
          <w:sz w:val="28"/>
        </w:rPr>
        <w:t>18. Trustworthiness, Accountability, and Governance Assessment</w:t>
      </w:r>
    </w:p>
    <w:p>
      <w:pPr>
        <w:spacing w:after="80" w:line="276" w:lineRule="auto"/>
      </w:pPr>
      <w:r>
        <w:rPr>
          <w:rFonts w:ascii="Times New Roman" w:hAnsi="Times New Roman"/>
          <w:sz w:val="21"/>
        </w:rPr>
        <w:t>Trustworthiness requires the system to be accurate enough for its intended use, robust to known attacks, secure, explainable, privacy-aware, and governed by accountable people [3]. Table 13 maps each dimension to concrete verification evidence.</w:t>
      </w:r>
    </w:p>
    <w:p>
      <w:pPr>
        <w:spacing w:before="160" w:after="40"/>
        <w:jc w:val="center"/>
      </w:pPr>
      <w:r>
        <w:drawing>
          <wp:inline xmlns:a="http://schemas.openxmlformats.org/drawingml/2006/main" xmlns:pic="http://schemas.openxmlformats.org/drawingml/2006/picture">
            <wp:extent cx="5303520" cy="2977731"/>
            <wp:docPr id="27" name="Picture 27"/>
            <wp:cNvGraphicFramePr>
              <a:graphicFrameLocks noChangeAspect="1"/>
            </wp:cNvGraphicFramePr>
            <a:graphic>
              <a:graphicData uri="http://schemas.openxmlformats.org/drawingml/2006/picture">
                <pic:pic>
                  <pic:nvPicPr>
                    <pic:cNvPr id="0" name="Fig 27 Governance Maturity Framework.png"/>
                    <pic:cNvPicPr/>
                  </pic:nvPicPr>
                  <pic:blipFill>
                    <a:blip r:embed="rId35"/>
                    <a:stretch>
                      <a:fillRect/>
                    </a:stretch>
                  </pic:blipFill>
                  <pic:spPr>
                    <a:xfrm>
                      <a:off x="0" y="0"/>
                      <a:ext cx="5303520" cy="2977731"/>
                    </a:xfrm>
                    <a:prstGeom prst="rect"/>
                  </pic:spPr>
                </pic:pic>
              </a:graphicData>
            </a:graphic>
          </wp:inline>
        </w:drawing>
      </w:r>
    </w:p>
    <w:p>
      <w:pPr>
        <w:spacing w:after="200"/>
        <w:jc w:val="center"/>
      </w:pPr>
      <w:r>
        <w:rPr>
          <w:rFonts w:ascii="Times New Roman" w:hAnsi="Times New Roman"/>
          <w:i/>
          <w:color w:val="4B5563"/>
          <w:sz w:val="18"/>
        </w:rPr>
        <w:t>Fig. 27. Governance Maturity Framework</w:t>
      </w:r>
    </w:p>
    <w:tbl>
      <w:tblPr>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C25418"/>
            <w:tcMar>
              <w:top w:w="120" w:type="dxa"/>
              <w:bottom w:w="120" w:type="dxa"/>
              <w:left w:w="150" w:type="dxa"/>
              <w:right w:w="150" w:type="dxa"/>
            </w:tcMar>
          </w:tcPr>
          <w:p>
            <w:pPr>
              <w:jc w:val="center"/>
            </w:pPr>
            <w:r>
              <w:rPr>
                <w:rFonts w:ascii="Times New Roman" w:hAnsi="Times New Roman"/>
                <w:b/>
                <w:color w:val="FFFFFF"/>
                <w:sz w:val="19"/>
              </w:rPr>
              <w:t>Dimension</w:t>
            </w:r>
          </w:p>
        </w:tc>
        <w:tc>
          <w:tcPr>
            <w:tcW w:type="dxa" w:w="3600"/>
            <w:shd w:val="clear" w:color="auto" w:fill="C25418"/>
            <w:tcMar>
              <w:top w:w="120" w:type="dxa"/>
              <w:bottom w:w="120" w:type="dxa"/>
              <w:left w:w="150" w:type="dxa"/>
              <w:right w:w="150" w:type="dxa"/>
            </w:tcMar>
          </w:tcPr>
          <w:p>
            <w:pPr>
              <w:jc w:val="center"/>
            </w:pPr>
            <w:r>
              <w:rPr>
                <w:rFonts w:ascii="Times New Roman" w:hAnsi="Times New Roman"/>
                <w:b/>
                <w:color w:val="FFFFFF"/>
                <w:sz w:val="19"/>
              </w:rPr>
              <w:t>Question to assess</w:t>
            </w:r>
          </w:p>
        </w:tc>
        <w:tc>
          <w:tcPr>
            <w:tcW w:type="dxa" w:w="3600"/>
            <w:shd w:val="clear" w:color="auto" w:fill="C25418"/>
            <w:tcMar>
              <w:top w:w="120" w:type="dxa"/>
              <w:bottom w:w="120" w:type="dxa"/>
              <w:left w:w="150" w:type="dxa"/>
              <w:right w:w="150" w:type="dxa"/>
            </w:tcMar>
          </w:tcPr>
          <w:p>
            <w:pPr>
              <w:jc w:val="center"/>
            </w:pPr>
            <w:r>
              <w:rPr>
                <w:rFonts w:ascii="Times New Roman" w:hAnsi="Times New Roman"/>
                <w:b/>
                <w:color w:val="FFFFFF"/>
                <w:sz w:val="19"/>
              </w:rPr>
              <w:t>Evidence required before deployment</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Fairness</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Do error rates differ by device, sector, or population?</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Subgroup metrics and a justified remediation plan.</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Transparency</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Can reviewers understand what the system did?</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Accessible reasons and traceable model/policy version.</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Accountability</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Who approves rules and handles appeals?</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Named owner, override record, escalation route.</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Privacy</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Does the system collect and reveal only what is needed?</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Data-flow review, minimization test, disclosure analysis.</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Robustness</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Does performance hold under missing fields or attacks?</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Adversarial, drift, and fault-injection testing.</w:t>
            </w:r>
          </w:p>
        </w:tc>
      </w:tr>
      <w:tr>
        <w:tc>
          <w:tcPr>
            <w:tcW w:type="dxa" w:w="2016"/>
            <w:shd w:val="clear" w:color="auto" w:fill="FFF7ED"/>
            <w:tcMar>
              <w:top w:w="80" w:type="dxa"/>
              <w:bottom w:w="80" w:type="dxa"/>
              <w:left w:w="120" w:type="dxa"/>
              <w:right w:w="120" w:type="dxa"/>
            </w:tcMar>
          </w:tcPr>
          <w:p>
            <w:pPr>
              <w:jc w:val="center"/>
            </w:pPr>
            <w:r>
              <w:rPr>
                <w:rFonts w:ascii="Times New Roman" w:hAnsi="Times New Roman"/>
                <w:color w:val="1F2937"/>
                <w:sz w:val="18"/>
              </w:rPr>
              <w:t>Safety &amp; proportionality</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Could blocking or delay harm essential services?</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Risk analysis, fallback modes, incident procedures.</w:t>
            </w:r>
          </w:p>
        </w:tc>
      </w:tr>
      <w:tr>
        <w:tc>
          <w:tcPr>
            <w:tcW w:type="dxa" w:w="2016"/>
            <w:shd w:val="clear" w:color="auto" w:fill="FFFFFF"/>
            <w:tcMar>
              <w:top w:w="80" w:type="dxa"/>
              <w:bottom w:w="80" w:type="dxa"/>
              <w:left w:w="120" w:type="dxa"/>
              <w:right w:w="120" w:type="dxa"/>
            </w:tcMar>
          </w:tcPr>
          <w:p>
            <w:pPr>
              <w:jc w:val="center"/>
            </w:pPr>
            <w:r>
              <w:rPr>
                <w:rFonts w:ascii="Times New Roman" w:hAnsi="Times New Roman"/>
                <w:color w:val="1F2937"/>
                <w:sz w:val="18"/>
              </w:rPr>
              <w:t>Governance maturity</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Are policies, roles, reviews and evidence repeatable?</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Documented cycle, periodic review, audit sampling.</w:t>
            </w:r>
          </w:p>
        </w:tc>
      </w:tr>
    </w:tbl>
    <w:p>
      <w:pPr>
        <w:spacing w:after="120"/>
      </w:pPr>
    </w:p>
    <w:p>
      <w:pPr>
        <w:pStyle w:val="Heading1"/>
        <w:spacing w:before="240" w:after="80"/>
      </w:pPr>
      <w:r>
        <w:rPr>
          <w:rFonts w:ascii="Times New Roman" w:hAnsi="Times New Roman"/>
          <w:b/>
          <w:color w:val="B45309"/>
          <w:sz w:val="28"/>
        </w:rPr>
        <w:t>19. Industry Use Cases and Case Study Evaluation</w:t>
      </w:r>
    </w:p>
    <w:p>
      <w:pPr>
        <w:spacing w:after="80" w:line="276" w:lineRule="auto"/>
      </w:pPr>
      <w:r>
        <w:rPr>
          <w:rFonts w:ascii="Times New Roman" w:hAnsi="Times New Roman"/>
          <w:sz w:val="21"/>
        </w:rPr>
        <w:t>Table 14 details domain-specific governance profiles across six major IoT sectors:</w:t>
      </w:r>
    </w:p>
    <w:p>
      <w:pPr>
        <w:spacing w:before="160" w:after="40"/>
        <w:jc w:val="center"/>
      </w:pPr>
      <w:r>
        <w:drawing>
          <wp:inline xmlns:a="http://schemas.openxmlformats.org/drawingml/2006/main" xmlns:pic="http://schemas.openxmlformats.org/drawingml/2006/picture">
            <wp:extent cx="5303520" cy="2953859"/>
            <wp:docPr id="28" name="Picture 28"/>
            <wp:cNvGraphicFramePr>
              <a:graphicFrameLocks noChangeAspect="1"/>
            </wp:cNvGraphicFramePr>
            <a:graphic>
              <a:graphicData uri="http://schemas.openxmlformats.org/drawingml/2006/picture">
                <pic:pic>
                  <pic:nvPicPr>
                    <pic:cNvPr id="0" name="Fig 28 Smart City Compliance Ecosystem.png"/>
                    <pic:cNvPicPr/>
                  </pic:nvPicPr>
                  <pic:blipFill>
                    <a:blip r:embed="rId36"/>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28. Smart City Compliance Ecosystem</w:t>
      </w:r>
    </w:p>
    <w:p>
      <w:pPr>
        <w:spacing w:before="160" w:after="40"/>
        <w:jc w:val="center"/>
      </w:pPr>
      <w:r>
        <w:drawing>
          <wp:inline xmlns:a="http://schemas.openxmlformats.org/drawingml/2006/main" xmlns:pic="http://schemas.openxmlformats.org/drawingml/2006/picture">
            <wp:extent cx="5303520" cy="2953859"/>
            <wp:docPr id="29" name="Picture 29"/>
            <wp:cNvGraphicFramePr>
              <a:graphicFrameLocks noChangeAspect="1"/>
            </wp:cNvGraphicFramePr>
            <a:graphic>
              <a:graphicData uri="http://schemas.openxmlformats.org/drawingml/2006/picture">
                <pic:pic>
                  <pic:nvPicPr>
                    <pic:cNvPr id="0" name="Fig 29 Healthcare IoT Governance Framework.png"/>
                    <pic:cNvPicPr/>
                  </pic:nvPicPr>
                  <pic:blipFill>
                    <a:blip r:embed="rId37"/>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29. Healthcare IoT Governance Framework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C25418"/>
            <w:tcMar>
              <w:top w:w="120" w:type="dxa"/>
              <w:bottom w:w="120" w:type="dxa"/>
              <w:left w:w="150" w:type="dxa"/>
              <w:right w:w="150" w:type="dxa"/>
            </w:tcMar>
          </w:tcPr>
          <w:p>
            <w:pPr>
              <w:jc w:val="center"/>
            </w:pPr>
            <w:r>
              <w:rPr>
                <w:rFonts w:ascii="Times New Roman" w:hAnsi="Times New Roman"/>
                <w:b/>
                <w:color w:val="FFFFFF"/>
                <w:sz w:val="19"/>
              </w:rPr>
              <w:t>Sector</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Potential data / risk</w:t>
            </w:r>
          </w:p>
        </w:tc>
        <w:tc>
          <w:tcPr>
            <w:tcW w:type="dxa" w:w="2592"/>
            <w:shd w:val="clear" w:color="auto" w:fill="C25418"/>
            <w:tcMar>
              <w:top w:w="120" w:type="dxa"/>
              <w:bottom w:w="120" w:type="dxa"/>
              <w:left w:w="150" w:type="dxa"/>
              <w:right w:w="150" w:type="dxa"/>
            </w:tcMar>
          </w:tcPr>
          <w:p>
            <w:pPr>
              <w:jc w:val="center"/>
            </w:pPr>
            <w:r>
              <w:rPr>
                <w:rFonts w:ascii="Times New Roman" w:hAnsi="Times New Roman"/>
                <w:b/>
                <w:color w:val="FFFFFF"/>
                <w:sz w:val="19"/>
              </w:rPr>
              <w:t>Candidate AI-assisted control</w:t>
            </w:r>
          </w:p>
        </w:tc>
        <w:tc>
          <w:tcPr>
            <w:tcW w:type="dxa" w:w="2160"/>
            <w:shd w:val="clear" w:color="auto" w:fill="C25418"/>
            <w:tcMar>
              <w:top w:w="120" w:type="dxa"/>
              <w:bottom w:w="120" w:type="dxa"/>
              <w:left w:w="150" w:type="dxa"/>
              <w:right w:w="150" w:type="dxa"/>
            </w:tcMar>
          </w:tcPr>
          <w:p>
            <w:pPr>
              <w:jc w:val="center"/>
            </w:pPr>
            <w:r>
              <w:rPr>
                <w:rFonts w:ascii="Times New Roman" w:hAnsi="Times New Roman"/>
                <w:b/>
                <w:color w:val="FFFFFF"/>
                <w:sz w:val="19"/>
              </w:rPr>
              <w:t>Human governance point</w:t>
            </w:r>
          </w:p>
        </w:tc>
      </w:tr>
      <w:tr>
        <w:tc>
          <w:tcPr>
            <w:tcW w:type="dxa" w:w="1872"/>
            <w:shd w:val="clear" w:color="auto" w:fill="FFFFFF"/>
            <w:tcMar>
              <w:top w:w="80" w:type="dxa"/>
              <w:bottom w:w="80" w:type="dxa"/>
              <w:left w:w="120" w:type="dxa"/>
              <w:right w:w="120" w:type="dxa"/>
            </w:tcMar>
          </w:tcPr>
          <w:p>
            <w:pPr>
              <w:jc w:val="center"/>
            </w:pPr>
            <w:r>
              <w:rPr>
                <w:rFonts w:ascii="Times New Roman" w:hAnsi="Times New Roman"/>
                <w:color w:val="1F2937"/>
                <w:sz w:val="18"/>
              </w:rPr>
              <w:t>Healthcare IoT</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Vitals, device identifiers, access events.</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Local filtering, sensitivity classification, unusual access alert.</w:t>
            </w:r>
          </w:p>
        </w:tc>
        <w:tc>
          <w:tcPr>
            <w:tcW w:type="dxa" w:w="2160"/>
            <w:shd w:val="clear" w:color="auto" w:fill="FFFFFF"/>
            <w:tcMar>
              <w:top w:w="80" w:type="dxa"/>
              <w:bottom w:w="80" w:type="dxa"/>
              <w:left w:w="120" w:type="dxa"/>
              <w:right w:w="120" w:type="dxa"/>
            </w:tcMar>
          </w:tcPr>
          <w:p>
            <w:pPr>
              <w:jc w:val="left"/>
            </w:pPr>
            <w:r>
              <w:rPr>
                <w:rFonts w:ascii="Times New Roman" w:hAnsi="Times New Roman"/>
                <w:color w:val="1F2937"/>
                <w:sz w:val="18"/>
              </w:rPr>
              <w:t>Clinical safety and lawful processing review.</w:t>
            </w:r>
          </w:p>
        </w:tc>
      </w:tr>
      <w:tr>
        <w:tc>
          <w:tcPr>
            <w:tcW w:type="dxa" w:w="1872"/>
            <w:shd w:val="clear" w:color="auto" w:fill="FFF7ED"/>
            <w:tcMar>
              <w:top w:w="80" w:type="dxa"/>
              <w:bottom w:w="80" w:type="dxa"/>
              <w:left w:w="120" w:type="dxa"/>
              <w:right w:w="120" w:type="dxa"/>
            </w:tcMar>
          </w:tcPr>
          <w:p>
            <w:pPr>
              <w:jc w:val="center"/>
            </w:pPr>
            <w:r>
              <w:rPr>
                <w:rFonts w:ascii="Times New Roman" w:hAnsi="Times New Roman"/>
                <w:color w:val="1F2937"/>
                <w:sz w:val="18"/>
              </w:rPr>
              <w:t>Smart cities</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Mobility, cameras, environmental measurements.</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Purpose/retention checks; aggregate where possible.</w:t>
            </w:r>
          </w:p>
        </w:tc>
        <w:tc>
          <w:tcPr>
            <w:tcW w:type="dxa" w:w="2160"/>
            <w:shd w:val="clear" w:color="auto" w:fill="FFF7ED"/>
            <w:tcMar>
              <w:top w:w="80" w:type="dxa"/>
              <w:bottom w:w="80" w:type="dxa"/>
              <w:left w:w="120" w:type="dxa"/>
              <w:right w:w="120" w:type="dxa"/>
            </w:tcMar>
          </w:tcPr>
          <w:p>
            <w:pPr>
              <w:jc w:val="left"/>
            </w:pPr>
            <w:r>
              <w:rPr>
                <w:rFonts w:ascii="Times New Roman" w:hAnsi="Times New Roman"/>
                <w:color w:val="1F2937"/>
                <w:sz w:val="18"/>
              </w:rPr>
              <w:t>Public notice, proportionality, public accountability.</w:t>
            </w:r>
          </w:p>
        </w:tc>
      </w:tr>
      <w:tr>
        <w:tc>
          <w:tcPr>
            <w:tcW w:type="dxa" w:w="1872"/>
            <w:shd w:val="clear" w:color="auto" w:fill="FFFFFF"/>
            <w:tcMar>
              <w:top w:w="80" w:type="dxa"/>
              <w:bottom w:w="80" w:type="dxa"/>
              <w:left w:w="120" w:type="dxa"/>
              <w:right w:w="120" w:type="dxa"/>
            </w:tcMar>
          </w:tcPr>
          <w:p>
            <w:pPr>
              <w:jc w:val="center"/>
            </w:pPr>
            <w:r>
              <w:rPr>
                <w:rFonts w:ascii="Times New Roman" w:hAnsi="Times New Roman"/>
                <w:color w:val="1F2937"/>
                <w:sz w:val="18"/>
              </w:rPr>
              <w:t>Manufacturing</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Machine telemetry, worker-linked events.</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Edge inference, role-based access, export control.</w:t>
            </w:r>
          </w:p>
        </w:tc>
        <w:tc>
          <w:tcPr>
            <w:tcW w:type="dxa" w:w="2160"/>
            <w:shd w:val="clear" w:color="auto" w:fill="FFFFFF"/>
            <w:tcMar>
              <w:top w:w="80" w:type="dxa"/>
              <w:bottom w:w="80" w:type="dxa"/>
              <w:left w:w="120" w:type="dxa"/>
              <w:right w:w="120" w:type="dxa"/>
            </w:tcMar>
          </w:tcPr>
          <w:p>
            <w:pPr>
              <w:jc w:val="left"/>
            </w:pPr>
            <w:r>
              <w:rPr>
                <w:rFonts w:ascii="Times New Roman" w:hAnsi="Times New Roman"/>
                <w:color w:val="1F2937"/>
                <w:sz w:val="18"/>
              </w:rPr>
              <w:t>Safety, labour, and vendor contract review.</w:t>
            </w:r>
          </w:p>
        </w:tc>
      </w:tr>
      <w:tr>
        <w:tc>
          <w:tcPr>
            <w:tcW w:type="dxa" w:w="1872"/>
            <w:shd w:val="clear" w:color="auto" w:fill="FFF7ED"/>
            <w:tcMar>
              <w:top w:w="80" w:type="dxa"/>
              <w:bottom w:w="80" w:type="dxa"/>
              <w:left w:w="120" w:type="dxa"/>
              <w:right w:w="120" w:type="dxa"/>
            </w:tcMar>
          </w:tcPr>
          <w:p>
            <w:pPr>
              <w:jc w:val="center"/>
            </w:pPr>
            <w:r>
              <w:rPr>
                <w:rFonts w:ascii="Times New Roman" w:hAnsi="Times New Roman"/>
                <w:color w:val="1F2937"/>
                <w:sz w:val="18"/>
              </w:rPr>
              <w:t>Energy</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Smart meter records and control telemetry.</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Anomaly detection and privacy-preserving aggregation.</w:t>
            </w:r>
          </w:p>
        </w:tc>
        <w:tc>
          <w:tcPr>
            <w:tcW w:type="dxa" w:w="2160"/>
            <w:shd w:val="clear" w:color="auto" w:fill="FFF7ED"/>
            <w:tcMar>
              <w:top w:w="80" w:type="dxa"/>
              <w:bottom w:w="80" w:type="dxa"/>
              <w:left w:w="120" w:type="dxa"/>
              <w:right w:w="120" w:type="dxa"/>
            </w:tcMar>
          </w:tcPr>
          <w:p>
            <w:pPr>
              <w:jc w:val="left"/>
            </w:pPr>
            <w:r>
              <w:rPr>
                <w:rFonts w:ascii="Times New Roman" w:hAnsi="Times New Roman"/>
                <w:color w:val="1F2937"/>
                <w:sz w:val="18"/>
              </w:rPr>
              <w:t>Critical-infrastructure security review.</w:t>
            </w:r>
          </w:p>
        </w:tc>
      </w:tr>
      <w:tr>
        <w:tc>
          <w:tcPr>
            <w:tcW w:type="dxa" w:w="1872"/>
            <w:shd w:val="clear" w:color="auto" w:fill="FFFFFF"/>
            <w:tcMar>
              <w:top w:w="80" w:type="dxa"/>
              <w:bottom w:w="80" w:type="dxa"/>
              <w:left w:w="120" w:type="dxa"/>
              <w:right w:w="120" w:type="dxa"/>
            </w:tcMar>
          </w:tcPr>
          <w:p>
            <w:pPr>
              <w:jc w:val="center"/>
            </w:pPr>
            <w:r>
              <w:rPr>
                <w:rFonts w:ascii="Times New Roman" w:hAnsi="Times New Roman"/>
                <w:color w:val="1F2937"/>
                <w:sz w:val="18"/>
              </w:rPr>
              <w:t>Agriculture</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Soil, yield, location, farm operations.</w:t>
            </w:r>
          </w:p>
        </w:tc>
        <w:tc>
          <w:tcPr>
            <w:tcW w:type="dxa" w:w="2592"/>
            <w:shd w:val="clear" w:color="auto" w:fill="FFFFFF"/>
            <w:tcMar>
              <w:top w:w="80" w:type="dxa"/>
              <w:bottom w:w="80" w:type="dxa"/>
              <w:left w:w="120" w:type="dxa"/>
              <w:right w:w="120" w:type="dxa"/>
            </w:tcMar>
          </w:tcPr>
          <w:p>
            <w:pPr>
              <w:jc w:val="left"/>
            </w:pPr>
            <w:r>
              <w:rPr>
                <w:rFonts w:ascii="Times New Roman" w:hAnsi="Times New Roman"/>
                <w:color w:val="1F2937"/>
                <w:sz w:val="18"/>
              </w:rPr>
              <w:t>Local aggregation and sharing control.</w:t>
            </w:r>
          </w:p>
        </w:tc>
        <w:tc>
          <w:tcPr>
            <w:tcW w:type="dxa" w:w="2160"/>
            <w:shd w:val="clear" w:color="auto" w:fill="FFFFFF"/>
            <w:tcMar>
              <w:top w:w="80" w:type="dxa"/>
              <w:bottom w:w="80" w:type="dxa"/>
              <w:left w:w="120" w:type="dxa"/>
              <w:right w:w="120" w:type="dxa"/>
            </w:tcMar>
          </w:tcPr>
          <w:p>
            <w:pPr>
              <w:jc w:val="left"/>
            </w:pPr>
            <w:r>
              <w:rPr>
                <w:rFonts w:ascii="Times New Roman" w:hAnsi="Times New Roman"/>
                <w:color w:val="1F2937"/>
                <w:sz w:val="18"/>
              </w:rPr>
              <w:t>Ownership and commercial confidentiality review.</w:t>
            </w:r>
          </w:p>
        </w:tc>
      </w:tr>
      <w:tr>
        <w:tc>
          <w:tcPr>
            <w:tcW w:type="dxa" w:w="1872"/>
            <w:shd w:val="clear" w:color="auto" w:fill="FFF7ED"/>
            <w:tcMar>
              <w:top w:w="80" w:type="dxa"/>
              <w:bottom w:w="80" w:type="dxa"/>
              <w:left w:w="120" w:type="dxa"/>
              <w:right w:w="120" w:type="dxa"/>
            </w:tcMar>
          </w:tcPr>
          <w:p>
            <w:pPr>
              <w:jc w:val="center"/>
            </w:pPr>
            <w:r>
              <w:rPr>
                <w:rFonts w:ascii="Times New Roman" w:hAnsi="Times New Roman"/>
                <w:color w:val="1F2937"/>
                <w:sz w:val="18"/>
              </w:rPr>
              <w:t>Transport / logistics</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Vehicle location, routes, driver behaviour.</w:t>
            </w:r>
          </w:p>
        </w:tc>
        <w:tc>
          <w:tcPr>
            <w:tcW w:type="dxa" w:w="2592"/>
            <w:shd w:val="clear" w:color="auto" w:fill="FFF7ED"/>
            <w:tcMar>
              <w:top w:w="80" w:type="dxa"/>
              <w:bottom w:w="80" w:type="dxa"/>
              <w:left w:w="120" w:type="dxa"/>
              <w:right w:w="120" w:type="dxa"/>
            </w:tcMar>
          </w:tcPr>
          <w:p>
            <w:pPr>
              <w:jc w:val="left"/>
            </w:pPr>
            <w:r>
              <w:rPr>
                <w:rFonts w:ascii="Times New Roman" w:hAnsi="Times New Roman"/>
                <w:color w:val="1F2937"/>
                <w:sz w:val="18"/>
              </w:rPr>
              <w:t>Retention control and restricted location access.</w:t>
            </w:r>
          </w:p>
        </w:tc>
        <w:tc>
          <w:tcPr>
            <w:tcW w:type="dxa" w:w="2160"/>
            <w:shd w:val="clear" w:color="auto" w:fill="FFF7ED"/>
            <w:tcMar>
              <w:top w:w="80" w:type="dxa"/>
              <w:bottom w:w="80" w:type="dxa"/>
              <w:left w:w="120" w:type="dxa"/>
              <w:right w:w="120" w:type="dxa"/>
            </w:tcMar>
          </w:tcPr>
          <w:p>
            <w:pPr>
              <w:jc w:val="left"/>
            </w:pPr>
            <w:r>
              <w:rPr>
                <w:rFonts w:ascii="Times New Roman" w:hAnsi="Times New Roman"/>
                <w:color w:val="1F2937"/>
                <w:sz w:val="18"/>
              </w:rPr>
              <w:t>Worker impact, safety, and cross-border review.</w:t>
            </w:r>
          </w:p>
        </w:tc>
      </w:tr>
    </w:tbl>
    <w:p>
      <w:pPr>
        <w:spacing w:after="120"/>
      </w:pPr>
    </w:p>
    <w:p>
      <w:pPr>
        <w:pStyle w:val="Heading1"/>
        <w:spacing w:before="240" w:after="80"/>
      </w:pPr>
      <w:r>
        <w:rPr>
          <w:rFonts w:ascii="Times New Roman" w:hAnsi="Times New Roman"/>
          <w:b/>
          <w:color w:val="B45309"/>
          <w:sz w:val="28"/>
        </w:rPr>
        <w:t>20. Business Impact Assessment</w:t>
      </w:r>
    </w:p>
    <w:p>
      <w:pPr>
        <w:spacing w:after="80" w:line="276" w:lineRule="auto"/>
      </w:pPr>
      <w:r>
        <w:rPr>
          <w:rFonts w:ascii="Times New Roman" w:hAnsi="Times New Roman"/>
          <w:sz w:val="21"/>
        </w:rPr>
        <w:t>AI-assisted compliance may create business value by detecting candidate problems earlier, reducing repetitive checklist work, and improving policy consistency [2]. However, financial return must be measured through pilot studies rather than assumed. Table 15 provides a cost-benefit worksheet for planning future deployments.</w:t>
      </w:r>
    </w:p>
    <w:p>
      <w:pPr>
        <w:spacing w:before="160" w:after="40"/>
        <w:jc w:val="center"/>
      </w:pPr>
      <w:r>
        <w:drawing>
          <wp:inline xmlns:a="http://schemas.openxmlformats.org/drawingml/2006/main" xmlns:pic="http://schemas.openxmlformats.org/drawingml/2006/picture">
            <wp:extent cx="5303520" cy="3182112"/>
            <wp:docPr id="30" name="Picture 30"/>
            <wp:cNvGraphicFramePr>
              <a:graphicFrameLocks noChangeAspect="1"/>
            </wp:cNvGraphicFramePr>
            <a:graphic>
              <a:graphicData uri="http://schemas.openxmlformats.org/drawingml/2006/picture">
                <pic:pic>
                  <pic:nvPicPr>
                    <pic:cNvPr id="0" name="Fig 30 Control-Coverage Dashboard (synthetic indicators not a financial ROI result).png"/>
                    <pic:cNvPicPr/>
                  </pic:nvPicPr>
                  <pic:blipFill>
                    <a:blip r:embed="rId38"/>
                    <a:stretch>
                      <a:fillRect/>
                    </a:stretch>
                  </pic:blipFill>
                  <pic:spPr>
                    <a:xfrm>
                      <a:off x="0" y="0"/>
                      <a:ext cx="5303520" cy="3182112"/>
                    </a:xfrm>
                    <a:prstGeom prst="rect"/>
                  </pic:spPr>
                </pic:pic>
              </a:graphicData>
            </a:graphic>
          </wp:inline>
        </w:drawing>
      </w:r>
    </w:p>
    <w:p>
      <w:pPr>
        <w:spacing w:after="200"/>
        <w:jc w:val="center"/>
      </w:pPr>
      <w:r>
        <w:rPr>
          <w:rFonts w:ascii="Times New Roman" w:hAnsi="Times New Roman"/>
          <w:i/>
          <w:color w:val="4B5563"/>
          <w:sz w:val="18"/>
        </w:rPr>
        <w:t>Fig. 30. Control-Coverage Dashboard (synthetic indicators; not a financial ROI result)</w:t>
      </w:r>
    </w:p>
    <w:tbl>
      <w:tblPr>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C25418"/>
            <w:tcMar>
              <w:top w:w="120" w:type="dxa"/>
              <w:bottom w:w="120" w:type="dxa"/>
              <w:left w:w="150" w:type="dxa"/>
              <w:right w:w="150" w:type="dxa"/>
            </w:tcMar>
          </w:tcPr>
          <w:p>
            <w:pPr>
              <w:jc w:val="center"/>
            </w:pPr>
            <w:r>
              <w:rPr>
                <w:rFonts w:ascii="Times New Roman" w:hAnsi="Times New Roman"/>
                <w:b/>
                <w:color w:val="FFFFFF"/>
                <w:sz w:val="19"/>
              </w:rPr>
              <w:t>Item</w:t>
            </w:r>
          </w:p>
        </w:tc>
        <w:tc>
          <w:tcPr>
            <w:tcW w:type="dxa" w:w="3600"/>
            <w:shd w:val="clear" w:color="auto" w:fill="C25418"/>
            <w:tcMar>
              <w:top w:w="120" w:type="dxa"/>
              <w:bottom w:w="120" w:type="dxa"/>
              <w:left w:w="150" w:type="dxa"/>
              <w:right w:w="150" w:type="dxa"/>
            </w:tcMar>
          </w:tcPr>
          <w:p>
            <w:pPr>
              <w:jc w:val="center"/>
            </w:pPr>
            <w:r>
              <w:rPr>
                <w:rFonts w:ascii="Times New Roman" w:hAnsi="Times New Roman"/>
                <w:b/>
                <w:color w:val="FFFFFF"/>
                <w:sz w:val="19"/>
              </w:rPr>
              <w:t>How to measure it</w:t>
            </w:r>
          </w:p>
        </w:tc>
        <w:tc>
          <w:tcPr>
            <w:tcW w:type="dxa" w:w="3312"/>
            <w:shd w:val="clear" w:color="auto" w:fill="C25418"/>
            <w:tcMar>
              <w:top w:w="120" w:type="dxa"/>
              <w:bottom w:w="120" w:type="dxa"/>
              <w:left w:w="150" w:type="dxa"/>
              <w:right w:w="150" w:type="dxa"/>
            </w:tcMar>
          </w:tcPr>
          <w:p>
            <w:pPr>
              <w:jc w:val="center"/>
            </w:pPr>
            <w:r>
              <w:rPr>
                <w:rFonts w:ascii="Times New Roman" w:hAnsi="Times New Roman"/>
                <w:b/>
                <w:color w:val="FFFFFF"/>
                <w:sz w:val="19"/>
              </w:rPr>
              <w:t>Evidence needed</w:t>
            </w:r>
          </w:p>
        </w:tc>
      </w:tr>
      <w:tr>
        <w:tc>
          <w:tcPr>
            <w:tcW w:type="dxa" w:w="2304"/>
            <w:shd w:val="clear" w:color="auto" w:fill="FFFFFF"/>
            <w:tcMar>
              <w:top w:w="80" w:type="dxa"/>
              <w:bottom w:w="80" w:type="dxa"/>
              <w:left w:w="120" w:type="dxa"/>
              <w:right w:w="120" w:type="dxa"/>
            </w:tcMar>
          </w:tcPr>
          <w:p>
            <w:pPr>
              <w:jc w:val="center"/>
            </w:pPr>
            <w:r>
              <w:rPr>
                <w:rFonts w:ascii="Times New Roman" w:hAnsi="Times New Roman"/>
                <w:color w:val="1F2937"/>
                <w:sz w:val="18"/>
              </w:rPr>
              <w:t>Manual review time</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Hours per 1,000 events before and after.</w:t>
            </w:r>
          </w:p>
        </w:tc>
        <w:tc>
          <w:tcPr>
            <w:tcW w:type="dxa" w:w="3312"/>
            <w:shd w:val="clear" w:color="auto" w:fill="FFFFFF"/>
            <w:tcMar>
              <w:top w:w="80" w:type="dxa"/>
              <w:bottom w:w="80" w:type="dxa"/>
              <w:left w:w="120" w:type="dxa"/>
              <w:right w:w="120" w:type="dxa"/>
            </w:tcMar>
          </w:tcPr>
          <w:p>
            <w:pPr>
              <w:jc w:val="left"/>
            </w:pPr>
            <w:r>
              <w:rPr>
                <w:rFonts w:ascii="Times New Roman" w:hAnsi="Times New Roman"/>
                <w:color w:val="1F2937"/>
                <w:sz w:val="18"/>
              </w:rPr>
              <w:t>Time study with comparable samples.</w:t>
            </w:r>
          </w:p>
        </w:tc>
      </w:tr>
      <w:tr>
        <w:tc>
          <w:tcPr>
            <w:tcW w:type="dxa" w:w="2304"/>
            <w:shd w:val="clear" w:color="auto" w:fill="FFF7ED"/>
            <w:tcMar>
              <w:top w:w="80" w:type="dxa"/>
              <w:bottom w:w="80" w:type="dxa"/>
              <w:left w:w="120" w:type="dxa"/>
              <w:right w:w="120" w:type="dxa"/>
            </w:tcMar>
          </w:tcPr>
          <w:p>
            <w:pPr>
              <w:jc w:val="center"/>
            </w:pPr>
            <w:r>
              <w:rPr>
                <w:rFonts w:ascii="Times New Roman" w:hAnsi="Times New Roman"/>
                <w:color w:val="1F2937"/>
                <w:sz w:val="18"/>
              </w:rPr>
              <w:t>Triage speed</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Median time from event to reviewer decision.</w:t>
            </w:r>
          </w:p>
        </w:tc>
        <w:tc>
          <w:tcPr>
            <w:tcW w:type="dxa" w:w="3312"/>
            <w:shd w:val="clear" w:color="auto" w:fill="FFF7ED"/>
            <w:tcMar>
              <w:top w:w="80" w:type="dxa"/>
              <w:bottom w:w="80" w:type="dxa"/>
              <w:left w:w="120" w:type="dxa"/>
              <w:right w:w="120" w:type="dxa"/>
            </w:tcMar>
          </w:tcPr>
          <w:p>
            <w:pPr>
              <w:jc w:val="left"/>
            </w:pPr>
            <w:r>
              <w:rPr>
                <w:rFonts w:ascii="Times New Roman" w:hAnsi="Times New Roman"/>
                <w:color w:val="1F2937"/>
                <w:sz w:val="18"/>
              </w:rPr>
              <w:t>Time-stamped event and case records.</w:t>
            </w:r>
          </w:p>
        </w:tc>
      </w:tr>
      <w:tr>
        <w:tc>
          <w:tcPr>
            <w:tcW w:type="dxa" w:w="2304"/>
            <w:shd w:val="clear" w:color="auto" w:fill="FFFFFF"/>
            <w:tcMar>
              <w:top w:w="80" w:type="dxa"/>
              <w:bottom w:w="80" w:type="dxa"/>
              <w:left w:w="120" w:type="dxa"/>
              <w:right w:w="120" w:type="dxa"/>
            </w:tcMar>
          </w:tcPr>
          <w:p>
            <w:pPr>
              <w:jc w:val="center"/>
            </w:pPr>
            <w:r>
              <w:rPr>
                <w:rFonts w:ascii="Times New Roman" w:hAnsi="Times New Roman"/>
                <w:color w:val="1F2937"/>
                <w:sz w:val="18"/>
              </w:rPr>
              <w:t>Alert quality</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Precision, recall, reversals, reviewer acceptance.</w:t>
            </w:r>
          </w:p>
        </w:tc>
        <w:tc>
          <w:tcPr>
            <w:tcW w:type="dxa" w:w="3312"/>
            <w:shd w:val="clear" w:color="auto" w:fill="FFFFFF"/>
            <w:tcMar>
              <w:top w:w="80" w:type="dxa"/>
              <w:bottom w:w="80" w:type="dxa"/>
              <w:left w:w="120" w:type="dxa"/>
              <w:right w:w="120" w:type="dxa"/>
            </w:tcMar>
          </w:tcPr>
          <w:p>
            <w:pPr>
              <w:jc w:val="left"/>
            </w:pPr>
            <w:r>
              <w:rPr>
                <w:rFonts w:ascii="Times New Roman" w:hAnsi="Times New Roman"/>
                <w:color w:val="1F2937"/>
                <w:sz w:val="18"/>
              </w:rPr>
              <w:t>Independent labels and adjudication.</w:t>
            </w:r>
          </w:p>
        </w:tc>
      </w:tr>
      <w:tr>
        <w:tc>
          <w:tcPr>
            <w:tcW w:type="dxa" w:w="2304"/>
            <w:shd w:val="clear" w:color="auto" w:fill="FFF7ED"/>
            <w:tcMar>
              <w:top w:w="80" w:type="dxa"/>
              <w:bottom w:w="80" w:type="dxa"/>
              <w:left w:w="120" w:type="dxa"/>
              <w:right w:w="120" w:type="dxa"/>
            </w:tcMar>
          </w:tcPr>
          <w:p>
            <w:pPr>
              <w:jc w:val="center"/>
            </w:pPr>
            <w:r>
              <w:rPr>
                <w:rFonts w:ascii="Times New Roman" w:hAnsi="Times New Roman"/>
                <w:color w:val="1F2937"/>
                <w:sz w:val="18"/>
              </w:rPr>
              <w:t>Data minimization</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Fields withheld or aggregated before export.</w:t>
            </w:r>
          </w:p>
        </w:tc>
        <w:tc>
          <w:tcPr>
            <w:tcW w:type="dxa" w:w="3312"/>
            <w:shd w:val="clear" w:color="auto" w:fill="FFF7ED"/>
            <w:tcMar>
              <w:top w:w="80" w:type="dxa"/>
              <w:bottom w:w="80" w:type="dxa"/>
              <w:left w:w="120" w:type="dxa"/>
              <w:right w:w="120" w:type="dxa"/>
            </w:tcMar>
          </w:tcPr>
          <w:p>
            <w:pPr>
              <w:jc w:val="left"/>
            </w:pPr>
            <w:r>
              <w:rPr>
                <w:rFonts w:ascii="Times New Roman" w:hAnsi="Times New Roman"/>
                <w:color w:val="1F2937"/>
                <w:sz w:val="18"/>
              </w:rPr>
              <w:t>Data-flow measurements and schema diff.</w:t>
            </w:r>
          </w:p>
        </w:tc>
      </w:tr>
      <w:tr>
        <w:tc>
          <w:tcPr>
            <w:tcW w:type="dxa" w:w="2304"/>
            <w:shd w:val="clear" w:color="auto" w:fill="FFFFFF"/>
            <w:tcMar>
              <w:top w:w="80" w:type="dxa"/>
              <w:bottom w:w="80" w:type="dxa"/>
              <w:left w:w="120" w:type="dxa"/>
              <w:right w:w="120" w:type="dxa"/>
            </w:tcMar>
          </w:tcPr>
          <w:p>
            <w:pPr>
              <w:jc w:val="center"/>
            </w:pPr>
            <w:r>
              <w:rPr>
                <w:rFonts w:ascii="Times New Roman" w:hAnsi="Times New Roman"/>
                <w:color w:val="1F2937"/>
                <w:sz w:val="18"/>
              </w:rPr>
              <w:t>Operating cost</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Compute, storage, staffing, maintenance, legal review.</w:t>
            </w:r>
          </w:p>
        </w:tc>
        <w:tc>
          <w:tcPr>
            <w:tcW w:type="dxa" w:w="3312"/>
            <w:shd w:val="clear" w:color="auto" w:fill="FFFFFF"/>
            <w:tcMar>
              <w:top w:w="80" w:type="dxa"/>
              <w:bottom w:w="80" w:type="dxa"/>
              <w:left w:w="120" w:type="dxa"/>
              <w:right w:w="120" w:type="dxa"/>
            </w:tcMar>
          </w:tcPr>
          <w:p>
            <w:pPr>
              <w:jc w:val="left"/>
            </w:pPr>
            <w:r>
              <w:rPr>
                <w:rFonts w:ascii="Times New Roman" w:hAnsi="Times New Roman"/>
                <w:color w:val="1F2937"/>
                <w:sz w:val="18"/>
              </w:rPr>
              <w:t>Invoices, workload, staffing and support records.</w:t>
            </w:r>
          </w:p>
        </w:tc>
      </w:tr>
      <w:tr>
        <w:tc>
          <w:tcPr>
            <w:tcW w:type="dxa" w:w="2304"/>
            <w:shd w:val="clear" w:color="auto" w:fill="FFF7ED"/>
            <w:tcMar>
              <w:top w:w="80" w:type="dxa"/>
              <w:bottom w:w="80" w:type="dxa"/>
              <w:left w:w="120" w:type="dxa"/>
              <w:right w:w="120" w:type="dxa"/>
            </w:tcMar>
          </w:tcPr>
          <w:p>
            <w:pPr>
              <w:jc w:val="center"/>
            </w:pPr>
            <w:r>
              <w:rPr>
                <w:rFonts w:ascii="Times New Roman" w:hAnsi="Times New Roman"/>
                <w:color w:val="1F2937"/>
                <w:sz w:val="18"/>
              </w:rPr>
              <w:t>Risk/cost of errors</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Costs of missed issue and false alert.</w:t>
            </w:r>
          </w:p>
        </w:tc>
        <w:tc>
          <w:tcPr>
            <w:tcW w:type="dxa" w:w="3312"/>
            <w:shd w:val="clear" w:color="auto" w:fill="FFF7ED"/>
            <w:tcMar>
              <w:top w:w="80" w:type="dxa"/>
              <w:bottom w:w="80" w:type="dxa"/>
              <w:left w:w="120" w:type="dxa"/>
              <w:right w:w="120" w:type="dxa"/>
            </w:tcMar>
          </w:tcPr>
          <w:p>
            <w:pPr>
              <w:jc w:val="left"/>
            </w:pPr>
            <w:r>
              <w:rPr>
                <w:rFonts w:ascii="Times New Roman" w:hAnsi="Times New Roman"/>
                <w:color w:val="1F2937"/>
                <w:sz w:val="18"/>
              </w:rPr>
              <w:t>Incident scenarios and domain-owner estimates.</w:t>
            </w:r>
          </w:p>
        </w:tc>
      </w:tr>
      <w:tr>
        <w:tc>
          <w:tcPr>
            <w:tcW w:type="dxa" w:w="2304"/>
            <w:shd w:val="clear" w:color="auto" w:fill="FFFFFF"/>
            <w:tcMar>
              <w:top w:w="80" w:type="dxa"/>
              <w:bottom w:w="80" w:type="dxa"/>
              <w:left w:w="120" w:type="dxa"/>
              <w:right w:w="120" w:type="dxa"/>
            </w:tcMar>
          </w:tcPr>
          <w:p>
            <w:pPr>
              <w:jc w:val="center"/>
            </w:pPr>
            <w:r>
              <w:rPr>
                <w:rFonts w:ascii="Times New Roman" w:hAnsi="Times New Roman"/>
                <w:color w:val="1F2937"/>
                <w:sz w:val="18"/>
              </w:rPr>
              <w:t>ROI</w:t>
            </w:r>
          </w:p>
        </w:tc>
        <w:tc>
          <w:tcPr>
            <w:tcW w:type="dxa" w:w="3600"/>
            <w:shd w:val="clear" w:color="auto" w:fill="FFFFFF"/>
            <w:tcMar>
              <w:top w:w="80" w:type="dxa"/>
              <w:bottom w:w="80" w:type="dxa"/>
              <w:left w:w="120" w:type="dxa"/>
              <w:right w:w="120" w:type="dxa"/>
            </w:tcMar>
          </w:tcPr>
          <w:p>
            <w:pPr>
              <w:jc w:val="left"/>
            </w:pPr>
            <w:r>
              <w:rPr>
                <w:rFonts w:ascii="Times New Roman" w:hAnsi="Times New Roman"/>
                <w:color w:val="1F2937"/>
                <w:sz w:val="18"/>
              </w:rPr>
              <w:t>(Verified benefits minus verified costs) / costs.</w:t>
            </w:r>
          </w:p>
        </w:tc>
        <w:tc>
          <w:tcPr>
            <w:tcW w:type="dxa" w:w="3312"/>
            <w:shd w:val="clear" w:color="auto" w:fill="FFFFFF"/>
            <w:tcMar>
              <w:top w:w="80" w:type="dxa"/>
              <w:bottom w:w="80" w:type="dxa"/>
              <w:left w:w="120" w:type="dxa"/>
              <w:right w:w="120" w:type="dxa"/>
            </w:tcMar>
          </w:tcPr>
          <w:p>
            <w:pPr>
              <w:jc w:val="left"/>
            </w:pPr>
            <w:r>
              <w:rPr>
                <w:rFonts w:ascii="Times New Roman" w:hAnsi="Times New Roman"/>
                <w:color w:val="1F2937"/>
                <w:sz w:val="18"/>
              </w:rPr>
              <w:t>Measured financial inputs and defined time horizon.</w:t>
            </w:r>
          </w:p>
        </w:tc>
      </w:tr>
      <w:tr>
        <w:tc>
          <w:tcPr>
            <w:tcW w:type="dxa" w:w="2304"/>
            <w:shd w:val="clear" w:color="auto" w:fill="FFF7ED"/>
            <w:tcMar>
              <w:top w:w="80" w:type="dxa"/>
              <w:bottom w:w="80" w:type="dxa"/>
              <w:left w:w="120" w:type="dxa"/>
              <w:right w:w="120" w:type="dxa"/>
            </w:tcMar>
          </w:tcPr>
          <w:p>
            <w:pPr>
              <w:jc w:val="center"/>
            </w:pPr>
            <w:r>
              <w:rPr>
                <w:rFonts w:ascii="Times New Roman" w:hAnsi="Times New Roman"/>
                <w:color w:val="1F2937"/>
                <w:sz w:val="18"/>
              </w:rPr>
              <w:t>Current study status</w:t>
            </w:r>
          </w:p>
        </w:tc>
        <w:tc>
          <w:tcPr>
            <w:tcW w:type="dxa" w:w="3600"/>
            <w:shd w:val="clear" w:color="auto" w:fill="FFF7ED"/>
            <w:tcMar>
              <w:top w:w="80" w:type="dxa"/>
              <w:bottom w:w="80" w:type="dxa"/>
              <w:left w:w="120" w:type="dxa"/>
              <w:right w:w="120" w:type="dxa"/>
            </w:tcMar>
          </w:tcPr>
          <w:p>
            <w:pPr>
              <w:jc w:val="left"/>
            </w:pPr>
            <w:r>
              <w:rPr>
                <w:rFonts w:ascii="Times New Roman" w:hAnsi="Times New Roman"/>
                <w:color w:val="1F2937"/>
                <w:sz w:val="18"/>
              </w:rPr>
              <w:t>No monetary outcome measured.</w:t>
            </w:r>
          </w:p>
        </w:tc>
        <w:tc>
          <w:tcPr>
            <w:tcW w:type="dxa" w:w="3312"/>
            <w:shd w:val="clear" w:color="auto" w:fill="FFF7ED"/>
            <w:tcMar>
              <w:top w:w="80" w:type="dxa"/>
              <w:bottom w:w="80" w:type="dxa"/>
              <w:left w:w="120" w:type="dxa"/>
              <w:right w:w="120" w:type="dxa"/>
            </w:tcMar>
          </w:tcPr>
          <w:p>
            <w:pPr>
              <w:jc w:val="left"/>
            </w:pPr>
            <w:r>
              <w:rPr>
                <w:rFonts w:ascii="Times New Roman" w:hAnsi="Times New Roman"/>
                <w:color w:val="1F2937"/>
                <w:sz w:val="18"/>
              </w:rPr>
              <w:t>Synthetic dataset contains no financial observations.</w:t>
            </w:r>
          </w:p>
        </w:tc>
      </w:tr>
    </w:tbl>
    <w:p>
      <w:pPr>
        <w:spacing w:after="120"/>
      </w:pPr>
    </w:p>
    <w:p>
      <w:pPr>
        <w:pStyle w:val="Heading1"/>
        <w:spacing w:before="240" w:after="80"/>
      </w:pPr>
      <w:r>
        <w:rPr>
          <w:rFonts w:ascii="Times New Roman" w:hAnsi="Times New Roman"/>
          <w:b/>
          <w:color w:val="B45309"/>
          <w:sz w:val="28"/>
        </w:rPr>
        <w:t>21. Challenges and Limitations</w:t>
      </w:r>
    </w:p>
    <w:p>
      <w:pPr>
        <w:spacing w:after="80" w:line="276" w:lineRule="auto"/>
      </w:pPr>
      <w:r>
        <w:rPr>
          <w:rFonts w:ascii="Times New Roman" w:hAnsi="Times New Roman"/>
          <w:sz w:val="21"/>
        </w:rPr>
        <w:t>Several limitations constrain the proposed framework [1]. First, legal duties are contextual, and a generic architecture cannot automatically resolve the applicability of the GDPR, DPDP Act, AI Act, or sector rules [3]. Second, heterogeneous devices can have incomplete metadata and weak hardware support [4]. Third, AI models can drift, be manipulated, or produce different error rates across device classes [13]. Fourth, synthetic benchmarks demonstrate workflow reproducibility only and do not establish real-world compliance effectiveness.</w:t>
      </w:r>
    </w:p>
    <w:p>
      <w:pPr>
        <w:spacing w:before="160" w:after="40"/>
        <w:jc w:val="center"/>
      </w:pPr>
      <w:r>
        <w:drawing>
          <wp:inline xmlns:a="http://schemas.openxmlformats.org/drawingml/2006/main" xmlns:pic="http://schemas.openxmlformats.org/drawingml/2006/picture">
            <wp:extent cx="5303520" cy="2953859"/>
            <wp:docPr id="31" name="Picture 31"/>
            <wp:cNvGraphicFramePr>
              <a:graphicFrameLocks noChangeAspect="1"/>
            </wp:cNvGraphicFramePr>
            <a:graphic>
              <a:graphicData uri="http://schemas.openxmlformats.org/drawingml/2006/picture">
                <pic:pic>
                  <pic:nvPicPr>
                    <pic:cNvPr id="0" name="Fig 31 Challenges and Limitations Roadmap.png"/>
                    <pic:cNvPicPr/>
                  </pic:nvPicPr>
                  <pic:blipFill>
                    <a:blip r:embed="rId39"/>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31. Challenges and Limitations Roadmap</w:t>
      </w:r>
    </w:p>
    <w:p>
      <w:pPr>
        <w:pStyle w:val="Heading1"/>
        <w:spacing w:before="240" w:after="80"/>
      </w:pPr>
      <w:r>
        <w:rPr>
          <w:rFonts w:ascii="Times New Roman" w:hAnsi="Times New Roman"/>
          <w:b/>
          <w:color w:val="B45309"/>
          <w:sz w:val="28"/>
        </w:rPr>
        <w:t>22. Future Research Directions</w:t>
      </w:r>
    </w:p>
    <w:p>
      <w:pPr>
        <w:spacing w:after="80" w:line="276" w:lineRule="auto"/>
      </w:pPr>
      <w:r>
        <w:rPr>
          <w:rFonts w:ascii="Times New Roman" w:hAnsi="Times New Roman"/>
          <w:sz w:val="21"/>
        </w:rPr>
        <w:t>Future research directions include multi-site validation with consented real-world data, rigorous privacy-budget accounting for differential privacy, robust federated learning with poisoning defenses, and human-factors studies to evaluate reviewer cognitive load.</w:t>
      </w:r>
    </w:p>
    <w:p>
      <w:pPr>
        <w:spacing w:before="160" w:after="40"/>
        <w:jc w:val="center"/>
      </w:pPr>
      <w:r>
        <w:drawing>
          <wp:inline xmlns:a="http://schemas.openxmlformats.org/drawingml/2006/main" xmlns:pic="http://schemas.openxmlformats.org/drawingml/2006/picture">
            <wp:extent cx="5303520" cy="2953859"/>
            <wp:docPr id="32" name="Picture 32"/>
            <wp:cNvGraphicFramePr>
              <a:graphicFrameLocks noChangeAspect="1"/>
            </wp:cNvGraphicFramePr>
            <a:graphic>
              <a:graphicData uri="http://schemas.openxmlformats.org/drawingml/2006/picture">
                <pic:pic>
                  <pic:nvPicPr>
                    <pic:cNvPr id="0" name="Fig 32 Future Research Roadmap.png"/>
                    <pic:cNvPicPr/>
                  </pic:nvPicPr>
                  <pic:blipFill>
                    <a:blip r:embed="rId40"/>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32. Future Research Roadmap</w:t>
      </w:r>
    </w:p>
    <w:p>
      <w:pPr>
        <w:spacing w:before="160" w:after="40"/>
        <w:jc w:val="center"/>
      </w:pPr>
      <w:r>
        <w:drawing>
          <wp:inline xmlns:a="http://schemas.openxmlformats.org/drawingml/2006/main" xmlns:pic="http://schemas.openxmlformats.org/drawingml/2006/picture">
            <wp:extent cx="5303520" cy="2953859"/>
            <wp:docPr id="33" name="Picture 33"/>
            <wp:cNvGraphicFramePr>
              <a:graphicFrameLocks noChangeAspect="1"/>
            </wp:cNvGraphicFramePr>
            <a:graphic>
              <a:graphicData uri="http://schemas.openxmlformats.org/drawingml/2006/picture">
                <pic:pic>
                  <pic:nvPicPr>
                    <pic:cNvPr id="0" name="Fig 33 Next-Generation AI Governance Ecosystem.png"/>
                    <pic:cNvPicPr/>
                  </pic:nvPicPr>
                  <pic:blipFill>
                    <a:blip r:embed="rId41"/>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33. Next-Generation AI Governance Ecosystem</w:t>
      </w:r>
    </w:p>
    <w:p>
      <w:pPr>
        <w:pStyle w:val="Heading1"/>
        <w:spacing w:before="240" w:after="80"/>
      </w:pPr>
      <w:r>
        <w:rPr>
          <w:rFonts w:ascii="Times New Roman" w:hAnsi="Times New Roman"/>
          <w:b/>
          <w:color w:val="B45309"/>
          <w:sz w:val="28"/>
        </w:rPr>
        <w:t>23. Conclusion</w:t>
      </w:r>
    </w:p>
    <w:p>
      <w:pPr>
        <w:spacing w:after="80" w:line="276" w:lineRule="auto"/>
      </w:pPr>
      <w:r>
        <w:rPr>
          <w:rFonts w:ascii="Times New Roman" w:hAnsi="Times New Roman"/>
          <w:sz w:val="21"/>
        </w:rPr>
        <w:t>This case study presents a layered approach to AI-driven privacy compliance in IoT environments with different devices [1]. The main design principle is to combine explicit and testable policy rules with local processing, risk detection, explainable outcomes, evidence capture, regulatory mapping, and human oversight [3]. Device diversity, fragmented policies, contextual risk, and distributed data flows require more than a single model or centralized dashboard [4]. Edge controls can minimize unnecessary transfer, while a shared governance layer keeps policy versions, model versions, and audit evidence aligned [10].</w:t>
      </w:r>
    </w:p>
    <w:p>
      <w:pPr>
        <w:spacing w:after="80" w:line="276" w:lineRule="auto"/>
      </w:pPr>
      <w:r>
        <w:rPr>
          <w:rFonts w:ascii="Times New Roman" w:hAnsi="Times New Roman"/>
          <w:sz w:val="21"/>
        </w:rPr>
        <w:t>A small reproducible benchmark shows the implementation path using 6,000 synthetic events [1]. On the 1,500-record held-out split, the hybrid detector produced the highest recall (79.51%) and F1 score (0.644), but lower accuracy (64.27%) and precision (54.13%) than the Random Forest model [3]. These figures show an alerting trade-off under the artificial generator [4]. They do not establish real-world compliance effectiveness or prove that any regulation has been satisfied [1].</w:t>
      </w:r>
    </w:p>
    <w:p>
      <w:pPr>
        <w:spacing w:before="160" w:after="40"/>
        <w:jc w:val="center"/>
      </w:pPr>
      <w:r>
        <w:drawing>
          <wp:inline xmlns:a="http://schemas.openxmlformats.org/drawingml/2006/main" xmlns:pic="http://schemas.openxmlformats.org/drawingml/2006/picture">
            <wp:extent cx="5303520" cy="2953859"/>
            <wp:docPr id="34" name="Picture 34"/>
            <wp:cNvGraphicFramePr>
              <a:graphicFrameLocks noChangeAspect="1"/>
            </wp:cNvGraphicFramePr>
            <a:graphic>
              <a:graphicData uri="http://schemas.openxmlformats.org/drawingml/2006/picture">
                <pic:pic>
                  <pic:nvPicPr>
                    <pic:cNvPr id="0" name="Fig 34 Research Contribution Framework.png"/>
                    <pic:cNvPicPr/>
                  </pic:nvPicPr>
                  <pic:blipFill>
                    <a:blip r:embed="rId42"/>
                    <a:stretch>
                      <a:fillRect/>
                    </a:stretch>
                  </pic:blipFill>
                  <pic:spPr>
                    <a:xfrm>
                      <a:off x="0" y="0"/>
                      <a:ext cx="5303520" cy="2953859"/>
                    </a:xfrm>
                    <a:prstGeom prst="rect"/>
                  </pic:spPr>
                </pic:pic>
              </a:graphicData>
            </a:graphic>
          </wp:inline>
        </w:drawing>
      </w:r>
    </w:p>
    <w:p>
      <w:pPr>
        <w:spacing w:after="200"/>
        <w:jc w:val="center"/>
      </w:pPr>
      <w:r>
        <w:rPr>
          <w:rFonts w:ascii="Times New Roman" w:hAnsi="Times New Roman"/>
          <w:i/>
          <w:color w:val="4B5563"/>
          <w:sz w:val="18"/>
        </w:rPr>
        <w:t>Fig. 34. Research Contribution Framework</w:t>
      </w:r>
    </w:p>
    <w:p>
      <w:pPr>
        <w:pStyle w:val="Heading2"/>
        <w:spacing w:before="240" w:after="80"/>
      </w:pPr>
      <w:r>
        <w:rPr>
          <w:rFonts w:ascii="Times New Roman" w:hAnsi="Times New Roman"/>
          <w:b/>
          <w:color w:val="1F2937"/>
          <w:sz w:val="24"/>
        </w:rPr>
        <w:t>Data Availability Statement</w:t>
      </w:r>
    </w:p>
    <w:p>
      <w:pPr>
        <w:spacing w:after="80" w:line="276" w:lineRule="auto"/>
      </w:pPr>
      <w:r>
        <w:rPr>
          <w:rFonts w:ascii="Times New Roman" w:hAnsi="Times New Roman"/>
          <w:sz w:val="21"/>
        </w:rPr>
        <w:t>All data generated or analysed during this study are included in this published article [and its supplementary information files: iot_privacy_compliance_dataset.csv, train_set.csv, and test_set.csv located in the datasets/ folder of the project repository]. The benchmark data are synthetic and were generated for this case study. Source code, dataset generator, and random seed (42) are included in the source-code folder.</w:t>
      </w:r>
    </w:p>
    <w:p>
      <w:r>
        <w:br w:type="page"/>
      </w:r>
    </w:p>
    <w:p>
      <w:pPr>
        <w:pStyle w:val="Heading1"/>
        <w:spacing w:before="240" w:after="80"/>
      </w:pPr>
      <w:r>
        <w:rPr>
          <w:rFonts w:ascii="Times New Roman" w:hAnsi="Times New Roman"/>
          <w:b/>
          <w:color w:val="B45309"/>
          <w:sz w:val="28"/>
        </w:rPr>
        <w:t>Appendices</w:t>
      </w:r>
    </w:p>
    <w:p>
      <w:pPr>
        <w:pStyle w:val="Heading2"/>
        <w:spacing w:before="240" w:after="80"/>
      </w:pPr>
      <w:r>
        <w:rPr>
          <w:rFonts w:ascii="Times New Roman" w:hAnsi="Times New Roman"/>
          <w:b/>
          <w:color w:val="1F2937"/>
          <w:sz w:val="24"/>
        </w:rPr>
        <w:t>Appendix A. Policy Rule Template</w:t>
      </w:r>
    </w:p>
    <w:p>
      <w:pPr>
        <w:spacing w:after="80" w:line="276" w:lineRule="auto"/>
      </w:pPr>
      <w:r>
        <w:rPr>
          <w:rFonts w:ascii="Times New Roman" w:hAnsi="Times New Roman"/>
          <w:sz w:val="21"/>
        </w:rPr>
        <w:t>Provides declarative JSON specifications for policy rule PRIV-IOT-EX-01, defining condition triggers, mandatory actions, and evidence fields.</w:t>
      </w:r>
    </w:p>
    <w:p>
      <w:pPr>
        <w:pStyle w:val="Heading2"/>
        <w:spacing w:before="240" w:after="80"/>
      </w:pPr>
      <w:r>
        <w:rPr>
          <w:rFonts w:ascii="Times New Roman" w:hAnsi="Times New Roman"/>
          <w:b/>
          <w:color w:val="1F2937"/>
          <w:sz w:val="24"/>
        </w:rPr>
        <w:t>Appendix B. Reference Pseudocode for the Event Pipeline</w:t>
      </w:r>
    </w:p>
    <w:p>
      <w:pPr>
        <w:spacing w:after="80" w:line="276" w:lineRule="auto"/>
      </w:pPr>
      <w:r>
        <w:rPr>
          <w:rFonts w:ascii="Times New Roman" w:hAnsi="Times New Roman"/>
          <w:sz w:val="21"/>
        </w:rPr>
        <w:t>Details process_event(event) sequentially validating schema, authenticating device ID, checking cache policy, classifying sensitivity, running deterministic rules, applying edge minimization, computing AI risk score, and writing tamper-evident SHA-256 audit records.</w:t>
      </w:r>
    </w:p>
    <w:p>
      <w:pPr>
        <w:pStyle w:val="Heading2"/>
        <w:spacing w:before="240" w:after="80"/>
      </w:pPr>
      <w:r>
        <w:rPr>
          <w:rFonts w:ascii="Times New Roman" w:hAnsi="Times New Roman"/>
          <w:b/>
          <w:color w:val="1F2937"/>
          <w:sz w:val="24"/>
        </w:rPr>
        <w:t>Appendix C. Event Data Dictionary</w:t>
      </w:r>
    </w:p>
    <w:p>
      <w:pPr>
        <w:spacing w:after="80" w:line="276" w:lineRule="auto"/>
      </w:pPr>
      <w:r>
        <w:rPr>
          <w:rFonts w:ascii="Times New Roman" w:hAnsi="Times New Roman"/>
          <w:sz w:val="21"/>
        </w:rPr>
        <w:t>Documents the complete schema of the event envelope: event_id, device_id, event_time, data_class, purpose_id, receiver_id, retention_class, policy_version, model_version, and risk_score.</w:t>
      </w:r>
    </w:p>
    <w:p>
      <w:pPr>
        <w:pStyle w:val="Heading2"/>
        <w:spacing w:before="240" w:after="80"/>
      </w:pPr>
      <w:r>
        <w:rPr>
          <w:rFonts w:ascii="Times New Roman" w:hAnsi="Times New Roman"/>
          <w:b/>
          <w:color w:val="1F2937"/>
          <w:sz w:val="24"/>
        </w:rPr>
        <w:t>Appendix D. Extended Test Cases and Expected Behaviour</w:t>
      </w:r>
    </w:p>
    <w:p>
      <w:pPr>
        <w:spacing w:after="80" w:line="276" w:lineRule="auto"/>
      </w:pPr>
      <w:r>
        <w:rPr>
          <w:rFonts w:ascii="Times New Roman" w:hAnsi="Times New Roman"/>
          <w:sz w:val="21"/>
        </w:rPr>
        <w:t>Outlines 12 rigorous positive and negative boundary test scenarios (D-01 to D-12) covering expired retention, purpose mismatch, offline policy cache, and audit failures.</w:t>
      </w:r>
    </w:p>
    <w:p>
      <w:pPr>
        <w:pStyle w:val="Heading2"/>
        <w:spacing w:before="240" w:after="80"/>
      </w:pPr>
      <w:r>
        <w:rPr>
          <w:rFonts w:ascii="Times New Roman" w:hAnsi="Times New Roman"/>
          <w:b/>
          <w:color w:val="1F2937"/>
          <w:sz w:val="24"/>
        </w:rPr>
        <w:t>Appendix E. Reproducibility and Deployment Checklist</w:t>
      </w:r>
    </w:p>
    <w:p>
      <w:pPr>
        <w:spacing w:after="80" w:line="276" w:lineRule="auto"/>
      </w:pPr>
      <w:r>
        <w:rPr>
          <w:rFonts w:ascii="Times New Roman" w:hAnsi="Times New Roman"/>
          <w:sz w:val="21"/>
        </w:rPr>
        <w:t>Checklist for experimental replication and production readiness gates covering device inventory, policy versioning, and rollback procedures.</w:t>
      </w:r>
    </w:p>
    <w:p>
      <w:pPr>
        <w:pStyle w:val="Heading2"/>
        <w:spacing w:before="240" w:after="80"/>
      </w:pPr>
      <w:r>
        <w:rPr>
          <w:rFonts w:ascii="Times New Roman" w:hAnsi="Times New Roman"/>
          <w:b/>
          <w:color w:val="1F2937"/>
          <w:sz w:val="24"/>
        </w:rPr>
        <w:t>Appendix F. Detailed Research Questions and Hypotheses</w:t>
      </w:r>
    </w:p>
    <w:p>
      <w:pPr>
        <w:spacing w:after="80" w:line="276" w:lineRule="auto"/>
      </w:pPr>
      <w:r>
        <w:rPr>
          <w:rFonts w:ascii="Times New Roman" w:hAnsi="Times New Roman"/>
          <w:sz w:val="21"/>
        </w:rPr>
        <w:t>Formulates RQ1–RQ4 and testable hypotheses H1–H5 on metadata preservation, hybrid decision support, and audit reconstruction.</w:t>
      </w:r>
    </w:p>
    <w:p>
      <w:pPr>
        <w:pStyle w:val="Heading2"/>
        <w:spacing w:before="240" w:after="80"/>
      </w:pPr>
      <w:r>
        <w:rPr>
          <w:rFonts w:ascii="Times New Roman" w:hAnsi="Times New Roman"/>
          <w:b/>
          <w:color w:val="1F2937"/>
          <w:sz w:val="24"/>
        </w:rPr>
        <w:t>Appendix G. Step-by-Step Experimental Protocol</w:t>
      </w:r>
    </w:p>
    <w:p>
      <w:pPr>
        <w:spacing w:after="80" w:line="276" w:lineRule="auto"/>
      </w:pPr>
      <w:r>
        <w:rPr>
          <w:rFonts w:ascii="Times New Roman" w:hAnsi="Times New Roman"/>
          <w:sz w:val="21"/>
        </w:rPr>
        <w:t>Detailed guide covering pre-test configuration, event set preparation, baseline execution, and error analysis.</w:t>
      </w:r>
    </w:p>
    <w:p>
      <w:pPr>
        <w:pStyle w:val="Heading2"/>
        <w:spacing w:before="240" w:after="80"/>
      </w:pPr>
      <w:r>
        <w:rPr>
          <w:rFonts w:ascii="Times New Roman" w:hAnsi="Times New Roman"/>
          <w:b/>
          <w:color w:val="1F2937"/>
          <w:sz w:val="24"/>
        </w:rPr>
        <w:t>Appendix H. Event Labels and Annotation Guide</w:t>
      </w:r>
    </w:p>
    <w:p>
      <w:pPr>
        <w:spacing w:after="80" w:line="276" w:lineRule="auto"/>
      </w:pPr>
      <w:r>
        <w:rPr>
          <w:rFonts w:ascii="Times New Roman" w:hAnsi="Times New Roman"/>
          <w:sz w:val="21"/>
        </w:rPr>
        <w:t>Defines operational criteria for permitted, violation, and uncertain event labels to prevent data leakage and label bias.</w:t>
      </w:r>
    </w:p>
    <w:p>
      <w:pPr>
        <w:pStyle w:val="Heading2"/>
        <w:spacing w:before="240" w:after="80"/>
      </w:pPr>
      <w:r>
        <w:rPr>
          <w:rFonts w:ascii="Times New Roman" w:hAnsi="Times New Roman"/>
          <w:b/>
          <w:color w:val="1F2937"/>
          <w:sz w:val="24"/>
        </w:rPr>
        <w:t>Appendix I. Policy Rule Examples and Review Checklist</w:t>
      </w:r>
    </w:p>
    <w:p>
      <w:pPr>
        <w:spacing w:after="80" w:line="276" w:lineRule="auto"/>
      </w:pPr>
      <w:r>
        <w:rPr>
          <w:rFonts w:ascii="Times New Roman" w:hAnsi="Times New Roman"/>
          <w:sz w:val="21"/>
        </w:rPr>
        <w:t>Provides concrete examples for healthcare wearables (Rule I.2) and smart-city traffic count aggregation (Rule I.3).</w:t>
      </w:r>
    </w:p>
    <w:p>
      <w:pPr>
        <w:pStyle w:val="Heading2"/>
        <w:spacing w:before="240" w:after="80"/>
      </w:pPr>
      <w:r>
        <w:rPr>
          <w:rFonts w:ascii="Times New Roman" w:hAnsi="Times New Roman"/>
          <w:b/>
          <w:color w:val="1F2937"/>
          <w:sz w:val="24"/>
        </w:rPr>
        <w:t>Appendix J. Implementation and Deployment Readiness Plan</w:t>
      </w:r>
    </w:p>
    <w:p>
      <w:pPr>
        <w:spacing w:after="80" w:line="276" w:lineRule="auto"/>
      </w:pPr>
      <w:r>
        <w:rPr>
          <w:rFonts w:ascii="Times New Roman" w:hAnsi="Times New Roman"/>
          <w:sz w:val="21"/>
        </w:rPr>
        <w:t>Six-stage development plan moving from schema definition to offline recovery testing.</w:t>
      </w:r>
    </w:p>
    <w:p>
      <w:pPr>
        <w:pStyle w:val="Heading2"/>
        <w:spacing w:before="240" w:after="80"/>
      </w:pPr>
      <w:r>
        <w:rPr>
          <w:rFonts w:ascii="Times New Roman" w:hAnsi="Times New Roman"/>
          <w:b/>
          <w:color w:val="1F2937"/>
          <w:sz w:val="24"/>
        </w:rPr>
        <w:t>Appendix K. Risk Model Calibration and Sensitivity Protocol</w:t>
      </w:r>
    </w:p>
    <w:p>
      <w:pPr>
        <w:spacing w:after="80" w:line="276" w:lineRule="auto"/>
      </w:pPr>
      <w:r>
        <w:rPr>
          <w:rFonts w:ascii="Times New Roman" w:hAnsi="Times New Roman"/>
          <w:sz w:val="21"/>
        </w:rPr>
        <w:t>Outlines protocols for probability calibration, weight sensitivity testing, and subgroup evaluations.</w:t>
      </w:r>
    </w:p>
    <w:p>
      <w:pPr>
        <w:pStyle w:val="Heading2"/>
        <w:spacing w:before="240" w:after="80"/>
      </w:pPr>
      <w:r>
        <w:rPr>
          <w:rFonts w:ascii="Times New Roman" w:hAnsi="Times New Roman"/>
          <w:b/>
          <w:color w:val="1F2937"/>
          <w:sz w:val="24"/>
        </w:rPr>
        <w:t>Appendix L. Failure Mode and Effects Analysis (FMEA)</w:t>
      </w:r>
    </w:p>
    <w:p>
      <w:pPr>
        <w:spacing w:after="80" w:line="276" w:lineRule="auto"/>
      </w:pPr>
      <w:r>
        <w:rPr>
          <w:rFonts w:ascii="Times New Roman" w:hAnsi="Times New Roman"/>
          <w:sz w:val="21"/>
        </w:rPr>
        <w:t>Analyzes failure modes across identity, metadata, policy cache, model timeouts, and audit storage.</w:t>
      </w:r>
    </w:p>
    <w:p>
      <w:pPr>
        <w:pStyle w:val="Heading2"/>
        <w:spacing w:before="240" w:after="80"/>
      </w:pPr>
      <w:r>
        <w:rPr>
          <w:rFonts w:ascii="Times New Roman" w:hAnsi="Times New Roman"/>
          <w:b/>
          <w:color w:val="1F2937"/>
          <w:sz w:val="24"/>
        </w:rPr>
        <w:t>Appendix M. Privacy Impact Assessment (PIA) Checklist</w:t>
      </w:r>
    </w:p>
    <w:p>
      <w:pPr>
        <w:spacing w:after="80" w:line="276" w:lineRule="auto"/>
      </w:pPr>
      <w:r>
        <w:rPr>
          <w:rFonts w:ascii="Times New Roman" w:hAnsi="Times New Roman"/>
          <w:sz w:val="21"/>
        </w:rPr>
        <w:t>Structured questionnaire covering data necessity, proportionality, residual risk, and periodic re-assessment.</w:t>
      </w:r>
    </w:p>
    <w:p>
      <w:pPr>
        <w:pStyle w:val="Heading2"/>
        <w:spacing w:before="240" w:after="80"/>
      </w:pPr>
      <w:r>
        <w:rPr>
          <w:rFonts w:ascii="Times New Roman" w:hAnsi="Times New Roman"/>
          <w:b/>
          <w:color w:val="1F2937"/>
          <w:sz w:val="24"/>
        </w:rPr>
        <w:t>Appendix N. Experimental Result Reporting Template</w:t>
      </w:r>
    </w:p>
    <w:p>
      <w:pPr>
        <w:spacing w:after="80" w:line="276" w:lineRule="auto"/>
      </w:pPr>
      <w:r>
        <w:rPr>
          <w:rFonts w:ascii="Times New Roman" w:hAnsi="Times New Roman"/>
          <w:sz w:val="21"/>
        </w:rPr>
        <w:t>Standard reporting schema recording run IDs, configurations, confusion matrices, and plain-language interpretations.</w:t>
      </w:r>
    </w:p>
    <w:p>
      <w:pPr>
        <w:pStyle w:val="Heading2"/>
        <w:spacing w:before="240" w:after="80"/>
      </w:pPr>
      <w:r>
        <w:rPr>
          <w:rFonts w:ascii="Times New Roman" w:hAnsi="Times New Roman"/>
          <w:b/>
          <w:color w:val="1F2937"/>
          <w:sz w:val="24"/>
        </w:rPr>
        <w:t>Appendix O. Operations, Incident Response, and Recovery</w:t>
      </w:r>
    </w:p>
    <w:p>
      <w:pPr>
        <w:spacing w:after="80" w:line="276" w:lineRule="auto"/>
      </w:pPr>
      <w:r>
        <w:rPr>
          <w:rFonts w:ascii="Times New Roman" w:hAnsi="Times New Roman"/>
          <w:sz w:val="21"/>
        </w:rPr>
        <w:t>Operational protocols for daily monitoring, security containment, credential rotation, and post-incident lessons learned.</w:t>
      </w:r>
    </w:p>
    <w:p>
      <w:r>
        <w:br w:type="page"/>
      </w:r>
    </w:p>
    <w:p>
      <w:pPr>
        <w:pStyle w:val="Heading1"/>
        <w:spacing w:before="240" w:after="80"/>
      </w:pPr>
      <w:r>
        <w:rPr>
          <w:rFonts w:ascii="Times New Roman" w:hAnsi="Times New Roman"/>
          <w:b/>
          <w:color w:val="B45309"/>
          <w:sz w:val="28"/>
        </w:rPr>
        <w:t>References</w:t>
      </w:r>
    </w:p>
    <w:p>
      <w:pPr>
        <w:spacing w:after="60" w:line="276" w:lineRule="auto"/>
      </w:pPr>
      <w:r>
        <w:rPr>
          <w:rFonts w:ascii="Times New Roman" w:hAnsi="Times New Roman"/>
          <w:sz w:val="21"/>
        </w:rPr>
        <w:t>[1] A. Rodríguez, B. Otero, and R. Canal, “A survey of machine and deep learning methods for privacy protection in the Internet of Things,” Sensors, vol. 23, no. 3, Art. no. 1252, 2023, doi: 10.3390/s23031252.</w:t>
      </w:r>
    </w:p>
    <w:p>
      <w:pPr>
        <w:spacing w:after="60" w:line="276" w:lineRule="auto"/>
      </w:pPr>
      <w:r>
        <w:rPr>
          <w:rFonts w:ascii="Times New Roman" w:hAnsi="Times New Roman"/>
          <w:sz w:val="21"/>
        </w:rPr>
        <w:t>[2] G. Giordano, F. Palomba, and F. Ferrucci, “On the use of artificial intelligence to deal with privacy in IoT systems: A systematic literature review,” Journal of Systems and Software, vol. 193, Art. no. 111475, 2022, doi: 10.1016/j.jss.2022.111475.</w:t>
      </w:r>
    </w:p>
    <w:p>
      <w:pPr>
        <w:spacing w:after="60" w:line="276" w:lineRule="auto"/>
      </w:pPr>
      <w:r>
        <w:rPr>
          <w:rFonts w:ascii="Times New Roman" w:hAnsi="Times New Roman"/>
          <w:sz w:val="21"/>
        </w:rPr>
        <w:t>[3] I. Kok, F. Y. Okay, O. Muyanli, and S. Ozdemir, “Explainable artificial intelligence (XAI) for Internet of Things: A survey,” IEEE Internet of Things Journal, vol. 10, no. 16, pp. 14764–14779, 2023, doi: 10.1109/JIOT.2023.3287678.</w:t>
      </w:r>
    </w:p>
    <w:p>
      <w:pPr>
        <w:spacing w:after="60" w:line="276" w:lineRule="auto"/>
      </w:pPr>
      <w:r>
        <w:rPr>
          <w:rFonts w:ascii="Times New Roman" w:hAnsi="Times New Roman"/>
          <w:sz w:val="21"/>
        </w:rPr>
        <w:t>[4] A. Alwarafy, K. A. Al-Thelaya, M. Abdallah, J. Schneider, and M. Hamdi, “A survey on security and privacy issues in edge-computing-assisted Internet of Things,” IEEE Internet of Things Journal, vol. 8, no. 6, pp. 4004–4022, 2021, doi: 10.1109/JIOT.2020.3015432.</w:t>
      </w:r>
    </w:p>
    <w:p>
      <w:pPr>
        <w:spacing w:after="60" w:line="276" w:lineRule="auto"/>
      </w:pPr>
      <w:r>
        <w:rPr>
          <w:rFonts w:ascii="Times New Roman" w:hAnsi="Times New Roman"/>
          <w:sz w:val="21"/>
        </w:rPr>
        <w:t>[5] D. C. Nguyen, M. Ding, P. N. Pathirana, A. Seneviratne, J. Li, and H. V. Poor, “Federated learning for Internet of Things: A comprehensive survey,” IEEE Communications Surveys &amp; Tutorials, vol. 23, no. 3, pp. 1622–1658, 2021, doi: 10.1109/COMST.2021.3075439.</w:t>
      </w:r>
    </w:p>
    <w:p>
      <w:pPr>
        <w:spacing w:after="60" w:line="276" w:lineRule="auto"/>
      </w:pPr>
      <w:r>
        <w:rPr>
          <w:rFonts w:ascii="Times New Roman" w:hAnsi="Times New Roman"/>
          <w:sz w:val="21"/>
        </w:rPr>
        <w:t>[6] T. Zhang, L. Gao, C. He, M. Zhang, B. Krishnamachari, and A. S. Avestimehr, “Federated learning for the Internet of Things: Applications, challenges, and opportunities,” IEEE Internet of Things Magazine, vol. 5, no. 1, pp. 24–29, 2022, doi: 10.1109/IOTM.004.2100182.</w:t>
      </w:r>
    </w:p>
    <w:p>
      <w:pPr>
        <w:spacing w:after="60" w:line="276" w:lineRule="auto"/>
      </w:pPr>
      <w:r>
        <w:rPr>
          <w:rFonts w:ascii="Times New Roman" w:hAnsi="Times New Roman"/>
          <w:sz w:val="21"/>
        </w:rPr>
        <w:t>[7] M. A. Husnoo, A. Anwar, R. K. Chakrabortty, R. Doss, and M. J. Ryan, “Differential privacy for IoT-enabled critical infrastructure: A comprehensive survey,” IEEE Access, vol. 9, pp. 153276–153304, 2021, doi: 10.1109/ACCESS.2021.3124309.</w:t>
      </w:r>
    </w:p>
    <w:p>
      <w:pPr>
        <w:spacing w:after="60" w:line="276" w:lineRule="auto"/>
      </w:pPr>
      <w:r>
        <w:rPr>
          <w:rFonts w:ascii="Times New Roman" w:hAnsi="Times New Roman"/>
          <w:sz w:val="21"/>
        </w:rPr>
        <w:t>[8] M. Laroui, B. Nour, H. Moungla, M. A. Cherif, H. Afifi, and M. Guizani, “Edge and fog computing for IoT: A survey on current research activities &amp; future directions,” Computer Communications, vol. 180, pp. 210–231, 2021, doi: 10.1016/j.comcom.2021.09.003.</w:t>
      </w:r>
    </w:p>
    <w:p>
      <w:pPr>
        <w:spacing w:after="60" w:line="276" w:lineRule="auto"/>
      </w:pPr>
      <w:r>
        <w:rPr>
          <w:rFonts w:ascii="Times New Roman" w:hAnsi="Times New Roman"/>
          <w:sz w:val="21"/>
        </w:rPr>
        <w:t>[9] E. Fazeldehkordi and T.-M. Grønli, “A survey of security architectures for edge computing-based IoT,” IoT, vol. 3, no. 3, pp. 332–365, 2022, doi: 10.3390/iot3030019.</w:t>
      </w:r>
    </w:p>
    <w:p>
      <w:pPr>
        <w:spacing w:after="60" w:line="276" w:lineRule="auto"/>
      </w:pPr>
      <w:r>
        <w:rPr>
          <w:rFonts w:ascii="Times New Roman" w:hAnsi="Times New Roman"/>
          <w:sz w:val="21"/>
        </w:rPr>
        <w:t>[10] L. Kong et al., “Edge-computing-driven Internet of Things: A survey,” ACM Computing Surveys, vol. 55, no. 8, Art. no. 174, 2023, doi: 10.1145/3555308.</w:t>
      </w:r>
    </w:p>
    <w:p>
      <w:pPr>
        <w:spacing w:after="60" w:line="276" w:lineRule="auto"/>
      </w:pPr>
      <w:r>
        <w:rPr>
          <w:rFonts w:ascii="Times New Roman" w:hAnsi="Times New Roman"/>
          <w:sz w:val="21"/>
        </w:rPr>
        <w:t>[11] H. Li, L. Ge, and L. Tian, “Survey: Federated learning data security and privacy-preserving in edge-Internet of Things,” Artificial Intelligence Review, vol. 57, Art. no. 130, 2024, doi: 10.1007/s10462-024-10774-7.</w:t>
      </w:r>
    </w:p>
    <w:p>
      <w:pPr>
        <w:spacing w:after="60" w:line="276" w:lineRule="auto"/>
      </w:pPr>
      <w:r>
        <w:rPr>
          <w:rFonts w:ascii="Times New Roman" w:hAnsi="Times New Roman"/>
          <w:sz w:val="21"/>
        </w:rPr>
        <w:t>[12] D. T. Aga, R. Chintanippu, R. A. Mowri, and M. Siddula, “Exploring secure and private data aggregation techniques for the Internet of Things: A comprehensive review,” Discover Internet of Things, vol. 4, Art. no. 28, 2024, doi: 10.1007/s43926-024-00064-7.</w:t>
      </w:r>
    </w:p>
    <w:p>
      <w:pPr>
        <w:spacing w:after="60" w:line="276" w:lineRule="auto"/>
      </w:pPr>
      <w:r>
        <w:rPr>
          <w:rFonts w:ascii="Times New Roman" w:hAnsi="Times New Roman"/>
          <w:sz w:val="21"/>
        </w:rPr>
        <w:t>[13] S. F. Ahmed, M. S. B. Alam, S. Afrin, S. J. Rafa, S. B. Taher, M. Kabir, S. M. Muyeen, and A. H. Gandomi, “Toward a secure 5G-enabled Internet of Things: A survey on requirements, privacy, security, challenges, and opportunities,” IEEE Access, vol. 12, pp. 13125–13145, 2024, doi: 10.1109/ACCESS.2024.3352508.</w:t>
      </w:r>
    </w:p>
    <w:p>
      <w:pPr>
        <w:spacing w:after="60" w:line="276" w:lineRule="auto"/>
      </w:pPr>
      <w:r>
        <w:rPr>
          <w:rFonts w:ascii="Times New Roman" w:hAnsi="Times New Roman"/>
          <w:sz w:val="21"/>
        </w:rPr>
        <w:t>[14] M. Adam, M. Hammoudeh, R. Alrawashdeh, and B. Alsulaimy, “A survey on security, privacy, trust, and architectural challenges in IoT systems,” IEEE Access, vol. 12, pp. 57128–57149, 2024, doi: 10.1109/ACCESS.2024.3382709.</w:t>
      </w:r>
    </w:p>
    <w:p>
      <w:pPr>
        <w:spacing w:after="60" w:line="276" w:lineRule="auto"/>
      </w:pPr>
      <w:r>
        <w:rPr>
          <w:rFonts w:ascii="Times New Roman" w:hAnsi="Times New Roman"/>
          <w:sz w:val="21"/>
        </w:rPr>
        <w:t>[15] M. Venkatasubramanian, A. H. Lashkari, and S. Hakak, “IoT malware analysis using federated learning: A comprehensive survey,” IEEE Access, vol. 11, pp. 5004–5018, 2023, doi: 10.1109/ACCESS.2023.3235389.</w:t>
      </w:r>
    </w:p>
    <w:p>
      <w:pPr>
        <w:spacing w:after="60" w:line="276" w:lineRule="auto"/>
      </w:pPr>
      <w:r>
        <w:rPr>
          <w:rFonts w:ascii="Times New Roman" w:hAnsi="Times New Roman"/>
          <w:sz w:val="21"/>
        </w:rPr>
        <w:t>[16] H. C. Neto et al., “A survey on securing federated learning: Analysis of applications, attacks, challenges, and trends,” IEEE Access, vol. 11, pp. 41928–41953, 2023, doi: 10.1109/ACCESS.2023.3269980.</w:t>
      </w:r>
    </w:p>
    <w:p>
      <w:pPr>
        <w:spacing w:after="60" w:line="276" w:lineRule="auto"/>
      </w:pPr>
      <w:r>
        <w:rPr>
          <w:rFonts w:ascii="Times New Roman" w:hAnsi="Times New Roman"/>
          <w:sz w:val="21"/>
        </w:rPr>
        <w:t>[17] G. Xia, J. Chen, C. Yu, and J. Ma, “Poisoning attacks in federated learning: A survey,” IEEE Access, vol. 11, pp. 10708–10722, 2023, doi: 10.1109/ACCESS.2023.3238823.</w:t>
      </w:r>
    </w:p>
    <w:p>
      <w:pPr>
        <w:spacing w:after="60" w:line="276" w:lineRule="auto"/>
      </w:pPr>
      <w:r>
        <w:rPr>
          <w:rFonts w:ascii="Times New Roman" w:hAnsi="Times New Roman"/>
          <w:sz w:val="21"/>
        </w:rPr>
        <w:t>[18] Y. Zhao, J. Zhao, M. Yang et al., “Local differential privacy-based federated learning for Internet of Things,” IEEE Internet of Things Journal, vol. 8, no. 11, pp. 8836–8853, 2021, doi: 10.1109/JIOT.2020.3037194.</w:t>
      </w:r>
    </w:p>
    <w:p>
      <w:pPr>
        <w:spacing w:after="60" w:line="276" w:lineRule="auto"/>
      </w:pPr>
      <w:r>
        <w:rPr>
          <w:rFonts w:ascii="Times New Roman" w:hAnsi="Times New Roman"/>
          <w:sz w:val="21"/>
        </w:rPr>
        <w:t>[19] I. Zhou, F. Tofigh, M. Piccardi, M. Abolhasan, D. Franklin, and J. Lipman, “Secure multi-party computation for machine learning: A survey,” IEEE Access, vol. 12, pp. 53881–53899, 2024, doi: 10.1109/ACCESS.2024.3388992.</w:t>
      </w:r>
    </w:p>
    <w:p>
      <w:pPr>
        <w:spacing w:after="60" w:line="276" w:lineRule="auto"/>
      </w:pPr>
      <w:r>
        <w:rPr>
          <w:rFonts w:ascii="Times New Roman" w:hAnsi="Times New Roman"/>
          <w:sz w:val="21"/>
        </w:rPr>
        <w:t>[20] R. Yang, T. Zhao, F. R. Yu, M. Li, D. Zhang, and X. Zhao, “Blockchain-based federated learning with enhanced privacy and security using homomorphic encryption and reputation,” IEEE Internet of Things Journal, vol. 11, no. 12, pp. 21674–21688, 2024, doi: 10.1109/JIOT.2024.3379395.</w:t>
      </w:r>
    </w:p>
    <w:p>
      <w:pPr>
        <w:spacing w:after="60" w:line="276" w:lineRule="auto"/>
      </w:pPr>
      <w:r>
        <w:rPr>
          <w:rFonts w:ascii="Times New Roman" w:hAnsi="Times New Roman"/>
          <w:sz w:val="21"/>
        </w:rPr>
        <w:t>[21] S. Almutairi and A. Barnawi, “Federated learning vulnerabilities, threats and defenses: A systematic review and future directions,” Internet of Things, vol. 24, Art. no. 100947, 2023, doi: 10.1016/j.iot.2023.100947.</w:t>
      </w:r>
    </w:p>
    <w:p>
      <w:pPr>
        <w:spacing w:after="60" w:line="276" w:lineRule="auto"/>
      </w:pPr>
      <w:r>
        <w:rPr>
          <w:rFonts w:ascii="Times New Roman" w:hAnsi="Times New Roman"/>
          <w:sz w:val="21"/>
        </w:rPr>
        <w:t>[22] T. Li, X. He, S. Jiang, and J. Liu, “A survey of privacy-preserving offloading methods in mobile-edge computing,” Journal of Network and Computer Applications, vol. 203, Art. no. 103395, 2022, doi: 10.1016/j.jnca.2022.103395.</w:t>
      </w:r>
    </w:p>
    <w:p>
      <w:pPr>
        <w:spacing w:after="60" w:line="276" w:lineRule="auto"/>
      </w:pPr>
      <w:r>
        <w:rPr>
          <w:rFonts w:ascii="Times New Roman" w:hAnsi="Times New Roman"/>
          <w:sz w:val="21"/>
        </w:rPr>
        <w:t>[23] A. D. Kounoudes and G. M. Kapitsaki, “A mapping of IoT user-centric privacy preserving approaches to the GDPR,” Internet of Things, vol. 11, Art. no. 100179, 2020, doi: 10.1016/j.iot.2020.100179.</w:t>
      </w:r>
    </w:p>
    <w:p>
      <w:pPr>
        <w:spacing w:after="60" w:line="276" w:lineRule="auto"/>
      </w:pPr>
      <w:r>
        <w:rPr>
          <w:rFonts w:ascii="Times New Roman" w:hAnsi="Times New Roman"/>
          <w:sz w:val="21"/>
        </w:rPr>
        <w:t>[24] A. Vyas, S. Lin, J. Hwang, and N. Tripathi, “Privacy-preserving federated learning for intrusion detection in IoT environments: A survey,” IEEE Access, vol. 12, pp. 127018–127050, 2024, doi: 10.1109/ACCESS.2024.3454211.</w:t>
      </w:r>
    </w:p>
    <w:p>
      <w:pPr>
        <w:spacing w:after="60" w:line="276" w:lineRule="auto"/>
      </w:pPr>
      <w:r>
        <w:rPr>
          <w:rFonts w:ascii="Times New Roman" w:hAnsi="Times New Roman"/>
          <w:sz w:val="21"/>
        </w:rPr>
        <w:t>[25] T. M. M. Mengistu, T. Kim, and J.-W. Lin, “A survey on heterogeneity taxonomy, security and privacy preservation in the integration of IoT, wireless sensor networks and federated learning,” Sensors, vol. 24, no. 3, Art. no. 968, 2024, doi: 10.3390/s24030968.</w:t>
      </w:r>
    </w:p>
    <w:p>
      <w:pPr>
        <w:spacing w:after="60" w:line="276" w:lineRule="auto"/>
      </w:pPr>
      <w:r>
        <w:rPr>
          <w:rFonts w:ascii="Times New Roman" w:hAnsi="Times New Roman"/>
          <w:sz w:val="21"/>
        </w:rPr>
        <w:t>[26] Z. Xu and W. Liu, “Artificial intelligence for securing IoT services in edge computing: A survey,” Security and Communication Networks, vol. 2020, Art. no. 8872586, 2020, doi: 10.1155/2020/8872586.</w:t>
      </w:r>
    </w:p>
    <w:p>
      <w:pPr>
        <w:spacing w:after="60" w:line="276" w:lineRule="auto"/>
      </w:pPr>
      <w:r>
        <w:rPr>
          <w:rFonts w:ascii="Times New Roman" w:hAnsi="Times New Roman"/>
          <w:sz w:val="21"/>
        </w:rPr>
        <w:t>[27] A. Saleem et al., “A comprehensive systematic survey of IoT protocols: Implications for data quality and performance,” IEEE Access, vol. 13, pp. 196206–196235, 2024, doi: 10.1109/ACCESS.2024.3486927.</w:t>
      </w:r>
    </w:p>
    <w:p>
      <w:pPr>
        <w:spacing w:after="60" w:line="276" w:lineRule="auto"/>
      </w:pPr>
      <w:r>
        <w:rPr>
          <w:rFonts w:ascii="Times New Roman" w:hAnsi="Times New Roman"/>
          <w:sz w:val="21"/>
        </w:rPr>
        <w:t>[28] O. Ben Atia et al., “Securing federated learning in IoT: A survey of attacks, defenses, and frameworks,” IEEE Internet of Things Journal, vol. 12, no. 22, pp. 47163–47190, 2025, doi: 10.1109/JIOT.2025.3600617.</w:t>
      </w:r>
    </w:p>
    <w:p>
      <w:pPr>
        <w:spacing w:after="60" w:line="276" w:lineRule="auto"/>
      </w:pPr>
      <w:r>
        <w:rPr>
          <w:rFonts w:ascii="Times New Roman" w:hAnsi="Times New Roman"/>
          <w:sz w:val="21"/>
        </w:rPr>
        <w:t>[29] P. Naithani, “Analysis of India’s Digital Personal Data Protection Act, 2023,” International Journal of Law and Management, vol. 67, no. 5, pp. 543–553, 2024, doi: 10.1108/IJLMA-05-2024-0174.</w:t>
      </w:r>
    </w:p>
    <w:p>
      <w:pPr>
        <w:spacing w:after="60" w:line="276" w:lineRule="auto"/>
      </w:pPr>
      <w:r>
        <w:rPr>
          <w:rFonts w:ascii="Times New Roman" w:hAnsi="Times New Roman"/>
          <w:sz w:val="21"/>
        </w:rPr>
        <w:t>[30] M. U. Hassan, M. H. Rehmani, and J. Chen, “Differential privacy techniques for cyber physical systems: A survey,” IEEE Communications Surveys &amp; Tutorials, vol. 22, no. 1, pp. 746–789, 2020, doi: 10.1109/COMST.2019.2944748.</w:t>
      </w:r>
    </w:p>
    <w:p>
      <w:pPr>
        <w:spacing w:after="60" w:line="276" w:lineRule="auto"/>
      </w:pPr>
      <w:r>
        <w:rPr>
          <w:rFonts w:ascii="Times New Roman" w:hAnsi="Times New Roman"/>
          <w:sz w:val="21"/>
        </w:rPr>
        <w:t>[31] O. Aouedi, T.-H. Vu, A. Sacco, D. C. Nguyen, K. Piamrat, G. Marchetto, and Q.-V. Pham, “A survey on intelligent Internet of Things: Applications, security, privacy, and future directions,” IEEE Communications Surveys &amp; Tutorials, vol. 27, no. 2, pp. 1238–1292, 2025, doi: 10.1109/COMST.2024.3430368.</w:t>
      </w:r>
    </w:p>
    <w:p>
      <w:pPr>
        <w:spacing w:after="60" w:line="276" w:lineRule="auto"/>
      </w:pPr>
      <w:r>
        <w:rPr>
          <w:rFonts w:ascii="Times New Roman" w:hAnsi="Times New Roman"/>
          <w:sz w:val="21"/>
        </w:rPr>
        <w:t>[32] A. S. M. Kayes et al., “Safeguarding individuals and organizations from privacy breaches: A comprehensive review of problem domains, solution strategies, and prospective research directions,” IEEE Internet of Things Journal, vol. 12, no. 2, pp. 1247–1265, 2025, doi: 10.1109/JIOT.2024.3481316.</w:t>
      </w:r>
    </w:p>
    <w:p>
      <w:pPr>
        <w:spacing w:after="60" w:line="276" w:lineRule="auto"/>
      </w:pPr>
      <w:r>
        <w:rPr>
          <w:rFonts w:ascii="Times New Roman" w:hAnsi="Times New Roman"/>
          <w:sz w:val="21"/>
        </w:rPr>
        <w:t>[33] M. M. Ogonji, G. Okeyo, and J. M. Wafula, “A survey on privacy and security of Internet of Things,” Computer Science Review, vol. 38, Art. no. 100312, 2020, doi: 10.1016/j.cosrev.2020.100312.</w:t>
      </w:r>
    </w:p>
    <w:p>
      <w:pPr>
        <w:spacing w:after="60" w:line="276" w:lineRule="auto"/>
      </w:pPr>
      <w:r>
        <w:rPr>
          <w:rFonts w:ascii="Times New Roman" w:hAnsi="Times New Roman"/>
          <w:sz w:val="21"/>
        </w:rPr>
        <w:t>[34] K. Boeckl and N. Lefkovitz, NIST Privacy Framework: A Tool for Improving Privacy Through Enterprise Risk Management, Version 1.0, NIST CSWP 10, 2020, doi: 10.6028/NIST.CSWP.01162020.</w:t>
      </w:r>
    </w:p>
    <w:p>
      <w:pPr>
        <w:spacing w:after="60" w:line="276" w:lineRule="auto"/>
      </w:pPr>
      <w:r>
        <w:rPr>
          <w:rFonts w:ascii="Times New Roman" w:hAnsi="Times New Roman"/>
          <w:sz w:val="21"/>
        </w:rPr>
        <w:t>[35] National Institute of Standards and Technology, Artificial Intelligence Risk Management Framework (AI RMF 1.0), NIST AI 100-1, 2023, doi: 10.6028/NIST.AI.100-1.</w:t>
      </w:r>
    </w:p>
    <w:p>
      <w:pPr>
        <w:spacing w:after="60" w:line="276" w:lineRule="auto"/>
      </w:pPr>
      <w:r>
        <w:rPr>
          <w:rFonts w:ascii="Times New Roman" w:hAnsi="Times New Roman"/>
          <w:sz w:val="21"/>
        </w:rPr>
        <w:t>[36] M. J. Fagan, K. N. Megas, K. Scarfone, and M. Smith, IoT Device Cybersecurity Capability Core Baseline, NISTIR 8259A, 2020, doi: 10.6028/NIST.IR.8259A.</w:t>
      </w:r>
    </w:p>
    <w:p>
      <w:pPr>
        <w:spacing w:after="60" w:line="276" w:lineRule="auto"/>
      </w:pPr>
      <w:r>
        <w:rPr>
          <w:rFonts w:ascii="Times New Roman" w:hAnsi="Times New Roman"/>
          <w:sz w:val="21"/>
        </w:rPr>
        <w:t>[37] European Parliament and Council of the European Union, “Regulation (EU) 2016/679 (General Data Protection Regulation),” Official Journal of the European Union, 2016.</w:t>
      </w:r>
    </w:p>
    <w:p>
      <w:pPr>
        <w:spacing w:after="60" w:line="276" w:lineRule="auto"/>
      </w:pPr>
      <w:r>
        <w:rPr>
          <w:rFonts w:ascii="Times New Roman" w:hAnsi="Times New Roman"/>
          <w:sz w:val="21"/>
        </w:rPr>
        <w:t>[38] European Parliament and Council of the European Union, “Regulation (EU) 2024/1689 laying down harmonised rules on artificial intelligence (Artificial Intelligence Act),” Official Journal of the European Union, 2024.</w:t>
      </w:r>
    </w:p>
    <w:p>
      <w:pPr>
        <w:spacing w:after="60" w:line="276" w:lineRule="auto"/>
      </w:pPr>
      <w:r>
        <w:rPr>
          <w:rFonts w:ascii="Times New Roman" w:hAnsi="Times New Roman"/>
          <w:sz w:val="21"/>
        </w:rPr>
        <w:t>[39] Government of India, “Digital Personal Data Protection Act, 2023,” Act No. 22 of 2023, Gazette of India, 2023.</w:t>
      </w:r>
    </w:p>
    <w:p>
      <w:pPr>
        <w:spacing w:after="60" w:line="276" w:lineRule="auto"/>
      </w:pPr>
      <w:r>
        <w:rPr>
          <w:rFonts w:ascii="Times New Roman" w:hAnsi="Times New Roman"/>
          <w:sz w:val="21"/>
        </w:rPr>
        <w:t>[40] Ministry of Electronics and Information Technology, Government of India, “Digital Personal Data Protection Rules, 2025,” notified 14 November 2025, with corrigendum dated 16 December 2025.</w:t>
      </w:r>
    </w:p>
    <w:p>
      <w:pPr>
        <w:spacing w:after="60" w:line="276" w:lineRule="auto"/>
      </w:pPr>
      <w:r>
        <w:rPr>
          <w:rFonts w:ascii="Times New Roman" w:hAnsi="Times New Roman"/>
          <w:sz w:val="21"/>
        </w:rPr>
        <w:t>[41] Organisation for Economic Co-operation and Development, “OECD AI Principles,” updated 2024.</w:t>
      </w:r>
    </w:p>
    <w:p>
      <w:pPr>
        <w:spacing w:after="60" w:line="276" w:lineRule="auto"/>
      </w:pPr>
      <w:r>
        <w:rPr>
          <w:rFonts w:ascii="Times New Roman" w:hAnsi="Times New Roman"/>
          <w:sz w:val="21"/>
        </w:rPr>
        <w:t>[42] P. Sun, Y. Wan, Z. Wu, Z. Fang, and Q. Li, “A survey on privacy and security issues in IoT-based environments: Technologies, protection measures and future directions,” Computers &amp; Security, vol. 148, Art. no. 104097, Jan. 2025, doi: 10.1016/j.cose.2024.104097.</w:t>
      </w:r>
    </w:p>
    <w:p>
      <w:pPr>
        <w:spacing w:after="60" w:line="276" w:lineRule="auto"/>
      </w:pPr>
      <w:r>
        <w:rPr>
          <w:rFonts w:ascii="Times New Roman" w:hAnsi="Times New Roman"/>
          <w:sz w:val="21"/>
        </w:rPr>
        <w:t>[43] A. Marengo, “Navigating the nexus of AI and IoT: A comprehensive review of data analytics and privacy paradigms,” Internet of Things, vol. 27, Art. no. 101318, Oct. 2024, doi: 10.1016/j.iot.2024.101318.</w:t>
      </w:r>
    </w:p>
    <w:p>
      <w:pPr>
        <w:spacing w:after="60" w:line="276" w:lineRule="auto"/>
      </w:pPr>
      <w:r>
        <w:rPr>
          <w:rFonts w:ascii="Times New Roman" w:hAnsi="Times New Roman"/>
          <w:sz w:val="21"/>
        </w:rPr>
        <w:t>[44] “Enhancing IoT privacy with artificial intelligence: Recent advances and future directions,” Internet of Things, vol. 34, Art. no. 101752, Nov. 2025.</w:t>
      </w:r>
    </w:p>
    <w:p>
      <w:pPr>
        <w:spacing w:after="60" w:line="276" w:lineRule="auto"/>
      </w:pPr>
      <w:r>
        <w:rPr>
          <w:rFonts w:ascii="Times New Roman" w:hAnsi="Times New Roman"/>
          <w:sz w:val="21"/>
        </w:rPr>
        <w:t>[45] J. Moss, J. Gordon, W. Duclos, Y. Liu, Q. Wang, and J. Wang, “Explainable AI in IoT: A survey of challenges, advancements, and pathways to trustworthy automation,” Electronics, vol. 14, no. 23, Art. no. 4622, 2025, doi: 10.3390/electronics14234622.</w:t>
      </w:r>
    </w:p>
    <w:p>
      <w:pPr>
        <w:spacing w:after="60" w:line="276" w:lineRule="auto"/>
      </w:pPr>
      <w:r>
        <w:rPr>
          <w:rFonts w:ascii="Times New Roman" w:hAnsi="Times New Roman"/>
          <w:sz w:val="21"/>
        </w:rPr>
        <w:t>[46] R. Kaur, T. Rodrigues, N. Kadir, and R. Kashef, “A survey on privacy preservation techniques in IoT systems,” Sensors, vol. 25, no. 22, Art. no. 6967, 2025, doi: 10.3390/s25226967.</w:t>
      </w:r>
    </w:p>
    <w:p>
      <w:pPr>
        <w:spacing w:after="60" w:line="276" w:lineRule="auto"/>
      </w:pPr>
      <w:r>
        <w:rPr>
          <w:rFonts w:ascii="Times New Roman" w:hAnsi="Times New Roman"/>
          <w:sz w:val="21"/>
        </w:rPr>
        <w:t>[47] M. Gheisari, G. Wang, and S. Chen, “An edge computing-enhanced Internet of Things framework for privacy-preserving in smart city,” Computers &amp; Electrical Engineering, vol. 81, Art. no. 106504, 2020, doi: 10.1016/j.compeleceng.2019.106504.</w:t>
      </w:r>
    </w:p>
    <w:p>
      <w:pPr>
        <w:spacing w:after="60" w:line="276" w:lineRule="auto"/>
      </w:pPr>
      <w:r>
        <w:rPr>
          <w:rFonts w:ascii="Times New Roman" w:hAnsi="Times New Roman"/>
          <w:sz w:val="21"/>
        </w:rPr>
        <w:t>[48] V. Mothukuri, R. M. Parizi, S. Pouriyeh, Y. Huang, A. Dehghantanha, and G. Srivastava, “A survey on security and privacy of federated learning,” Future Generation Computer Systems, vol. 115, pp. 619–640, 2021, doi: 10.1016/j.future.2020.10.007.</w:t>
      </w:r>
    </w:p>
    <w:p>
      <w:pPr>
        <w:spacing w:after="60" w:line="276" w:lineRule="auto"/>
      </w:pPr>
      <w:r>
        <w:rPr>
          <w:rFonts w:ascii="Times New Roman" w:hAnsi="Times New Roman"/>
          <w:sz w:val="21"/>
        </w:rPr>
        <w:t>[49] F. Mosaiyebzadeh, S. Pouriyeh, R. M. Parizi, Q. Z. Sheng, M. Han, L. Zhao, G. Sannino, and D. M. Batista, “Privacy-enhancing technologies in federated learning for the Internet of Healthcare Things: A survey,” Electronics, vol. 12, no. 12, Art. no. 2703, 2023, doi: 10.3390/electronics12122703.</w:t>
      </w:r>
    </w:p>
    <w:p>
      <w:pPr>
        <w:spacing w:after="60" w:line="276" w:lineRule="auto"/>
      </w:pPr>
      <w:r>
        <w:rPr>
          <w:rFonts w:ascii="Times New Roman" w:hAnsi="Times New Roman"/>
          <w:sz w:val="21"/>
        </w:rPr>
        <w:t>[50] A. Coiduras-Sanagustín, E. Manchado-Pérez, and C. García-Hernández, “Understanding perspectives for product design on personal data privacy in Internet of Things (IoT): A systematic literature review,” Heliyon, vol. 10, no. 9, Art. no. e30357, 2024, doi: 10.1016/j.heliyon.2024.e30357.</w:t>
      </w:r>
    </w:p>
    <w:p>
      <w:pPr>
        <w:spacing w:after="60" w:line="276" w:lineRule="auto"/>
      </w:pPr>
      <w:r>
        <w:rPr>
          <w:rFonts w:ascii="Times New Roman" w:hAnsi="Times New Roman"/>
          <w:sz w:val="21"/>
        </w:rPr>
        <w:t>[51] S. Salim, N. Moustafa, and B. Turnbull, “Privacy preservation of Internet of Things-integrated social networks: A survey and future challenges,” International Journal of Web Information Systems, vol. 21, no. 4, pp. 372–431, 2025, doi: 10.1108/IJWIS-04-2024-0120.</w:t>
      </w:r>
    </w:p>
    <w:p>
      <w:pPr>
        <w:spacing w:after="60" w:line="276" w:lineRule="auto"/>
      </w:pPr>
      <w:r>
        <w:rPr>
          <w:rFonts w:ascii="Times New Roman" w:hAnsi="Times New Roman"/>
          <w:sz w:val="21"/>
        </w:rPr>
        <w:t>[52] M. H. Shirvani and M. Masdari, “A survey study on trust-based security in Internet of Things: Challenges and issues,” Internet of Things, vol. 21, Art. no. 100640, 2023, doi: 10.1016/j.iot.2022.100640.</w:t>
      </w:r>
    </w:p>
    <w:p>
      <w:pPr>
        <w:spacing w:after="60" w:line="276" w:lineRule="auto"/>
      </w:pPr>
      <w:r>
        <w:rPr>
          <w:rFonts w:ascii="Times New Roman" w:hAnsi="Times New Roman"/>
          <w:sz w:val="21"/>
        </w:rPr>
        <w:t>[53] A. Sharma, E. S. Pilli, A. P. Mazumdar, and P. Gera, “Towards trustworthy Internet of Things: A survey on trust management applications and schemes,” Computer Communications, vol. 160, pp. 475–493, 2020, doi: 10.1016/j.comcom.2020.06.030.</w:t>
      </w:r>
    </w:p>
    <w:p>
      <w:pPr>
        <w:spacing w:after="60" w:line="276" w:lineRule="auto"/>
      </w:pPr>
      <w:r>
        <w:rPr>
          <w:rFonts w:ascii="Times New Roman" w:hAnsi="Times New Roman"/>
          <w:sz w:val="21"/>
        </w:rPr>
        <w:t>[54] S. Alam, S. Zardari, S. Noor, S. Ahmed, and H. Mouratidis, “Trust management in Social Internet of Things (SIoT): A survey,” IEEE Access, vol. 10, pp. 108924–108954, 2022, doi: 10.1109/ACCESS.2022.3213699.</w:t>
      </w:r>
    </w:p>
    <w:p>
      <w:pPr>
        <w:spacing w:after="60" w:line="276" w:lineRule="auto"/>
      </w:pPr>
      <w:r>
        <w:rPr>
          <w:rFonts w:ascii="Times New Roman" w:hAnsi="Times New Roman"/>
          <w:sz w:val="21"/>
        </w:rPr>
        <w:t>[55] Z. Cheng, Y. Liu, C. Wu, Y. Pan, L. Zhao, X. Deng, and C. Zhu, “Decentralized IoT data sharing: A blockchain-based federated learning approach with joint optimizations for efficiency and privacy,” Future Generation Computer Systems, vol. 160, pp. 547–563, 2024, doi: 10.1016/j.future.2024.06.035.</w:t>
      </w:r>
    </w:p>
    <w:p>
      <w:pPr>
        <w:spacing w:after="60" w:line="276" w:lineRule="auto"/>
      </w:pPr>
      <w:r>
        <w:rPr>
          <w:rFonts w:ascii="Times New Roman" w:hAnsi="Times New Roman"/>
          <w:sz w:val="21"/>
        </w:rPr>
        <w:t>[56] Y. Shen, C. Shepherd, C. M. Ahmed, S. Shen, X. Wu, W. Ke, and S. Yu, “Game-theoretic analytics for privacy preservation in Internet of Things networks: A survey,” Engineering Applications of Artificial Intelligence, vol. 133, Art. no. 108449, 2024, doi: 10.1016/j.engappai.2024.108449.</w:t>
      </w:r>
    </w:p>
    <w:p>
      <w:pPr>
        <w:spacing w:after="60" w:line="276" w:lineRule="auto"/>
      </w:pPr>
      <w:r>
        <w:rPr>
          <w:rFonts w:ascii="Times New Roman" w:hAnsi="Times New Roman"/>
          <w:sz w:val="21"/>
        </w:rPr>
        <w:t>[57] G. Yang, “An overview of current solutions for privacy in the Internet of Things,” Frontiers in Artificial Intelligence, vol. 5, Art. no. 812732, 2022, doi: 10.3389/frai.2022.812732.</w:t>
      </w:r>
    </w:p>
    <w:p>
      <w:pPr>
        <w:spacing w:after="60" w:line="276" w:lineRule="auto"/>
      </w:pPr>
      <w:r>
        <w:rPr>
          <w:rFonts w:ascii="Times New Roman" w:hAnsi="Times New Roman"/>
          <w:sz w:val="21"/>
        </w:rPr>
        <w:t>[58] D. Li, Y. Zhao, Y. Wang, D. An, and Q. Yang, “The privacy-preserving auction mechanisms in IoT-based trading market: A survey,” Internet of Things, vol. 26, Art. no. 101178, 2024, doi: 10.1016/j.iot.2024.101178.</w:t>
      </w:r>
    </w:p>
    <w:p>
      <w:pPr>
        <w:spacing w:after="60" w:line="276" w:lineRule="auto"/>
      </w:pPr>
      <w:r>
        <w:rPr>
          <w:rFonts w:ascii="Times New Roman" w:hAnsi="Times New Roman"/>
          <w:sz w:val="21"/>
        </w:rPr>
        <w:t>[59] K. Park and Y. Park, “MIoT-CDPS: Complete decentralized privacy-preserving scheme for medical Internet of Things,” Internet of Things, vol. 27, Art. no. 101250, 2024, doi: 10.1016/j.iot.2024.101250.</w:t>
      </w:r>
    </w:p>
    <w:p>
      <w:pPr>
        <w:spacing w:after="60" w:line="276" w:lineRule="auto"/>
      </w:pPr>
      <w:r>
        <w:rPr>
          <w:rFonts w:ascii="Times New Roman" w:hAnsi="Times New Roman"/>
          <w:sz w:val="21"/>
        </w:rPr>
        <w:t>[60] I. Khan, Y. Majib, R. Ullah, and O. Rana, “Blockchain applications for Internet of Things—A survey,” Internet of Things, vol. 27, Art. no. 101254, 2024, doi: 10.1016/j.iot.2024.101254.</w:t>
      </w:r>
    </w:p>
    <w:p>
      <w:pPr>
        <w:spacing w:after="60" w:line="276" w:lineRule="auto"/>
      </w:pPr>
      <w:r>
        <w:rPr>
          <w:rFonts w:ascii="Times New Roman" w:hAnsi="Times New Roman"/>
          <w:sz w:val="21"/>
        </w:rPr>
        <w:t>[61] M. Aledhari, R. Razzak, R. M. Parizi, and F. Saeed, “Federated learning: A survey on enabling technologies, protocols, and applications,” IEEE Access, vol. 8, pp. 140699–140725, 2020, doi: 10.1109/ACCESS.2020.3013541.</w:t>
      </w:r>
    </w:p>
    <w:p>
      <w:pPr>
        <w:spacing w:after="60" w:line="276" w:lineRule="auto"/>
      </w:pPr>
      <w:r>
        <w:rPr>
          <w:rFonts w:ascii="Times New Roman" w:hAnsi="Times New Roman"/>
          <w:sz w:val="21"/>
        </w:rPr>
        <w:t>[62] W. Y. B. Lim et al., “Federated learning in mobile edge networks: A comprehensive survey,” IEEE Communications Surveys &amp; Tutorials, vol. 22, no. 3, pp. 2031–2063, 2020, doi: 10.1109/COMST.2020.2986024.</w:t>
      </w:r>
    </w:p>
    <w:p>
      <w:pPr>
        <w:spacing w:after="60" w:line="276" w:lineRule="auto"/>
      </w:pPr>
      <w:r>
        <w:rPr>
          <w:rFonts w:ascii="Times New Roman" w:hAnsi="Times New Roman"/>
          <w:sz w:val="21"/>
        </w:rPr>
        <w:t>[63] M. Aggarwal, V. Khullar, S. Rani, T. A. Prola, S. B. Bhattacharjee, S. M. Shawon, and N. Goyal, “Federated learning on Internet of Things: Extensive and systematic review,” Computers, Materials &amp; Continua, vol. 79, no. 2, pp. 1795–1834, 2024, doi: 10.32604/cmc.2024.049846.</w:t>
      </w:r>
    </w:p>
    <w:p>
      <w:pPr>
        <w:spacing w:after="60" w:line="276" w:lineRule="auto"/>
      </w:pPr>
      <w:r>
        <w:rPr>
          <w:rFonts w:ascii="Times New Roman" w:hAnsi="Times New Roman"/>
          <w:sz w:val="21"/>
        </w:rPr>
        <w:t>[64] S. K. Jain and N. Kesswani, “A noise-based privacy preserving model for Internet of Things,” Complex &amp; Intelligent Systems, vol. 9, pp. 3655–3679, 2023, doi: 10.1007/s40747-021-00489-5.</w:t>
      </w:r>
    </w:p>
    <w:p>
      <w:pPr>
        <w:spacing w:after="60" w:line="276" w:lineRule="auto"/>
      </w:pPr>
      <w:r>
        <w:rPr>
          <w:rFonts w:ascii="Times New Roman" w:hAnsi="Times New Roman"/>
          <w:sz w:val="21"/>
        </w:rPr>
        <w:t>[65] O. G. Darley, A. A. Adenowo, and A. I. O. Yussuff, “Machine learning intrusion detection as a solution to security and privacy issues in IoT: A systematic review,” FUOYE Journal of Engineering and Technology, vol. 7, no. 2, pp. 148–156, 2022, doi: 10.46792/fuoyejet.v7i2.802.</w:t>
      </w:r>
    </w:p>
    <w:p>
      <w:pPr>
        <w:spacing w:after="60" w:line="276" w:lineRule="auto"/>
      </w:pPr>
      <w:r>
        <w:rPr>
          <w:rFonts w:ascii="Times New Roman" w:hAnsi="Times New Roman"/>
          <w:sz w:val="21"/>
        </w:rPr>
        <w:t>[66] M. A. S. Amin, S. Kim, M. A. S. A. Rishat, Z. Tang, and H. Ahn, “A systematic literature review of privacy information disclosure in AI-integrated Internet of Things technologies,” Sustainability, vol. 17, no. 1, Art. no. 8, 2025, doi: 10.3390/su17010008.</w:t>
      </w:r>
    </w:p>
    <w:p>
      <w:pPr>
        <w:spacing w:after="60" w:line="276" w:lineRule="auto"/>
      </w:pPr>
      <w:r>
        <w:rPr>
          <w:rFonts w:ascii="Times New Roman" w:hAnsi="Times New Roman"/>
          <w:sz w:val="21"/>
        </w:rPr>
        <w:t>[67] M. Aqeel, F. Ali, M. W. Iqbal, T. A. Rana, M. Arif, and M. R. Auwul, “A review of security and privacy concerns in the Internet of Things (IoT),” Journal of Sensors, vol. 2022, Art. no. 5724168, 2022, doi: 10.1155/2022/5724168.</w:t>
      </w:r>
    </w:p>
    <w:p>
      <w:pPr>
        <w:spacing w:after="60" w:line="276" w:lineRule="auto"/>
      </w:pPr>
      <w:r>
        <w:rPr>
          <w:rFonts w:ascii="Times New Roman" w:hAnsi="Times New Roman"/>
          <w:sz w:val="21"/>
        </w:rPr>
        <w:t>[68] R. Roman, P. Najera, and J. Lopez, “On the features and challenges of security and privacy in distributed Internet of Things,” Computer Networks, vol. 57, no. 10, pp. 2266–2279, 2013, doi: 10.1016/j.comnet.2013.04.018.</w:t>
      </w:r>
    </w:p>
    <w:p>
      <w:pPr>
        <w:spacing w:after="60" w:line="276" w:lineRule="auto"/>
      </w:pPr>
      <w:r>
        <w:rPr>
          <w:rFonts w:ascii="Times New Roman" w:hAnsi="Times New Roman"/>
          <w:sz w:val="21"/>
        </w:rPr>
        <w:t>[69] S. Sicari, A. Rizzardi, L. A. Grieco, and A. Coen-Porisini, “Security, privacy and trust in Internet of Things: The road ahead,” Computer Networks, vol. 76, pp. 146–164, 2015, doi: 10.1016/j.comnet.2014.11.008.</w:t>
      </w:r>
    </w:p>
    <w:p>
      <w:pPr>
        <w:spacing w:after="60" w:line="276" w:lineRule="auto"/>
      </w:pPr>
      <w:r>
        <w:rPr>
          <w:rFonts w:ascii="Times New Roman" w:hAnsi="Times New Roman"/>
          <w:sz w:val="21"/>
        </w:rPr>
        <w:t>[70] K. Ziegeldorf, O. Garcia Morchon, and K. Wehrle, “Privacy in the Internet of Things: Threats and challenges,” Security and Communication Networks, vol. 7, no. 12, pp. 2728–2742, 2014, doi: 10.1002/sec.795.</w:t>
      </w:r>
    </w:p>
    <w:p>
      <w:pPr>
        <w:spacing w:after="60" w:line="276" w:lineRule="auto"/>
      </w:pPr>
      <w:r>
        <w:rPr>
          <w:rFonts w:ascii="Times New Roman" w:hAnsi="Times New Roman"/>
          <w:sz w:val="21"/>
        </w:rPr>
        <w:t>[71] D. Miorandi, S. Sicari, F. De Pellegrini, and I. Chlamtac, “Internet of things: Vision, applications and research challenges,” Ad Hoc Networks, vol. 10, no. 7, pp. 1497–1516, 2012, doi: 10.1016/j.adhoc.2012.02.016.</w:t>
      </w:r>
    </w:p>
    <w:p>
      <w:pPr>
        <w:spacing w:after="60" w:line="276" w:lineRule="auto"/>
      </w:pPr>
      <w:r>
        <w:rPr>
          <w:rFonts w:ascii="Times New Roman" w:hAnsi="Times New Roman"/>
          <w:sz w:val="21"/>
        </w:rPr>
        <w:t>[72] W. Shi et al., “Edge computing: Vision and challenges,” IEEE Internet of Things Journal, vol. 3, no. 5, pp. 637–646, 2016, doi: 10.1109/JIOT.2016.2579198.</w:t>
      </w:r>
    </w:p>
    <w:p>
      <w:pPr>
        <w:spacing w:after="60" w:line="276" w:lineRule="auto"/>
      </w:pPr>
      <w:r>
        <w:rPr>
          <w:rFonts w:ascii="Times New Roman" w:hAnsi="Times New Roman"/>
          <w:sz w:val="21"/>
        </w:rPr>
        <w:t>[73] M. Satyanarayanan, “The emergence of edge computing,” Computer, vol. 50, no. 1, pp. 30–39, 2017, doi: 10.1109/MC.2017.9.</w:t>
      </w:r>
    </w:p>
    <w:p>
      <w:pPr>
        <w:spacing w:after="60" w:line="276" w:lineRule="auto"/>
      </w:pPr>
      <w:r>
        <w:rPr>
          <w:rFonts w:ascii="Times New Roman" w:hAnsi="Times New Roman"/>
          <w:sz w:val="21"/>
        </w:rPr>
        <w:t>[74] M. Whitmore, A. Agarwal, and L. Da Xu, “The Internet of Things—A survey of topics and trends,” Information Systems Frontiers, vol. 17, pp. 261–274, 2015, doi: 10.1007/s10796-014-9489-2.</w:t>
      </w:r>
    </w:p>
    <w:p>
      <w:pPr>
        <w:spacing w:after="60" w:line="276" w:lineRule="auto"/>
      </w:pPr>
      <w:r>
        <w:rPr>
          <w:rFonts w:ascii="Times New Roman" w:hAnsi="Times New Roman"/>
          <w:sz w:val="21"/>
        </w:rPr>
        <w:t>[75] L. Atzori, A. Iera, and G. Morabito, “The Internet of Things: A survey,” Computer Networks, vol. 54, no. 15, pp. 2787–2805, 2010, doi: 10.1016/j.comnet.2010.05.010.</w:t>
      </w:r>
    </w:p>
    <w:p>
      <w:pPr>
        <w:spacing w:after="60" w:line="276" w:lineRule="auto"/>
      </w:pPr>
      <w:r>
        <w:rPr>
          <w:rFonts w:ascii="Times New Roman" w:hAnsi="Times New Roman"/>
          <w:sz w:val="21"/>
        </w:rPr>
        <w:t>[76] U.S. Department of Health and Human Services, “The HIPAA Privacy Rule,” official guidance. Available: https://www.hhs.gov/hipaa/for-professionals/privacy/index.html.</w:t>
      </w:r>
    </w:p>
    <w:p>
      <w:pPr>
        <w:spacing w:after="60" w:line="276" w:lineRule="auto"/>
      </w:pPr>
      <w:r>
        <w:rPr>
          <w:rFonts w:ascii="Times New Roman" w:hAnsi="Times New Roman"/>
          <w:sz w:val="21"/>
        </w:rPr>
        <w:t>[77] C. Dwork and A. Roth, The Algorithmic Foundations of Differential Privacy. Hanover, MA, USA: Now Publishers, 2014, doi: 10.1561/0400000042.</w:t>
      </w:r>
    </w:p>
    <w:p>
      <w:pPr>
        <w:spacing w:after="60" w:line="276" w:lineRule="auto"/>
      </w:pPr>
      <w:r>
        <w:rPr>
          <w:rFonts w:ascii="Times New Roman" w:hAnsi="Times New Roman"/>
          <w:sz w:val="21"/>
        </w:rPr>
        <w:t>[78] K. Bonawitz et al., “Practical secure aggregation for privacy-preserving machine learning,” in Proc. ACM SIGSAC Conference on Computer and Communications Security, pp. 1175–1191, 2017, doi: 10.1145/3133956.3133982.</w:t>
      </w:r>
    </w:p>
    <w:p>
      <w:pPr>
        <w:spacing w:after="60" w:line="276" w:lineRule="auto"/>
      </w:pPr>
      <w:r>
        <w:rPr>
          <w:rFonts w:ascii="Times New Roman" w:hAnsi="Times New Roman"/>
          <w:sz w:val="21"/>
        </w:rPr>
        <w:t>[79] R. Shokri, M. Stronati, C. Song, and V. Shmatikov, “Membership inference attacks against machine learning models,” in Proc. IEEE Symposium on Security and Privacy, pp. 3–18, 2017, doi: 10.1109/SP.2017.41.</w:t>
      </w:r>
    </w:p>
    <w:p>
      <w:pPr>
        <w:spacing w:after="60" w:line="276" w:lineRule="auto"/>
      </w:pPr>
      <w:r>
        <w:rPr>
          <w:rFonts w:ascii="Times New Roman" w:hAnsi="Times New Roman"/>
          <w:sz w:val="21"/>
        </w:rPr>
        <w:t>[80] M. T. Ribeiro, S. Singh, and C. Guestrin, “Why should I trust you?: Explaining the predictions of any classifier,” in Proc. ACM SIGKDD Conference on Knowledge Discovery and Data Mining, pp. 1135–1144, 2016, doi: 10.1145/2939672.2939778.</w:t>
      </w:r>
    </w:p>
    <w:p>
      <w:pPr>
        <w:spacing w:after="60" w:line="276" w:lineRule="auto"/>
      </w:pPr>
      <w:r>
        <w:rPr>
          <w:rFonts w:ascii="Times New Roman" w:hAnsi="Times New Roman"/>
          <w:sz w:val="21"/>
        </w:rPr>
        <w:t>[81] E. Dritsas and M. Trigka, “Federated learning for IoT: A survey of techniques, challenges, and applications,” Journal of Sensor and Actuator Networks, vol. 14, no. 1, Art. no. 9, 2025, doi: 10.3390/jsan14010009.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