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941EA">
      <w:pPr>
        <w:spacing w:before="1200" w:after="200"/>
        <w:jc w:val="center"/>
      </w:pPr>
      <w:r>
        <w:rPr>
          <w:rFonts w:ascii="Arial" w:hAnsi="Arial" w:eastAsia="Arial" w:cs="Arial"/>
          <w:b/>
          <w:bCs/>
          <w:color w:val="1F3864"/>
          <w:sz w:val="48"/>
          <w:szCs w:val="48"/>
        </w:rPr>
        <w:t>CAPSTONE PROJECT REPORT</w:t>
      </w:r>
    </w:p>
    <w:p w14:paraId="2C2FD57B">
      <w:pPr>
        <w:pBdr>
          <w:bottom w:val="single" w:color="D6E4F0" w:sz="4" w:space="2"/>
        </w:pBdr>
        <w:spacing w:before="80" w:after="80"/>
      </w:pPr>
    </w:p>
    <w:p w14:paraId="74A01F5A">
      <w:pPr>
        <w:spacing w:before="400" w:after="160"/>
        <w:jc w:val="center"/>
      </w:pPr>
      <w:r>
        <w:rPr>
          <w:rFonts w:ascii="Arial" w:hAnsi="Arial" w:eastAsia="Arial" w:cs="Arial"/>
          <w:b/>
          <w:bCs/>
          <w:color w:val="2E75B6"/>
          <w:sz w:val="34"/>
          <w:szCs w:val="34"/>
        </w:rPr>
        <w:t>SAP ERP Blueprint Design with</w:t>
      </w:r>
    </w:p>
    <w:p w14:paraId="258F1EAD">
      <w:pPr>
        <w:spacing w:before="100" w:after="600"/>
        <w:jc w:val="center"/>
      </w:pPr>
      <w:r>
        <w:rPr>
          <w:rFonts w:ascii="Arial" w:hAnsi="Arial" w:eastAsia="Arial" w:cs="Arial"/>
          <w:b/>
          <w:bCs/>
          <w:color w:val="2E75B6"/>
          <w:sz w:val="34"/>
          <w:szCs w:val="34"/>
        </w:rPr>
        <w:t>Sales Analytics Integration using SAP Analytics Cloud</w:t>
      </w:r>
    </w:p>
    <w:p w14:paraId="2E9358FE">
      <w:pPr>
        <w:pBdr>
          <w:bottom w:val="single" w:color="D6E4F0" w:sz="4" w:space="2"/>
        </w:pBdr>
        <w:spacing w:before="80" w:after="80"/>
      </w:pPr>
    </w:p>
    <w:p w14:paraId="396FF0BA"/>
    <w:p w14:paraId="727BC699"/>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tblGrid>
      <w:tr w14:paraId="722C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358409D">
            <w:pPr>
              <w:jc w:val="left"/>
            </w:pPr>
            <w:r>
              <w:rPr>
                <w:rFonts w:ascii="Arial" w:hAnsi="Arial" w:eastAsia="Arial" w:cs="Arial"/>
                <w:b/>
                <w:bCs/>
                <w:color w:val="FFFFFF"/>
                <w:sz w:val="20"/>
                <w:szCs w:val="20"/>
              </w:rPr>
              <w:t>Submitted By</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ACDD72">
            <w:pPr>
              <w:jc w:val="left"/>
              <w:rPr>
                <w:rFonts w:hint="default"/>
                <w:lang w:val="en-US"/>
              </w:rPr>
            </w:pPr>
            <w:r>
              <w:rPr>
                <w:rFonts w:hint="default"/>
                <w:lang w:val="en-US"/>
              </w:rPr>
              <w:t>Anusmita Dutta</w:t>
            </w:r>
          </w:p>
        </w:tc>
      </w:tr>
      <w:tr w14:paraId="534B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CEEAEE1">
            <w:pPr>
              <w:jc w:val="left"/>
            </w:pPr>
            <w:r>
              <w:rPr>
                <w:rFonts w:ascii="Arial" w:hAnsi="Arial" w:eastAsia="Arial" w:cs="Arial"/>
                <w:b/>
                <w:bCs/>
                <w:color w:val="FFFFFF"/>
                <w:sz w:val="20"/>
                <w:szCs w:val="20"/>
              </w:rPr>
              <w:t>Roll Number</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978388">
            <w:pPr>
              <w:jc w:val="left"/>
              <w:rPr>
                <w:rFonts w:hint="default"/>
                <w:lang w:val="en-US"/>
              </w:rPr>
            </w:pPr>
            <w:r>
              <w:rPr>
                <w:rFonts w:hint="default"/>
                <w:lang w:val="en-US"/>
              </w:rPr>
              <w:t>23052308</w:t>
            </w:r>
          </w:p>
        </w:tc>
      </w:tr>
      <w:tr w14:paraId="5ECC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E2003A9">
            <w:pPr>
              <w:jc w:val="left"/>
            </w:pPr>
            <w:r>
              <w:rPr>
                <w:rFonts w:ascii="Arial" w:hAnsi="Arial" w:eastAsia="Arial" w:cs="Arial"/>
                <w:b/>
                <w:bCs/>
                <w:color w:val="FFFFFF"/>
                <w:sz w:val="20"/>
                <w:szCs w:val="20"/>
              </w:rPr>
              <w:t>Programme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046613">
            <w:pPr>
              <w:jc w:val="left"/>
              <w:rPr>
                <w:rFonts w:hint="default"/>
                <w:lang w:val="en-US"/>
              </w:rPr>
            </w:pPr>
            <w:r>
              <w:rPr>
                <w:rFonts w:hint="default"/>
                <w:lang w:val="en-US"/>
              </w:rPr>
              <w:t>B.Tech</w:t>
            </w:r>
          </w:p>
        </w:tc>
      </w:tr>
      <w:tr w14:paraId="7AA2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5DB930D">
            <w:pPr>
              <w:jc w:val="left"/>
            </w:pPr>
            <w:r>
              <w:rPr>
                <w:rFonts w:ascii="Arial" w:hAnsi="Arial" w:eastAsia="Arial" w:cs="Arial"/>
                <w:b/>
                <w:bCs/>
                <w:color w:val="FFFFFF"/>
                <w:sz w:val="20"/>
                <w:szCs w:val="20"/>
              </w:rPr>
              <w:t>Institution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02A1A1">
            <w:pPr>
              <w:jc w:val="left"/>
              <w:rPr>
                <w:rFonts w:hint="default"/>
                <w:lang w:val="en-US"/>
              </w:rPr>
            </w:pPr>
            <w:r>
              <w:rPr>
                <w:rFonts w:hint="default"/>
                <w:lang w:val="en-US"/>
              </w:rPr>
              <w:t>KIIT DU</w:t>
            </w:r>
          </w:p>
        </w:tc>
      </w:tr>
      <w:tr w14:paraId="60E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086FDF">
            <w:pPr>
              <w:jc w:val="left"/>
            </w:pPr>
            <w:r>
              <w:rPr>
                <w:rFonts w:ascii="Arial" w:hAnsi="Arial" w:eastAsia="Arial" w:cs="Arial"/>
                <w:b/>
                <w:bCs/>
                <w:color w:val="FFFFFF"/>
                <w:sz w:val="20"/>
                <w:szCs w:val="20"/>
              </w:rPr>
              <w:t>Academic Year</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725EF7">
            <w:pPr>
              <w:jc w:val="left"/>
            </w:pPr>
            <w:r>
              <w:rPr>
                <w:rFonts w:ascii="Arial" w:hAnsi="Arial" w:eastAsia="Arial" w:cs="Arial"/>
                <w:b w:val="0"/>
                <w:bCs w:val="0"/>
                <w:color w:val="000000"/>
                <w:sz w:val="20"/>
                <w:szCs w:val="20"/>
              </w:rPr>
              <w:t>2024 – 2025</w:t>
            </w:r>
          </w:p>
        </w:tc>
      </w:tr>
      <w:tr w14:paraId="0CA9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E4DAA7B">
            <w:pPr>
              <w:jc w:val="left"/>
            </w:pPr>
            <w:r>
              <w:rPr>
                <w:rFonts w:ascii="Arial" w:hAnsi="Arial" w:eastAsia="Arial" w:cs="Arial"/>
                <w:b/>
                <w:bCs/>
                <w:color w:val="FFFFFF"/>
                <w:sz w:val="20"/>
                <w:szCs w:val="20"/>
              </w:rPr>
              <w:t>Date of Submission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1A477B">
            <w:pPr>
              <w:jc w:val="left"/>
            </w:pPr>
            <w:r>
              <w:rPr>
                <w:rFonts w:ascii="Arial" w:hAnsi="Arial" w:eastAsia="Arial" w:cs="Arial"/>
                <w:b w:val="0"/>
                <w:bCs w:val="0"/>
                <w:color w:val="000000"/>
                <w:sz w:val="20"/>
                <w:szCs w:val="20"/>
              </w:rPr>
              <w:t>April 2025</w:t>
            </w:r>
          </w:p>
        </w:tc>
      </w:tr>
    </w:tbl>
    <w:p w14:paraId="68181670">
      <w:pPr>
        <w:pStyle w:val="2"/>
        <w:pBdr>
          <w:bottom w:val="single" w:color="2E75B6" w:sz="8" w:space="6"/>
        </w:pBdr>
        <w:spacing w:before="320" w:after="160"/>
        <w:rPr>
          <w:rFonts w:ascii="Arial" w:hAnsi="Arial" w:eastAsia="Arial" w:cs="Arial"/>
          <w:b/>
          <w:bCs/>
          <w:color w:val="1F3864"/>
          <w:sz w:val="32"/>
          <w:szCs w:val="32"/>
        </w:rPr>
      </w:pPr>
    </w:p>
    <w:p w14:paraId="4C5A089B">
      <w:pPr>
        <w:pStyle w:val="2"/>
        <w:pBdr>
          <w:bottom w:val="single" w:color="2E75B6" w:sz="8" w:space="6"/>
        </w:pBdr>
        <w:spacing w:before="320" w:after="160"/>
        <w:rPr>
          <w:rFonts w:ascii="Arial" w:hAnsi="Arial" w:eastAsia="Arial" w:cs="Arial"/>
          <w:b/>
          <w:bCs/>
          <w:color w:val="1F3864"/>
          <w:sz w:val="32"/>
          <w:szCs w:val="32"/>
        </w:rPr>
      </w:pPr>
    </w:p>
    <w:p w14:paraId="5D68CE13">
      <w:pPr>
        <w:pStyle w:val="2"/>
        <w:pBdr>
          <w:bottom w:val="single" w:color="2E75B6" w:sz="8" w:space="6"/>
        </w:pBdr>
        <w:spacing w:before="320" w:after="160"/>
        <w:rPr>
          <w:rFonts w:ascii="Arial" w:hAnsi="Arial" w:eastAsia="Arial" w:cs="Arial"/>
          <w:b/>
          <w:bCs/>
          <w:color w:val="1F3864"/>
          <w:sz w:val="32"/>
          <w:szCs w:val="32"/>
        </w:rPr>
      </w:pPr>
    </w:p>
    <w:p w14:paraId="54CDFE57">
      <w:pPr>
        <w:pStyle w:val="2"/>
        <w:pBdr>
          <w:bottom w:val="single" w:color="2E75B6" w:sz="8" w:space="6"/>
        </w:pBdr>
        <w:spacing w:before="320" w:after="160"/>
        <w:rPr>
          <w:rFonts w:ascii="Arial" w:hAnsi="Arial" w:eastAsia="Arial" w:cs="Arial"/>
          <w:b/>
          <w:bCs/>
          <w:color w:val="1F3864"/>
          <w:sz w:val="32"/>
          <w:szCs w:val="32"/>
        </w:rPr>
      </w:pPr>
    </w:p>
    <w:p w14:paraId="7049D0D2">
      <w:pPr>
        <w:pStyle w:val="2"/>
        <w:pBdr>
          <w:bottom w:val="single" w:color="2E75B6" w:sz="8" w:space="6"/>
        </w:pBdr>
        <w:spacing w:before="320" w:after="160"/>
        <w:rPr>
          <w:rFonts w:ascii="Arial" w:hAnsi="Arial" w:eastAsia="Arial" w:cs="Arial"/>
          <w:b/>
          <w:bCs/>
          <w:color w:val="1F3864"/>
          <w:sz w:val="32"/>
          <w:szCs w:val="32"/>
        </w:rPr>
      </w:pPr>
    </w:p>
    <w:p w14:paraId="75C456CE">
      <w:pPr>
        <w:pStyle w:val="2"/>
        <w:pBdr>
          <w:bottom w:val="single" w:color="2E75B6" w:sz="8" w:space="6"/>
        </w:pBdr>
        <w:spacing w:before="320" w:after="160"/>
        <w:rPr>
          <w:rFonts w:ascii="Arial" w:hAnsi="Arial" w:eastAsia="Arial" w:cs="Arial"/>
          <w:b/>
          <w:bCs/>
          <w:color w:val="1F3864"/>
          <w:sz w:val="32"/>
          <w:szCs w:val="32"/>
        </w:rPr>
      </w:pPr>
    </w:p>
    <w:p w14:paraId="33E5AFB9">
      <w:pPr>
        <w:pStyle w:val="2"/>
        <w:pBdr>
          <w:bottom w:val="single" w:color="2E75B6" w:sz="8" w:space="6"/>
        </w:pBdr>
        <w:spacing w:before="320" w:after="160"/>
        <w:rPr>
          <w:rFonts w:ascii="Arial" w:hAnsi="Arial" w:eastAsia="Arial" w:cs="Arial"/>
          <w:b/>
          <w:bCs/>
          <w:color w:val="1F3864"/>
          <w:sz w:val="32"/>
          <w:szCs w:val="32"/>
        </w:rPr>
      </w:pPr>
    </w:p>
    <w:p w14:paraId="34565F57">
      <w:pPr>
        <w:pStyle w:val="2"/>
        <w:pBdr>
          <w:bottom w:val="single" w:color="2E75B6" w:sz="8" w:space="6"/>
        </w:pBdr>
        <w:spacing w:before="320" w:after="160"/>
        <w:rPr>
          <w:rFonts w:ascii="Arial" w:hAnsi="Arial" w:eastAsia="Arial" w:cs="Arial"/>
          <w:b/>
          <w:bCs/>
          <w:color w:val="1F3864"/>
          <w:sz w:val="32"/>
          <w:szCs w:val="32"/>
        </w:rPr>
      </w:pPr>
    </w:p>
    <w:p w14:paraId="46D99C98"/>
    <w:p w14:paraId="7E4217E3"/>
    <w:p w14:paraId="1F37058F">
      <w:pPr>
        <w:pStyle w:val="2"/>
        <w:pBdr>
          <w:bottom w:val="single" w:color="2E75B6" w:sz="8" w:space="6"/>
        </w:pBdr>
        <w:spacing w:before="320" w:after="160"/>
      </w:pPr>
      <w:r>
        <w:rPr>
          <w:rFonts w:ascii="Arial" w:hAnsi="Arial" w:eastAsia="Arial" w:cs="Arial"/>
          <w:b/>
          <w:bCs/>
          <w:color w:val="1F3864"/>
          <w:sz w:val="32"/>
          <w:szCs w:val="32"/>
        </w:rPr>
        <w:t>1.  Company Overview</w:t>
      </w:r>
    </w:p>
    <w:p w14:paraId="6003A113">
      <w:pPr>
        <w:spacing w:before="120" w:after="120"/>
        <w:jc w:val="left"/>
      </w:pPr>
      <w:r>
        <w:rPr>
          <w:rFonts w:ascii="Arial" w:hAnsi="Arial" w:eastAsia="Arial" w:cs="Arial"/>
          <w:b w:val="0"/>
          <w:bCs w:val="0"/>
          <w:i w:val="0"/>
          <w:iCs w:val="0"/>
          <w:color w:val="000000"/>
          <w:sz w:val="22"/>
          <w:szCs w:val="22"/>
        </w:rPr>
        <w:t>VidyutKraft Industries Limited is a fictitious, mid-sized Indian manufacturing company headquartered in Pune, Maharashtra. The company was incorporated in 2005 and has grown to become a trusted supplier of industrial motors, control panels, and electrical switchgear components to customers across India and select export markets in South-East Asia.</w:t>
      </w:r>
    </w:p>
    <w:p w14:paraId="5A7997EC">
      <w:pPr>
        <w:spacing w:before="120" w:after="120"/>
        <w:jc w:val="left"/>
      </w:pPr>
      <w:r>
        <w:rPr>
          <w:rFonts w:ascii="Arial" w:hAnsi="Arial" w:eastAsia="Arial" w:cs="Arial"/>
          <w:b w:val="0"/>
          <w:bCs w:val="0"/>
          <w:i w:val="0"/>
          <w:iCs w:val="0"/>
          <w:color w:val="000000"/>
          <w:sz w:val="22"/>
          <w:szCs w:val="22"/>
        </w:rPr>
        <w:t>The company operates two state-of-the-art manufacturing facilities — one in Pune (the primary plant) and one in Chennai (the assembly unit). It serves over 450 corporate clients, employs approximately 3,200 professionals, and records an annual turnover of roughly INR 620 crore.</w:t>
      </w:r>
    </w:p>
    <w:p w14:paraId="1B610E31">
      <w:pPr>
        <w:pStyle w:val="3"/>
        <w:spacing w:before="240" w:after="120"/>
      </w:pPr>
      <w:r>
        <w:rPr>
          <w:rFonts w:ascii="Arial" w:hAnsi="Arial" w:eastAsia="Arial" w:cs="Arial"/>
          <w:b/>
          <w:bCs/>
          <w:color w:val="2E75B6"/>
          <w:sz w:val="26"/>
          <w:szCs w:val="26"/>
        </w:rPr>
        <w:t>Key Business Facts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0CF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A1C07E0">
            <w:pPr>
              <w:jc w:val="center"/>
            </w:pPr>
            <w:r>
              <w:rPr>
                <w:rFonts w:ascii="Arial" w:hAnsi="Arial" w:eastAsia="Arial" w:cs="Arial"/>
                <w:b/>
                <w:bCs/>
                <w:color w:val="FFFFFF"/>
                <w:sz w:val="20"/>
                <w:szCs w:val="20"/>
              </w:rPr>
              <w:t>Parameter</w:t>
            </w:r>
          </w:p>
        </w:tc>
        <w:tc>
          <w:tcPr>
            <w:tcW w:w="552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DFD5B65">
            <w:pPr>
              <w:jc w:val="center"/>
            </w:pPr>
            <w:r>
              <w:rPr>
                <w:rFonts w:ascii="Arial" w:hAnsi="Arial" w:eastAsia="Arial" w:cs="Arial"/>
                <w:b/>
                <w:bCs/>
                <w:color w:val="FFFFFF"/>
                <w:sz w:val="20"/>
                <w:szCs w:val="20"/>
              </w:rPr>
              <w:t>Detail</w:t>
            </w:r>
          </w:p>
        </w:tc>
      </w:tr>
      <w:tr w14:paraId="740A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DEB24A">
            <w:pPr>
              <w:jc w:val="left"/>
            </w:pPr>
            <w:r>
              <w:rPr>
                <w:rFonts w:ascii="Arial" w:hAnsi="Arial" w:eastAsia="Arial" w:cs="Arial"/>
                <w:b w:val="0"/>
                <w:bCs w:val="0"/>
                <w:color w:val="000000"/>
                <w:sz w:val="20"/>
                <w:szCs w:val="20"/>
              </w:rPr>
              <w:t>Industry</w:t>
            </w:r>
          </w:p>
        </w:tc>
        <w:tc>
          <w:tcPr>
            <w:tcW w:w="5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7623B1">
            <w:pPr>
              <w:jc w:val="left"/>
            </w:pPr>
            <w:r>
              <w:rPr>
                <w:rFonts w:ascii="Arial" w:hAnsi="Arial" w:eastAsia="Arial" w:cs="Arial"/>
                <w:b w:val="0"/>
                <w:bCs w:val="0"/>
                <w:color w:val="000000"/>
                <w:sz w:val="20"/>
                <w:szCs w:val="20"/>
              </w:rPr>
              <w:t>Electrical Equipment Manufacturing</w:t>
            </w:r>
          </w:p>
        </w:tc>
      </w:tr>
      <w:tr w14:paraId="7A1C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E0B3C9E">
            <w:pPr>
              <w:jc w:val="left"/>
            </w:pPr>
            <w:r>
              <w:rPr>
                <w:rFonts w:ascii="Arial" w:hAnsi="Arial" w:eastAsia="Arial" w:cs="Arial"/>
                <w:b w:val="0"/>
                <w:bCs w:val="0"/>
                <w:color w:val="000000"/>
                <w:sz w:val="20"/>
                <w:szCs w:val="20"/>
              </w:rPr>
              <w:t>Headquarters</w:t>
            </w:r>
          </w:p>
        </w:tc>
        <w:tc>
          <w:tcPr>
            <w:tcW w:w="5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9C15A88">
            <w:pPr>
              <w:jc w:val="left"/>
            </w:pPr>
            <w:r>
              <w:rPr>
                <w:rFonts w:ascii="Arial" w:hAnsi="Arial" w:eastAsia="Arial" w:cs="Arial"/>
                <w:b w:val="0"/>
                <w:bCs w:val="0"/>
                <w:color w:val="000000"/>
                <w:sz w:val="20"/>
                <w:szCs w:val="20"/>
              </w:rPr>
              <w:t>Pune, Maharashtra, India</w:t>
            </w:r>
          </w:p>
        </w:tc>
      </w:tr>
      <w:tr w14:paraId="5CFE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76292A">
            <w:pPr>
              <w:jc w:val="left"/>
            </w:pPr>
            <w:r>
              <w:rPr>
                <w:rFonts w:ascii="Arial" w:hAnsi="Arial" w:eastAsia="Arial" w:cs="Arial"/>
                <w:b w:val="0"/>
                <w:bCs w:val="0"/>
                <w:color w:val="000000"/>
                <w:sz w:val="20"/>
                <w:szCs w:val="20"/>
              </w:rPr>
              <w:t>Founded</w:t>
            </w:r>
          </w:p>
        </w:tc>
        <w:tc>
          <w:tcPr>
            <w:tcW w:w="5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71C571">
            <w:pPr>
              <w:jc w:val="left"/>
            </w:pPr>
            <w:r>
              <w:rPr>
                <w:rFonts w:ascii="Arial" w:hAnsi="Arial" w:eastAsia="Arial" w:cs="Arial"/>
                <w:b w:val="0"/>
                <w:bCs w:val="0"/>
                <w:color w:val="000000"/>
                <w:sz w:val="20"/>
                <w:szCs w:val="20"/>
              </w:rPr>
              <w:t>2005</w:t>
            </w:r>
          </w:p>
        </w:tc>
      </w:tr>
      <w:tr w14:paraId="6071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67CB5CA">
            <w:pPr>
              <w:jc w:val="left"/>
            </w:pPr>
            <w:r>
              <w:rPr>
                <w:rFonts w:ascii="Arial" w:hAnsi="Arial" w:eastAsia="Arial" w:cs="Arial"/>
                <w:b w:val="0"/>
                <w:bCs w:val="0"/>
                <w:color w:val="000000"/>
                <w:sz w:val="20"/>
                <w:szCs w:val="20"/>
              </w:rPr>
              <w:t>Annual Revenue</w:t>
            </w:r>
          </w:p>
        </w:tc>
        <w:tc>
          <w:tcPr>
            <w:tcW w:w="5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2959CE1">
            <w:pPr>
              <w:jc w:val="left"/>
            </w:pPr>
            <w:r>
              <w:rPr>
                <w:rFonts w:ascii="Arial" w:hAnsi="Arial" w:eastAsia="Arial" w:cs="Arial"/>
                <w:b w:val="0"/>
                <w:bCs w:val="0"/>
                <w:color w:val="000000"/>
                <w:sz w:val="20"/>
                <w:szCs w:val="20"/>
              </w:rPr>
              <w:t>INR 620 Crore (approx.)</w:t>
            </w:r>
          </w:p>
        </w:tc>
      </w:tr>
      <w:tr w14:paraId="3F9B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CF1DDB">
            <w:pPr>
              <w:jc w:val="left"/>
            </w:pPr>
            <w:r>
              <w:rPr>
                <w:rFonts w:ascii="Arial" w:hAnsi="Arial" w:eastAsia="Arial" w:cs="Arial"/>
                <w:b w:val="0"/>
                <w:bCs w:val="0"/>
                <w:color w:val="000000"/>
                <w:sz w:val="20"/>
                <w:szCs w:val="20"/>
              </w:rPr>
              <w:t>Employees</w:t>
            </w:r>
          </w:p>
        </w:tc>
        <w:tc>
          <w:tcPr>
            <w:tcW w:w="5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65648C">
            <w:pPr>
              <w:jc w:val="left"/>
            </w:pPr>
            <w:r>
              <w:rPr>
                <w:rFonts w:ascii="Arial" w:hAnsi="Arial" w:eastAsia="Arial" w:cs="Arial"/>
                <w:b w:val="0"/>
                <w:bCs w:val="0"/>
                <w:color w:val="000000"/>
                <w:sz w:val="20"/>
                <w:szCs w:val="20"/>
              </w:rPr>
              <w:t>~3,200</w:t>
            </w:r>
          </w:p>
        </w:tc>
      </w:tr>
      <w:tr w14:paraId="22BE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C78F073">
            <w:pPr>
              <w:jc w:val="left"/>
            </w:pPr>
            <w:r>
              <w:rPr>
                <w:rFonts w:ascii="Arial" w:hAnsi="Arial" w:eastAsia="Arial" w:cs="Arial"/>
                <w:b w:val="0"/>
                <w:bCs w:val="0"/>
                <w:color w:val="000000"/>
                <w:sz w:val="20"/>
                <w:szCs w:val="20"/>
              </w:rPr>
              <w:t>Customers</w:t>
            </w:r>
          </w:p>
        </w:tc>
        <w:tc>
          <w:tcPr>
            <w:tcW w:w="5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A69933A">
            <w:pPr>
              <w:jc w:val="left"/>
            </w:pPr>
            <w:r>
              <w:rPr>
                <w:rFonts w:ascii="Arial" w:hAnsi="Arial" w:eastAsia="Arial" w:cs="Arial"/>
                <w:b w:val="0"/>
                <w:bCs w:val="0"/>
                <w:color w:val="000000"/>
                <w:sz w:val="20"/>
                <w:szCs w:val="20"/>
              </w:rPr>
              <w:t>450+ B2B clients across India &amp; South-East Asia</w:t>
            </w:r>
          </w:p>
        </w:tc>
      </w:tr>
      <w:tr w14:paraId="042E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EF5340">
            <w:pPr>
              <w:jc w:val="left"/>
            </w:pPr>
            <w:r>
              <w:rPr>
                <w:rFonts w:ascii="Arial" w:hAnsi="Arial" w:eastAsia="Arial" w:cs="Arial"/>
                <w:b w:val="0"/>
                <w:bCs w:val="0"/>
                <w:color w:val="000000"/>
                <w:sz w:val="20"/>
                <w:szCs w:val="20"/>
              </w:rPr>
              <w:t>SAP Go-Live Target</w:t>
            </w:r>
          </w:p>
        </w:tc>
        <w:tc>
          <w:tcPr>
            <w:tcW w:w="5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B415E4">
            <w:pPr>
              <w:jc w:val="left"/>
            </w:pPr>
            <w:r>
              <w:rPr>
                <w:rFonts w:ascii="Arial" w:hAnsi="Arial" w:eastAsia="Arial" w:cs="Arial"/>
                <w:b w:val="0"/>
                <w:bCs w:val="0"/>
                <w:color w:val="000000"/>
                <w:sz w:val="20"/>
                <w:szCs w:val="20"/>
              </w:rPr>
              <w:t>April 2025</w:t>
            </w:r>
          </w:p>
        </w:tc>
      </w:tr>
    </w:tbl>
    <w:p w14:paraId="50F693B8"/>
    <w:p w14:paraId="3079FE1B">
      <w:pPr>
        <w:pStyle w:val="2"/>
        <w:pBdr>
          <w:bottom w:val="single" w:color="2E75B6" w:sz="8" w:space="6"/>
        </w:pBdr>
        <w:spacing w:before="320" w:after="160"/>
      </w:pPr>
      <w:r>
        <w:rPr>
          <w:rFonts w:ascii="Arial" w:hAnsi="Arial" w:eastAsia="Arial" w:cs="Arial"/>
          <w:b/>
          <w:bCs/>
          <w:color w:val="1F3864"/>
          <w:sz w:val="32"/>
          <w:szCs w:val="32"/>
        </w:rPr>
        <w:t>2.  Problem Statement</w:t>
      </w:r>
    </w:p>
    <w:p w14:paraId="23EF2527">
      <w:pPr>
        <w:spacing w:before="120" w:after="120"/>
        <w:jc w:val="left"/>
      </w:pPr>
      <w:r>
        <w:rPr>
          <w:rFonts w:ascii="Arial" w:hAnsi="Arial" w:eastAsia="Arial" w:cs="Arial"/>
          <w:b w:val="0"/>
          <w:bCs w:val="0"/>
          <w:i w:val="0"/>
          <w:iCs w:val="0"/>
          <w:color w:val="000000"/>
          <w:sz w:val="22"/>
          <w:szCs w:val="22"/>
        </w:rPr>
        <w:t>Before this SAP implementation project, VidyutKraft Industries was running its core operations on a combination of legacy software and manual spreadsheets. This created several persistent operational challenges:</w:t>
      </w:r>
    </w:p>
    <w:p w14:paraId="640AE077">
      <w:pPr>
        <w:pStyle w:val="16"/>
        <w:numPr>
          <w:ilvl w:val="0"/>
          <w:numId w:val="1"/>
        </w:numPr>
        <w:spacing w:before="60" w:after="60"/>
      </w:pPr>
      <w:r>
        <w:rPr>
          <w:rFonts w:ascii="Arial" w:hAnsi="Arial" w:eastAsia="Arial" w:cs="Arial"/>
          <w:color w:val="000000"/>
          <w:sz w:val="20"/>
          <w:szCs w:val="20"/>
        </w:rPr>
        <w:t>Financial data was scattered across multiple Excel files, leading to delayed and inconsistent MIS reports.</w:t>
      </w:r>
    </w:p>
    <w:p w14:paraId="42F25FAB">
      <w:pPr>
        <w:pStyle w:val="16"/>
        <w:numPr>
          <w:ilvl w:val="0"/>
          <w:numId w:val="1"/>
        </w:numPr>
        <w:spacing w:before="60" w:after="60"/>
      </w:pPr>
      <w:r>
        <w:rPr>
          <w:rFonts w:ascii="Arial" w:hAnsi="Arial" w:eastAsia="Arial" w:cs="Arial"/>
          <w:color w:val="000000"/>
          <w:sz w:val="20"/>
          <w:szCs w:val="20"/>
        </w:rPr>
        <w:t>The procurement team had no real-time visibility into inventory levels, often resulting in either over-ordering or stock shortages.</w:t>
      </w:r>
    </w:p>
    <w:p w14:paraId="323F1835">
      <w:pPr>
        <w:pStyle w:val="16"/>
        <w:numPr>
          <w:ilvl w:val="0"/>
          <w:numId w:val="1"/>
        </w:numPr>
        <w:spacing w:before="60" w:after="60"/>
      </w:pPr>
      <w:r>
        <w:rPr>
          <w:rFonts w:ascii="Arial" w:hAnsi="Arial" w:eastAsia="Arial" w:cs="Arial"/>
          <w:color w:val="000000"/>
          <w:sz w:val="20"/>
          <w:szCs w:val="20"/>
        </w:rPr>
        <w:t>The sales team was managing customer orders manually through emails and phone calls, with no single system of record.</w:t>
      </w:r>
    </w:p>
    <w:p w14:paraId="6AF49F3A">
      <w:pPr>
        <w:pStyle w:val="16"/>
        <w:numPr>
          <w:ilvl w:val="0"/>
          <w:numId w:val="1"/>
        </w:numPr>
        <w:spacing w:before="60" w:after="60"/>
      </w:pPr>
      <w:r>
        <w:rPr>
          <w:rFonts w:ascii="Arial" w:hAnsi="Arial" w:eastAsia="Arial" w:cs="Arial"/>
          <w:color w:val="000000"/>
          <w:sz w:val="20"/>
          <w:szCs w:val="20"/>
        </w:rPr>
        <w:t>There was no integration between Finance, Materials, and Sales — making month-end reconciliation a time-consuming and error-prone process.</w:t>
      </w:r>
    </w:p>
    <w:p w14:paraId="0F047A9A">
      <w:pPr>
        <w:pStyle w:val="16"/>
        <w:numPr>
          <w:ilvl w:val="0"/>
          <w:numId w:val="1"/>
        </w:numPr>
        <w:spacing w:before="60" w:after="60"/>
      </w:pPr>
      <w:r>
        <w:rPr>
          <w:rFonts w:ascii="Arial" w:hAnsi="Arial" w:eastAsia="Arial" w:cs="Arial"/>
          <w:color w:val="000000"/>
          <w:sz w:val="20"/>
          <w:szCs w:val="20"/>
        </w:rPr>
        <w:t>Senior management lacked a centralised analytics dashboard to monitor business KPIs such as revenue trends, outstanding receivables, or inventory turnover.</w:t>
      </w:r>
    </w:p>
    <w:p w14:paraId="7BACC744">
      <w:pPr>
        <w:spacing w:before="120" w:after="120"/>
        <w:jc w:val="left"/>
        <w:rPr>
          <w:rFonts w:ascii="Arial" w:hAnsi="Arial" w:eastAsia="Arial" w:cs="Arial"/>
          <w:b w:val="0"/>
          <w:bCs w:val="0"/>
          <w:i w:val="0"/>
          <w:iCs w:val="0"/>
          <w:color w:val="000000"/>
          <w:sz w:val="22"/>
          <w:szCs w:val="22"/>
        </w:rPr>
      </w:pPr>
      <w:r>
        <w:rPr>
          <w:rFonts w:ascii="Arial" w:hAnsi="Arial" w:eastAsia="Arial" w:cs="Arial"/>
          <w:b w:val="0"/>
          <w:bCs w:val="0"/>
          <w:i w:val="0"/>
          <w:iCs w:val="0"/>
          <w:color w:val="000000"/>
          <w:sz w:val="22"/>
          <w:szCs w:val="22"/>
        </w:rPr>
        <w:t>The management recognised that to scale the business and improve operational efficiency, a robust, integrated ERP system was essential. After a thorough evaluation, SAP S/4HANA was selected as the ERP platform, and SAP Analytics Cloud (SAC) was chosen for advanced reporting and analytics.</w:t>
      </w:r>
    </w:p>
    <w:p w14:paraId="2E43A52F">
      <w:pPr>
        <w:spacing w:before="120" w:after="120"/>
        <w:jc w:val="left"/>
        <w:rPr>
          <w:rFonts w:ascii="Arial" w:hAnsi="Arial" w:eastAsia="Arial" w:cs="Arial"/>
          <w:b w:val="0"/>
          <w:bCs w:val="0"/>
          <w:i w:val="0"/>
          <w:iCs w:val="0"/>
          <w:color w:val="000000"/>
          <w:sz w:val="22"/>
          <w:szCs w:val="22"/>
        </w:rPr>
      </w:pPr>
    </w:p>
    <w:p w14:paraId="4247E49A">
      <w:pPr>
        <w:spacing w:before="120" w:after="120"/>
        <w:jc w:val="left"/>
        <w:rPr>
          <w:rFonts w:ascii="Arial" w:hAnsi="Arial" w:eastAsia="Arial" w:cs="Arial"/>
          <w:b w:val="0"/>
          <w:bCs w:val="0"/>
          <w:i w:val="0"/>
          <w:iCs w:val="0"/>
          <w:color w:val="000000"/>
          <w:sz w:val="22"/>
          <w:szCs w:val="22"/>
        </w:rPr>
      </w:pPr>
    </w:p>
    <w:p w14:paraId="1A075B8B"/>
    <w:p w14:paraId="5DA64576">
      <w:pPr>
        <w:pStyle w:val="2"/>
        <w:pBdr>
          <w:bottom w:val="single" w:color="2E75B6" w:sz="8" w:space="6"/>
        </w:pBdr>
        <w:spacing w:before="320" w:after="160"/>
      </w:pPr>
      <w:r>
        <w:rPr>
          <w:rFonts w:ascii="Arial" w:hAnsi="Arial" w:eastAsia="Arial" w:cs="Arial"/>
          <w:b/>
          <w:bCs/>
          <w:color w:val="1F3864"/>
          <w:sz w:val="32"/>
          <w:szCs w:val="32"/>
        </w:rPr>
        <w:t>3.  Project Objectives</w:t>
      </w:r>
    </w:p>
    <w:p w14:paraId="2BCFC3E4">
      <w:pPr>
        <w:spacing w:before="120" w:after="120"/>
        <w:jc w:val="left"/>
      </w:pPr>
      <w:r>
        <w:rPr>
          <w:rFonts w:ascii="Arial" w:hAnsi="Arial" w:eastAsia="Arial" w:cs="Arial"/>
          <w:b w:val="0"/>
          <w:bCs w:val="0"/>
          <w:i w:val="0"/>
          <w:iCs w:val="0"/>
          <w:color w:val="000000"/>
          <w:sz w:val="22"/>
          <w:szCs w:val="22"/>
        </w:rPr>
        <w:t>The primary aim of this capstone project is to design a detailed SAP ERP Blueprint for VidyutKraft Industries, covering the three most critical SAP functional modules and integrating an analytics layer for data-driven decision-making.</w:t>
      </w:r>
    </w:p>
    <w:p w14:paraId="581DC1E5">
      <w:pPr>
        <w:pStyle w:val="3"/>
        <w:spacing w:before="240" w:after="120"/>
      </w:pPr>
      <w:r>
        <w:rPr>
          <w:rFonts w:ascii="Arial" w:hAnsi="Arial" w:eastAsia="Arial" w:cs="Arial"/>
          <w:b/>
          <w:bCs/>
          <w:color w:val="2E75B6"/>
          <w:sz w:val="26"/>
          <w:szCs w:val="26"/>
        </w:rPr>
        <w:t>Specific Objectives</w:t>
      </w:r>
    </w:p>
    <w:p w14:paraId="0845DC13">
      <w:pPr>
        <w:pStyle w:val="16"/>
        <w:numPr>
          <w:ilvl w:val="0"/>
          <w:numId w:val="1"/>
        </w:numPr>
        <w:spacing w:before="60" w:after="60"/>
      </w:pPr>
      <w:r>
        <w:rPr>
          <w:rFonts w:ascii="Arial" w:hAnsi="Arial" w:eastAsia="Arial" w:cs="Arial"/>
          <w:color w:val="000000"/>
          <w:sz w:val="20"/>
          <w:szCs w:val="20"/>
        </w:rPr>
        <w:t>Design the complete enterprise structure for VidyutKraft in SAP (Company Code, Plants, Sales Organisation, etc.).</w:t>
      </w:r>
    </w:p>
    <w:p w14:paraId="521FB31E">
      <w:pPr>
        <w:pStyle w:val="16"/>
        <w:numPr>
          <w:ilvl w:val="0"/>
          <w:numId w:val="1"/>
        </w:numPr>
        <w:spacing w:before="60" w:after="60"/>
      </w:pPr>
      <w:r>
        <w:rPr>
          <w:rFonts w:ascii="Arial" w:hAnsi="Arial" w:eastAsia="Arial" w:cs="Arial"/>
          <w:color w:val="000000"/>
          <w:sz w:val="20"/>
          <w:szCs w:val="20"/>
        </w:rPr>
        <w:t>Configure the Financial Accounting (FI) module to handle general ledger, accounts payable, accounts receivable, and Indian GST compliance.</w:t>
      </w:r>
    </w:p>
    <w:p w14:paraId="043C8A0D">
      <w:pPr>
        <w:pStyle w:val="16"/>
        <w:numPr>
          <w:ilvl w:val="0"/>
          <w:numId w:val="1"/>
        </w:numPr>
        <w:spacing w:before="60" w:after="60"/>
      </w:pPr>
      <w:r>
        <w:rPr>
          <w:rFonts w:ascii="Arial" w:hAnsi="Arial" w:eastAsia="Arial" w:cs="Arial"/>
          <w:color w:val="000000"/>
          <w:sz w:val="20"/>
          <w:szCs w:val="20"/>
        </w:rPr>
        <w:t>Set up the Materials Management (MM) module to streamline the Procure-to-Pay (P2P) process, including purchase orders, goods receipt, and invoice verification.</w:t>
      </w:r>
    </w:p>
    <w:p w14:paraId="7C64D662">
      <w:pPr>
        <w:pStyle w:val="16"/>
        <w:numPr>
          <w:ilvl w:val="0"/>
          <w:numId w:val="1"/>
        </w:numPr>
        <w:spacing w:before="60" w:after="60"/>
      </w:pPr>
      <w:r>
        <w:rPr>
          <w:rFonts w:ascii="Arial" w:hAnsi="Arial" w:eastAsia="Arial" w:cs="Arial"/>
          <w:color w:val="000000"/>
          <w:sz w:val="20"/>
          <w:szCs w:val="20"/>
        </w:rPr>
        <w:t>Implement the Sales &amp; Distribution (SD) module to manage the full Order-to-Cash (O2C) cycle from sales order creation to billing.</w:t>
      </w:r>
    </w:p>
    <w:p w14:paraId="1655F313">
      <w:pPr>
        <w:pStyle w:val="16"/>
        <w:numPr>
          <w:ilvl w:val="0"/>
          <w:numId w:val="1"/>
        </w:numPr>
        <w:spacing w:before="60" w:after="60"/>
      </w:pPr>
      <w:r>
        <w:rPr>
          <w:rFonts w:ascii="Arial" w:hAnsi="Arial" w:eastAsia="Arial" w:cs="Arial"/>
          <w:color w:val="000000"/>
          <w:sz w:val="20"/>
          <w:szCs w:val="20"/>
        </w:rPr>
        <w:t>Integrate SAP Analytics Cloud with SAP S/4HANA for real-time dashboards that display sales performance, inventory levels, and financial health.</w:t>
      </w:r>
    </w:p>
    <w:p w14:paraId="1083318D">
      <w:pPr>
        <w:pStyle w:val="16"/>
        <w:numPr>
          <w:ilvl w:val="0"/>
          <w:numId w:val="1"/>
        </w:numPr>
        <w:spacing w:before="60" w:after="60"/>
      </w:pPr>
      <w:r>
        <w:rPr>
          <w:rFonts w:ascii="Arial" w:hAnsi="Arial" w:eastAsia="Arial" w:cs="Arial"/>
          <w:color w:val="000000"/>
          <w:sz w:val="20"/>
          <w:szCs w:val="20"/>
        </w:rPr>
        <w:t>Identify process improvements and future roadmap recommendations based on the blueprint design.</w:t>
      </w:r>
    </w:p>
    <w:p w14:paraId="2BE606A6"/>
    <w:p w14:paraId="68F2C3D5">
      <w:pPr>
        <w:pStyle w:val="2"/>
        <w:pBdr>
          <w:bottom w:val="single" w:color="2E75B6" w:sz="8" w:space="6"/>
        </w:pBdr>
        <w:spacing w:before="320" w:after="160"/>
      </w:pPr>
      <w:r>
        <w:rPr>
          <w:rFonts w:ascii="Arial" w:hAnsi="Arial" w:eastAsia="Arial" w:cs="Arial"/>
          <w:b/>
          <w:bCs/>
          <w:color w:val="1F3864"/>
          <w:sz w:val="32"/>
          <w:szCs w:val="32"/>
        </w:rPr>
        <w:t>4.  Enterprise Structure</w:t>
      </w:r>
    </w:p>
    <w:p w14:paraId="4CF08C6E">
      <w:pPr>
        <w:spacing w:before="120" w:after="120"/>
        <w:jc w:val="left"/>
      </w:pPr>
      <w:r>
        <w:rPr>
          <w:rFonts w:ascii="Arial" w:hAnsi="Arial" w:eastAsia="Arial" w:cs="Arial"/>
          <w:b w:val="0"/>
          <w:bCs w:val="0"/>
          <w:i w:val="0"/>
          <w:iCs w:val="0"/>
          <w:color w:val="000000"/>
          <w:sz w:val="22"/>
          <w:szCs w:val="22"/>
        </w:rPr>
        <w:t>The enterprise structure in SAP forms the backbone of the entire system. It defines how the company is organised within SAP and how different business processes are linked together. The following table outlines the complete enterprise structure designed for VidyutKraft Industries.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700"/>
        <w:gridCol w:w="2726"/>
      </w:tblGrid>
      <w:tr w14:paraId="07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50A6DF5">
            <w:pPr>
              <w:jc w:val="center"/>
            </w:pPr>
            <w:r>
              <w:rPr>
                <w:rFonts w:ascii="Arial" w:hAnsi="Arial" w:eastAsia="Arial" w:cs="Arial"/>
                <w:b/>
                <w:bCs/>
                <w:color w:val="FFFFFF"/>
                <w:sz w:val="20"/>
                <w:szCs w:val="20"/>
              </w:rPr>
              <w:t>SAP Object</w:t>
            </w:r>
          </w:p>
        </w:tc>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3D09C71">
            <w:pPr>
              <w:jc w:val="center"/>
            </w:pPr>
            <w:r>
              <w:rPr>
                <w:rFonts w:ascii="Arial" w:hAnsi="Arial" w:eastAsia="Arial" w:cs="Arial"/>
                <w:b/>
                <w:bCs/>
                <w:color w:val="FFFFFF"/>
                <w:sz w:val="20"/>
                <w:szCs w:val="20"/>
              </w:rPr>
              <w:t>Value</w:t>
            </w:r>
          </w:p>
        </w:tc>
        <w:tc>
          <w:tcPr>
            <w:tcW w:w="272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D98C589">
            <w:pPr>
              <w:jc w:val="center"/>
            </w:pPr>
            <w:r>
              <w:rPr>
                <w:rFonts w:ascii="Arial" w:hAnsi="Arial" w:eastAsia="Arial" w:cs="Arial"/>
                <w:b/>
                <w:bCs/>
                <w:color w:val="FFFFFF"/>
                <w:sz w:val="20"/>
                <w:szCs w:val="20"/>
              </w:rPr>
              <w:t>Description</w:t>
            </w:r>
          </w:p>
        </w:tc>
      </w:tr>
      <w:tr w14:paraId="5D0F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493C43">
            <w:pPr>
              <w:jc w:val="left"/>
            </w:pPr>
            <w:r>
              <w:rPr>
                <w:rFonts w:ascii="Arial" w:hAnsi="Arial" w:eastAsia="Arial" w:cs="Arial"/>
                <w:b w:val="0"/>
                <w:bCs w:val="0"/>
                <w:color w:val="000000"/>
                <w:sz w:val="20"/>
                <w:szCs w:val="20"/>
              </w:rPr>
              <w:t>Company Code</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173918">
            <w:pPr>
              <w:jc w:val="left"/>
            </w:pPr>
            <w:r>
              <w:rPr>
                <w:rFonts w:ascii="Arial" w:hAnsi="Arial" w:eastAsia="Arial" w:cs="Arial"/>
                <w:b w:val="0"/>
                <w:bCs w:val="0"/>
                <w:color w:val="000000"/>
                <w:sz w:val="20"/>
                <w:szCs w:val="20"/>
              </w:rPr>
              <w:t>IN01</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7A44A1">
            <w:pPr>
              <w:jc w:val="left"/>
            </w:pPr>
            <w:r>
              <w:rPr>
                <w:rFonts w:ascii="Arial" w:hAnsi="Arial" w:eastAsia="Arial" w:cs="Arial"/>
                <w:b w:val="0"/>
                <w:bCs w:val="0"/>
                <w:color w:val="000000"/>
                <w:sz w:val="20"/>
                <w:szCs w:val="20"/>
              </w:rPr>
              <w:t>VidyutKraft Industries Ltd – India</w:t>
            </w:r>
          </w:p>
        </w:tc>
      </w:tr>
      <w:tr w14:paraId="660D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286B375">
            <w:pPr>
              <w:jc w:val="left"/>
            </w:pPr>
            <w:r>
              <w:rPr>
                <w:rFonts w:ascii="Arial" w:hAnsi="Arial" w:eastAsia="Arial" w:cs="Arial"/>
                <w:b w:val="0"/>
                <w:bCs w:val="0"/>
                <w:color w:val="000000"/>
                <w:sz w:val="20"/>
                <w:szCs w:val="20"/>
              </w:rPr>
              <w:t>Plant</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987911A">
            <w:pPr>
              <w:jc w:val="left"/>
            </w:pPr>
            <w:r>
              <w:rPr>
                <w:rFonts w:ascii="Arial" w:hAnsi="Arial" w:eastAsia="Arial" w:cs="Arial"/>
                <w:b w:val="0"/>
                <w:bCs w:val="0"/>
                <w:color w:val="000000"/>
                <w:sz w:val="20"/>
                <w:szCs w:val="20"/>
              </w:rPr>
              <w:t>PL01</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99793A5">
            <w:pPr>
              <w:jc w:val="left"/>
            </w:pPr>
            <w:r>
              <w:rPr>
                <w:rFonts w:ascii="Arial" w:hAnsi="Arial" w:eastAsia="Arial" w:cs="Arial"/>
                <w:b w:val="0"/>
                <w:bCs w:val="0"/>
                <w:color w:val="000000"/>
                <w:sz w:val="20"/>
                <w:szCs w:val="20"/>
              </w:rPr>
              <w:t>Pune Manufacturing Plant</w:t>
            </w:r>
          </w:p>
        </w:tc>
      </w:tr>
      <w:tr w14:paraId="15BA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11EA94">
            <w:pPr>
              <w:jc w:val="left"/>
            </w:pPr>
            <w:r>
              <w:rPr>
                <w:rFonts w:ascii="Arial" w:hAnsi="Arial" w:eastAsia="Arial" w:cs="Arial"/>
                <w:b w:val="0"/>
                <w:bCs w:val="0"/>
                <w:color w:val="000000"/>
                <w:sz w:val="20"/>
                <w:szCs w:val="20"/>
              </w:rPr>
              <w:t>Plant</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52C191">
            <w:pPr>
              <w:jc w:val="left"/>
            </w:pPr>
            <w:r>
              <w:rPr>
                <w:rFonts w:ascii="Arial" w:hAnsi="Arial" w:eastAsia="Arial" w:cs="Arial"/>
                <w:b w:val="0"/>
                <w:bCs w:val="0"/>
                <w:color w:val="000000"/>
                <w:sz w:val="20"/>
                <w:szCs w:val="20"/>
              </w:rPr>
              <w:t>PL02</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E7C225">
            <w:pPr>
              <w:jc w:val="left"/>
            </w:pPr>
            <w:r>
              <w:rPr>
                <w:rFonts w:ascii="Arial" w:hAnsi="Arial" w:eastAsia="Arial" w:cs="Arial"/>
                <w:b w:val="0"/>
                <w:bCs w:val="0"/>
                <w:color w:val="000000"/>
                <w:sz w:val="20"/>
                <w:szCs w:val="20"/>
              </w:rPr>
              <w:t>Chennai Assembly Unit</w:t>
            </w:r>
          </w:p>
        </w:tc>
      </w:tr>
      <w:tr w14:paraId="10B3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23989A3">
            <w:pPr>
              <w:jc w:val="left"/>
            </w:pPr>
            <w:r>
              <w:rPr>
                <w:rFonts w:ascii="Arial" w:hAnsi="Arial" w:eastAsia="Arial" w:cs="Arial"/>
                <w:b w:val="0"/>
                <w:bCs w:val="0"/>
                <w:color w:val="000000"/>
                <w:sz w:val="20"/>
                <w:szCs w:val="20"/>
              </w:rPr>
              <w:t>Sales Organisation</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B65D0B2">
            <w:pPr>
              <w:jc w:val="left"/>
            </w:pPr>
            <w:r>
              <w:rPr>
                <w:rFonts w:ascii="Arial" w:hAnsi="Arial" w:eastAsia="Arial" w:cs="Arial"/>
                <w:b w:val="0"/>
                <w:bCs w:val="0"/>
                <w:color w:val="000000"/>
                <w:sz w:val="20"/>
                <w:szCs w:val="20"/>
              </w:rPr>
              <w:t>SO01</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FE5A59A">
            <w:pPr>
              <w:jc w:val="left"/>
            </w:pPr>
            <w:r>
              <w:rPr>
                <w:rFonts w:ascii="Arial" w:hAnsi="Arial" w:eastAsia="Arial" w:cs="Arial"/>
                <w:b w:val="0"/>
                <w:bCs w:val="0"/>
                <w:color w:val="000000"/>
                <w:sz w:val="20"/>
                <w:szCs w:val="20"/>
              </w:rPr>
              <w:t>India Sales Organisation</w:t>
            </w:r>
          </w:p>
        </w:tc>
      </w:tr>
      <w:tr w14:paraId="0B9C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5FE303">
            <w:pPr>
              <w:jc w:val="left"/>
            </w:pPr>
            <w:r>
              <w:rPr>
                <w:rFonts w:ascii="Arial" w:hAnsi="Arial" w:eastAsia="Arial" w:cs="Arial"/>
                <w:b w:val="0"/>
                <w:bCs w:val="0"/>
                <w:color w:val="000000"/>
                <w:sz w:val="20"/>
                <w:szCs w:val="20"/>
              </w:rPr>
              <w:t>Distribution Channel</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31F751">
            <w:pPr>
              <w:jc w:val="left"/>
            </w:pPr>
            <w:r>
              <w:rPr>
                <w:rFonts w:ascii="Arial" w:hAnsi="Arial" w:eastAsia="Arial" w:cs="Arial"/>
                <w:b w:val="0"/>
                <w:bCs w:val="0"/>
                <w:color w:val="000000"/>
                <w:sz w:val="20"/>
                <w:szCs w:val="20"/>
              </w:rPr>
              <w:t>DC01</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5E45DF">
            <w:pPr>
              <w:jc w:val="left"/>
            </w:pPr>
            <w:r>
              <w:rPr>
                <w:rFonts w:ascii="Arial" w:hAnsi="Arial" w:eastAsia="Arial" w:cs="Arial"/>
                <w:b w:val="0"/>
                <w:bCs w:val="0"/>
                <w:color w:val="000000"/>
                <w:sz w:val="20"/>
                <w:szCs w:val="20"/>
              </w:rPr>
              <w:t>Wholesale / Direct Sales</w:t>
            </w:r>
          </w:p>
        </w:tc>
      </w:tr>
      <w:tr w14:paraId="4B80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7704C61">
            <w:pPr>
              <w:jc w:val="left"/>
            </w:pPr>
            <w:r>
              <w:rPr>
                <w:rFonts w:ascii="Arial" w:hAnsi="Arial" w:eastAsia="Arial" w:cs="Arial"/>
                <w:b w:val="0"/>
                <w:bCs w:val="0"/>
                <w:color w:val="000000"/>
                <w:sz w:val="20"/>
                <w:szCs w:val="20"/>
              </w:rPr>
              <w:t>Division</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03D5578">
            <w:pPr>
              <w:jc w:val="left"/>
            </w:pPr>
            <w:r>
              <w:rPr>
                <w:rFonts w:ascii="Arial" w:hAnsi="Arial" w:eastAsia="Arial" w:cs="Arial"/>
                <w:b w:val="0"/>
                <w:bCs w:val="0"/>
                <w:color w:val="000000"/>
                <w:sz w:val="20"/>
                <w:szCs w:val="20"/>
              </w:rPr>
              <w:t>D01</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E9E5A2B">
            <w:pPr>
              <w:jc w:val="left"/>
            </w:pPr>
            <w:r>
              <w:rPr>
                <w:rFonts w:ascii="Arial" w:hAnsi="Arial" w:eastAsia="Arial" w:cs="Arial"/>
                <w:b w:val="0"/>
                <w:bCs w:val="0"/>
                <w:color w:val="000000"/>
                <w:sz w:val="20"/>
                <w:szCs w:val="20"/>
              </w:rPr>
              <w:t>Industrial Equipment</w:t>
            </w:r>
          </w:p>
        </w:tc>
      </w:tr>
      <w:tr w14:paraId="666F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8DD4C7">
            <w:pPr>
              <w:jc w:val="left"/>
            </w:pPr>
            <w:r>
              <w:rPr>
                <w:rFonts w:ascii="Arial" w:hAnsi="Arial" w:eastAsia="Arial" w:cs="Arial"/>
                <w:b w:val="0"/>
                <w:bCs w:val="0"/>
                <w:color w:val="000000"/>
                <w:sz w:val="20"/>
                <w:szCs w:val="20"/>
              </w:rPr>
              <w:t>Purchasing Organisation</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B5CCF7">
            <w:pPr>
              <w:jc w:val="left"/>
            </w:pPr>
            <w:r>
              <w:rPr>
                <w:rFonts w:ascii="Arial" w:hAnsi="Arial" w:eastAsia="Arial" w:cs="Arial"/>
                <w:b w:val="0"/>
                <w:bCs w:val="0"/>
                <w:color w:val="000000"/>
                <w:sz w:val="20"/>
                <w:szCs w:val="20"/>
              </w:rPr>
              <w:t>PO01</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F52407">
            <w:pPr>
              <w:jc w:val="left"/>
            </w:pPr>
            <w:r>
              <w:rPr>
                <w:rFonts w:ascii="Arial" w:hAnsi="Arial" w:eastAsia="Arial" w:cs="Arial"/>
                <w:b w:val="0"/>
                <w:bCs w:val="0"/>
                <w:color w:val="000000"/>
                <w:sz w:val="20"/>
                <w:szCs w:val="20"/>
              </w:rPr>
              <w:t>Central Procurement</w:t>
            </w:r>
          </w:p>
        </w:tc>
      </w:tr>
      <w:tr w14:paraId="25CB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FC1857B">
            <w:pPr>
              <w:jc w:val="left"/>
            </w:pPr>
            <w:r>
              <w:rPr>
                <w:rFonts w:ascii="Arial" w:hAnsi="Arial" w:eastAsia="Arial" w:cs="Arial"/>
                <w:b w:val="0"/>
                <w:bCs w:val="0"/>
                <w:color w:val="000000"/>
                <w:sz w:val="20"/>
                <w:szCs w:val="20"/>
              </w:rPr>
              <w:t>Storage Location</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3146164">
            <w:pPr>
              <w:jc w:val="left"/>
            </w:pPr>
            <w:r>
              <w:rPr>
                <w:rFonts w:ascii="Arial" w:hAnsi="Arial" w:eastAsia="Arial" w:cs="Arial"/>
                <w:b w:val="0"/>
                <w:bCs w:val="0"/>
                <w:color w:val="000000"/>
                <w:sz w:val="20"/>
                <w:szCs w:val="20"/>
              </w:rPr>
              <w:t>SL01</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A00C364">
            <w:pPr>
              <w:jc w:val="left"/>
            </w:pPr>
            <w:r>
              <w:rPr>
                <w:rFonts w:ascii="Arial" w:hAnsi="Arial" w:eastAsia="Arial" w:cs="Arial"/>
                <w:b w:val="0"/>
                <w:bCs w:val="0"/>
                <w:color w:val="000000"/>
                <w:sz w:val="20"/>
                <w:szCs w:val="20"/>
              </w:rPr>
              <w:t>Raw Materials Store</w:t>
            </w:r>
          </w:p>
        </w:tc>
      </w:tr>
      <w:tr w14:paraId="24E3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95D9C4">
            <w:pPr>
              <w:jc w:val="left"/>
            </w:pPr>
            <w:r>
              <w:rPr>
                <w:rFonts w:ascii="Arial" w:hAnsi="Arial" w:eastAsia="Arial" w:cs="Arial"/>
                <w:b w:val="0"/>
                <w:bCs w:val="0"/>
                <w:color w:val="000000"/>
                <w:sz w:val="20"/>
                <w:szCs w:val="20"/>
              </w:rPr>
              <w:t>Storage Location</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40A8DA">
            <w:pPr>
              <w:jc w:val="left"/>
            </w:pPr>
            <w:r>
              <w:rPr>
                <w:rFonts w:ascii="Arial" w:hAnsi="Arial" w:eastAsia="Arial" w:cs="Arial"/>
                <w:b w:val="0"/>
                <w:bCs w:val="0"/>
                <w:color w:val="000000"/>
                <w:sz w:val="20"/>
                <w:szCs w:val="20"/>
              </w:rPr>
              <w:t>SL02</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7ABA29">
            <w:pPr>
              <w:jc w:val="left"/>
            </w:pPr>
            <w:r>
              <w:rPr>
                <w:rFonts w:ascii="Arial" w:hAnsi="Arial" w:eastAsia="Arial" w:cs="Arial"/>
                <w:b w:val="0"/>
                <w:bCs w:val="0"/>
                <w:color w:val="000000"/>
                <w:sz w:val="20"/>
                <w:szCs w:val="20"/>
              </w:rPr>
              <w:t>Finished Goods Store</w:t>
            </w:r>
          </w:p>
        </w:tc>
      </w:tr>
      <w:tr w14:paraId="06C9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CA2C440">
            <w:pPr>
              <w:jc w:val="left"/>
            </w:pPr>
            <w:r>
              <w:rPr>
                <w:rFonts w:ascii="Arial" w:hAnsi="Arial" w:eastAsia="Arial" w:cs="Arial"/>
                <w:b w:val="0"/>
                <w:bCs w:val="0"/>
                <w:color w:val="000000"/>
                <w:sz w:val="20"/>
                <w:szCs w:val="20"/>
              </w:rPr>
              <w:t>Credit Control Area</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E24DE0B">
            <w:pPr>
              <w:jc w:val="left"/>
            </w:pPr>
            <w:r>
              <w:rPr>
                <w:rFonts w:ascii="Arial" w:hAnsi="Arial" w:eastAsia="Arial" w:cs="Arial"/>
                <w:b w:val="0"/>
                <w:bCs w:val="0"/>
                <w:color w:val="000000"/>
                <w:sz w:val="20"/>
                <w:szCs w:val="20"/>
              </w:rPr>
              <w:t>CC01</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BCF96CD">
            <w:pPr>
              <w:jc w:val="left"/>
            </w:pPr>
            <w:r>
              <w:rPr>
                <w:rFonts w:ascii="Arial" w:hAnsi="Arial" w:eastAsia="Arial" w:cs="Arial"/>
                <w:b w:val="0"/>
                <w:bCs w:val="0"/>
                <w:color w:val="000000"/>
                <w:sz w:val="20"/>
                <w:szCs w:val="20"/>
              </w:rPr>
              <w:t>India Credit Control</w:t>
            </w:r>
          </w:p>
        </w:tc>
      </w:tr>
      <w:tr w14:paraId="2C54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31178F">
            <w:pPr>
              <w:jc w:val="left"/>
            </w:pPr>
            <w:r>
              <w:rPr>
                <w:rFonts w:ascii="Arial" w:hAnsi="Arial" w:eastAsia="Arial" w:cs="Arial"/>
                <w:b w:val="0"/>
                <w:bCs w:val="0"/>
                <w:color w:val="000000"/>
                <w:sz w:val="20"/>
                <w:szCs w:val="20"/>
              </w:rPr>
              <w:t>Chart of Accounts</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C5FE29">
            <w:pPr>
              <w:jc w:val="left"/>
            </w:pPr>
            <w:r>
              <w:rPr>
                <w:rFonts w:ascii="Arial" w:hAnsi="Arial" w:eastAsia="Arial" w:cs="Arial"/>
                <w:b w:val="0"/>
                <w:bCs w:val="0"/>
                <w:color w:val="000000"/>
                <w:sz w:val="20"/>
                <w:szCs w:val="20"/>
              </w:rPr>
              <w:t>CAIN</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D33EBC">
            <w:pPr>
              <w:jc w:val="left"/>
            </w:pPr>
            <w:r>
              <w:rPr>
                <w:rFonts w:ascii="Arial" w:hAnsi="Arial" w:eastAsia="Arial" w:cs="Arial"/>
                <w:b w:val="0"/>
                <w:bCs w:val="0"/>
                <w:color w:val="000000"/>
                <w:sz w:val="20"/>
                <w:szCs w:val="20"/>
              </w:rPr>
              <w:t>Indian Chart of Accounts</w:t>
            </w:r>
          </w:p>
        </w:tc>
      </w:tr>
      <w:tr w14:paraId="5105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D505B84">
            <w:pPr>
              <w:jc w:val="left"/>
            </w:pPr>
            <w:r>
              <w:rPr>
                <w:rFonts w:ascii="Arial" w:hAnsi="Arial" w:eastAsia="Arial" w:cs="Arial"/>
                <w:b w:val="0"/>
                <w:bCs w:val="0"/>
                <w:color w:val="000000"/>
                <w:sz w:val="20"/>
                <w:szCs w:val="20"/>
              </w:rPr>
              <w:t>Fiscal Year Variant</w:t>
            </w:r>
          </w:p>
        </w:tc>
        <w:tc>
          <w:tcPr>
            <w:tcW w:w="27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D9F111A">
            <w:pPr>
              <w:jc w:val="left"/>
            </w:pPr>
            <w:r>
              <w:rPr>
                <w:rFonts w:ascii="Arial" w:hAnsi="Arial" w:eastAsia="Arial" w:cs="Arial"/>
                <w:b w:val="0"/>
                <w:bCs w:val="0"/>
                <w:color w:val="000000"/>
                <w:sz w:val="20"/>
                <w:szCs w:val="20"/>
              </w:rPr>
              <w:t>V3</w:t>
            </w:r>
          </w:p>
        </w:tc>
        <w:tc>
          <w:tcPr>
            <w:tcW w:w="27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137DA56">
            <w:pPr>
              <w:jc w:val="left"/>
            </w:pPr>
            <w:r>
              <w:rPr>
                <w:rFonts w:ascii="Arial" w:hAnsi="Arial" w:eastAsia="Arial" w:cs="Arial"/>
                <w:b w:val="0"/>
                <w:bCs w:val="0"/>
                <w:color w:val="000000"/>
                <w:sz w:val="20"/>
                <w:szCs w:val="20"/>
              </w:rPr>
              <w:t>April – March (Indian FY)</w:t>
            </w:r>
          </w:p>
        </w:tc>
      </w:tr>
    </w:tbl>
    <w:p w14:paraId="1D4D9E3E"/>
    <w:p w14:paraId="545DD888">
      <w:pPr>
        <w:spacing w:before="120" w:after="120"/>
        <w:jc w:val="left"/>
      </w:pPr>
      <w:r>
        <w:rPr>
          <w:rFonts w:ascii="Arial" w:hAnsi="Arial" w:eastAsia="Arial" w:cs="Arial"/>
          <w:b w:val="0"/>
          <w:bCs w:val="0"/>
          <w:i/>
          <w:iCs/>
          <w:color w:val="555555"/>
          <w:sz w:val="22"/>
          <w:szCs w:val="22"/>
        </w:rPr>
        <w:t>Note: The fiscal year follows the Indian financial year from April to March, and all statutory filings are aligned with Indian GST regulations under the company code IN01.</w:t>
      </w:r>
    </w:p>
    <w:p w14:paraId="2B7865FD"/>
    <w:p w14:paraId="7FC3A017">
      <w:pPr>
        <w:pStyle w:val="2"/>
        <w:pBdr>
          <w:bottom w:val="single" w:color="2E75B6" w:sz="8" w:space="6"/>
        </w:pBdr>
        <w:spacing w:before="320" w:after="160"/>
      </w:pPr>
      <w:r>
        <w:rPr>
          <w:rFonts w:ascii="Arial" w:hAnsi="Arial" w:eastAsia="Arial" w:cs="Arial"/>
          <w:b/>
          <w:bCs/>
          <w:color w:val="1F3864"/>
          <w:sz w:val="32"/>
          <w:szCs w:val="32"/>
        </w:rPr>
        <w:t>5.  SAP Modules Explanation</w:t>
      </w:r>
    </w:p>
    <w:p w14:paraId="35A1E5C0">
      <w:pPr>
        <w:pStyle w:val="3"/>
        <w:spacing w:before="240" w:after="120"/>
      </w:pPr>
      <w:r>
        <w:rPr>
          <w:rFonts w:ascii="Arial" w:hAnsi="Arial" w:eastAsia="Arial" w:cs="Arial"/>
          <w:b/>
          <w:bCs/>
          <w:color w:val="2E75B6"/>
          <w:sz w:val="26"/>
          <w:szCs w:val="26"/>
        </w:rPr>
        <w:t>5.1  Financial Accounting (FI)</w:t>
      </w:r>
    </w:p>
    <w:p w14:paraId="345B0824">
      <w:pPr>
        <w:spacing w:before="120" w:after="120"/>
        <w:jc w:val="left"/>
      </w:pPr>
      <w:r>
        <w:rPr>
          <w:rFonts w:ascii="Arial" w:hAnsi="Arial" w:eastAsia="Arial" w:cs="Arial"/>
          <w:b w:val="0"/>
          <w:bCs w:val="0"/>
          <w:i w:val="0"/>
          <w:iCs w:val="0"/>
          <w:color w:val="000000"/>
          <w:sz w:val="22"/>
          <w:szCs w:val="22"/>
        </w:rPr>
        <w:t>The SAP Financial Accounting module is the backbone of the financial operations at VidyutKraft. It records every financial transaction in real time and ensures that the company's books of accounts are always accurate, compliant, and audit-ready.</w:t>
      </w:r>
    </w:p>
    <w:p w14:paraId="22AB3DD5">
      <w:pPr>
        <w:spacing w:before="120" w:after="120"/>
        <w:jc w:val="left"/>
      </w:pPr>
      <w:r>
        <w:rPr>
          <w:rFonts w:ascii="Arial" w:hAnsi="Arial" w:eastAsia="Arial" w:cs="Arial"/>
          <w:b w:val="0"/>
          <w:bCs w:val="0"/>
          <w:i w:val="0"/>
          <w:iCs w:val="0"/>
          <w:color w:val="000000"/>
          <w:sz w:val="22"/>
          <w:szCs w:val="22"/>
        </w:rPr>
        <w:t>Key components configured for VidyutKraft:</w:t>
      </w:r>
    </w:p>
    <w:p w14:paraId="0EA7DB50">
      <w:pPr>
        <w:pStyle w:val="16"/>
        <w:numPr>
          <w:ilvl w:val="0"/>
          <w:numId w:val="1"/>
        </w:numPr>
        <w:spacing w:before="60" w:after="60"/>
      </w:pPr>
      <w:r>
        <w:rPr>
          <w:rFonts w:ascii="Arial" w:hAnsi="Arial" w:eastAsia="Arial" w:cs="Arial"/>
          <w:color w:val="000000"/>
          <w:sz w:val="20"/>
          <w:szCs w:val="20"/>
        </w:rPr>
        <w:t>General Ledger (G/L): All journal entries, accruals, and inter-company transactions are posted here. The chart of accounts CAIN has been configured with all relevant accounts.</w:t>
      </w:r>
    </w:p>
    <w:p w14:paraId="6535E790">
      <w:pPr>
        <w:pStyle w:val="16"/>
        <w:numPr>
          <w:ilvl w:val="0"/>
          <w:numId w:val="1"/>
        </w:numPr>
        <w:spacing w:before="60" w:after="60"/>
      </w:pPr>
      <w:r>
        <w:rPr>
          <w:rFonts w:ascii="Arial" w:hAnsi="Arial" w:eastAsia="Arial" w:cs="Arial"/>
          <w:color w:val="000000"/>
          <w:sz w:val="20"/>
          <w:szCs w:val="20"/>
        </w:rPr>
        <w:t>Accounts Payable (AP): Manages vendor invoices, payment runs, and ageing reports. Vendor master data is maintained centrally.</w:t>
      </w:r>
    </w:p>
    <w:p w14:paraId="3B36F491">
      <w:pPr>
        <w:pStyle w:val="16"/>
        <w:numPr>
          <w:ilvl w:val="0"/>
          <w:numId w:val="1"/>
        </w:numPr>
        <w:spacing w:before="60" w:after="60"/>
      </w:pPr>
      <w:r>
        <w:rPr>
          <w:rFonts w:ascii="Arial" w:hAnsi="Arial" w:eastAsia="Arial" w:cs="Arial"/>
          <w:color w:val="000000"/>
          <w:sz w:val="20"/>
          <w:szCs w:val="20"/>
        </w:rPr>
        <w:t>Accounts Receivable (AR): Tracks customer invoices, incoming payments, and outstanding dues. Integrated with the SD module for automatic billing document posting.</w:t>
      </w:r>
    </w:p>
    <w:p w14:paraId="661D3ABC">
      <w:pPr>
        <w:pStyle w:val="16"/>
        <w:numPr>
          <w:ilvl w:val="0"/>
          <w:numId w:val="1"/>
        </w:numPr>
        <w:spacing w:before="60" w:after="60"/>
      </w:pPr>
      <w:r>
        <w:rPr>
          <w:rFonts w:ascii="Arial" w:hAnsi="Arial" w:eastAsia="Arial" w:cs="Arial"/>
          <w:color w:val="000000"/>
          <w:sz w:val="20"/>
          <w:szCs w:val="20"/>
        </w:rPr>
        <w:t>Asset Accounting (AA): Manages company assets such as machinery and office equipment, with depreciation calculation as per the Companies Act 2013.</w:t>
      </w:r>
    </w:p>
    <w:p w14:paraId="799502E7">
      <w:pPr>
        <w:pStyle w:val="16"/>
        <w:numPr>
          <w:ilvl w:val="0"/>
          <w:numId w:val="1"/>
        </w:numPr>
        <w:spacing w:before="60" w:after="60"/>
      </w:pPr>
      <w:r>
        <w:rPr>
          <w:rFonts w:ascii="Arial" w:hAnsi="Arial" w:eastAsia="Arial" w:cs="Arial"/>
          <w:color w:val="000000"/>
          <w:sz w:val="20"/>
          <w:szCs w:val="20"/>
        </w:rPr>
        <w:t>Indian GST Configuration: CGST, SGST, IGST, and CESS tax codes have been created. The system is configured to generate GST returns (GSTR-1, GSTR-3B) compatible data.</w:t>
      </w:r>
    </w:p>
    <w:p w14:paraId="7FC470CC">
      <w:pPr>
        <w:pStyle w:val="16"/>
        <w:numPr>
          <w:ilvl w:val="0"/>
          <w:numId w:val="1"/>
        </w:numPr>
        <w:spacing w:before="60" w:after="60"/>
      </w:pPr>
      <w:r>
        <w:rPr>
          <w:rFonts w:ascii="Arial" w:hAnsi="Arial" w:eastAsia="Arial" w:cs="Arial"/>
          <w:color w:val="000000"/>
          <w:sz w:val="20"/>
          <w:szCs w:val="20"/>
        </w:rPr>
        <w:t>Controlling Integration (CO-FI): Profit centre and cost centre accounting is enabled for internal management reporting.</w:t>
      </w:r>
    </w:p>
    <w:p w14:paraId="5586991C">
      <w:pPr>
        <w:pStyle w:val="3"/>
        <w:spacing w:before="240" w:after="120"/>
      </w:pPr>
      <w:r>
        <w:rPr>
          <w:rFonts w:ascii="Arial" w:hAnsi="Arial" w:eastAsia="Arial" w:cs="Arial"/>
          <w:b/>
          <w:bCs/>
          <w:color w:val="2E75B6"/>
          <w:sz w:val="26"/>
          <w:szCs w:val="26"/>
        </w:rPr>
        <w:t>5.2  Materials Management (MM)</w:t>
      </w:r>
    </w:p>
    <w:p w14:paraId="2871DCBD">
      <w:pPr>
        <w:spacing w:before="120" w:after="120"/>
        <w:jc w:val="left"/>
      </w:pPr>
      <w:r>
        <w:rPr>
          <w:rFonts w:ascii="Arial" w:hAnsi="Arial" w:eastAsia="Arial" w:cs="Arial"/>
          <w:b w:val="0"/>
          <w:bCs w:val="0"/>
          <w:i w:val="0"/>
          <w:iCs w:val="0"/>
          <w:color w:val="000000"/>
          <w:sz w:val="22"/>
          <w:szCs w:val="22"/>
        </w:rPr>
        <w:t>The SAP Materials Management module handles all procurement and inventory-related activities. For VidyutKraft, this module is critical because raw material procurement directly impacts production planning and cost control.</w:t>
      </w:r>
    </w:p>
    <w:p w14:paraId="568CDA43">
      <w:pPr>
        <w:spacing w:before="120" w:after="120"/>
        <w:jc w:val="left"/>
      </w:pPr>
      <w:r>
        <w:rPr>
          <w:rFonts w:ascii="Arial" w:hAnsi="Arial" w:eastAsia="Arial" w:cs="Arial"/>
          <w:b w:val="0"/>
          <w:bCs w:val="0"/>
          <w:i w:val="0"/>
          <w:iCs w:val="0"/>
          <w:color w:val="000000"/>
          <w:sz w:val="22"/>
          <w:szCs w:val="22"/>
        </w:rPr>
        <w:t>Key components configured:</w:t>
      </w:r>
    </w:p>
    <w:p w14:paraId="76E745B7">
      <w:pPr>
        <w:pStyle w:val="16"/>
        <w:numPr>
          <w:ilvl w:val="0"/>
          <w:numId w:val="1"/>
        </w:numPr>
        <w:spacing w:before="60" w:after="60"/>
      </w:pPr>
      <w:r>
        <w:rPr>
          <w:rFonts w:ascii="Arial" w:hAnsi="Arial" w:eastAsia="Arial" w:cs="Arial"/>
          <w:color w:val="000000"/>
          <w:sz w:val="20"/>
          <w:szCs w:val="20"/>
        </w:rPr>
        <w:t>Material Master: A unified record for every raw material, semi-finished good, and finished product, containing details like unit of measure, storage conditions, valuation class, and procurement type.</w:t>
      </w:r>
    </w:p>
    <w:p w14:paraId="55DB314E">
      <w:pPr>
        <w:pStyle w:val="16"/>
        <w:numPr>
          <w:ilvl w:val="0"/>
          <w:numId w:val="1"/>
        </w:numPr>
        <w:spacing w:before="60" w:after="60"/>
      </w:pPr>
      <w:r>
        <w:rPr>
          <w:rFonts w:ascii="Arial" w:hAnsi="Arial" w:eastAsia="Arial" w:cs="Arial"/>
          <w:color w:val="000000"/>
          <w:sz w:val="20"/>
          <w:szCs w:val="20"/>
        </w:rPr>
        <w:t>Vendor Master: Centralised vendor data that is shared between purchasing (MM) and accounts payable (FI), ensuring consistency.</w:t>
      </w:r>
    </w:p>
    <w:p w14:paraId="25A32455">
      <w:pPr>
        <w:pStyle w:val="16"/>
        <w:numPr>
          <w:ilvl w:val="0"/>
          <w:numId w:val="1"/>
        </w:numPr>
        <w:spacing w:before="60" w:after="60"/>
      </w:pPr>
      <w:r>
        <w:rPr>
          <w:rFonts w:ascii="Arial" w:hAnsi="Arial" w:eastAsia="Arial" w:cs="Arial"/>
          <w:color w:val="000000"/>
          <w:sz w:val="20"/>
          <w:szCs w:val="20"/>
        </w:rPr>
        <w:t>Purchase Requisition (PR) &amp; Purchase Order (PO): The system supports both MRP-driven and manual requisitions, with multi-level approval workflows.</w:t>
      </w:r>
    </w:p>
    <w:p w14:paraId="7668BCB8">
      <w:pPr>
        <w:pStyle w:val="16"/>
        <w:numPr>
          <w:ilvl w:val="0"/>
          <w:numId w:val="1"/>
        </w:numPr>
        <w:spacing w:before="60" w:after="60"/>
      </w:pPr>
      <w:r>
        <w:rPr>
          <w:rFonts w:ascii="Arial" w:hAnsi="Arial" w:eastAsia="Arial" w:cs="Arial"/>
          <w:color w:val="000000"/>
          <w:sz w:val="20"/>
          <w:szCs w:val="20"/>
        </w:rPr>
        <w:t>Goods Receipt (GR): When materials arrive at the plant, the GR posting in SAP creates a material document and updates inventory in real time.</w:t>
      </w:r>
    </w:p>
    <w:p w14:paraId="604A954E">
      <w:pPr>
        <w:pStyle w:val="16"/>
        <w:numPr>
          <w:ilvl w:val="0"/>
          <w:numId w:val="1"/>
        </w:numPr>
        <w:spacing w:before="60" w:after="60"/>
      </w:pPr>
      <w:r>
        <w:rPr>
          <w:rFonts w:ascii="Arial" w:hAnsi="Arial" w:eastAsia="Arial" w:cs="Arial"/>
          <w:color w:val="000000"/>
          <w:sz w:val="20"/>
          <w:szCs w:val="20"/>
        </w:rPr>
        <w:t>Invoice Verification (MIRO): Vendor invoices are matched with the PO and GR (3-way match) before approval and payment.</w:t>
      </w:r>
    </w:p>
    <w:p w14:paraId="751A1DF0">
      <w:pPr>
        <w:pStyle w:val="16"/>
        <w:numPr>
          <w:ilvl w:val="0"/>
          <w:numId w:val="1"/>
        </w:numPr>
        <w:spacing w:before="60" w:after="60"/>
      </w:pPr>
      <w:r>
        <w:rPr>
          <w:rFonts w:ascii="Arial" w:hAnsi="Arial" w:eastAsia="Arial" w:cs="Arial"/>
          <w:color w:val="000000"/>
          <w:sz w:val="20"/>
          <w:szCs w:val="20"/>
        </w:rPr>
        <w:t>Inventory Management: Supports stock transfers, physical inventory, and automatic reorder point planning.</w:t>
      </w:r>
    </w:p>
    <w:p w14:paraId="2FBC7D2E">
      <w:pPr>
        <w:pStyle w:val="3"/>
        <w:spacing w:before="240" w:after="120"/>
      </w:pPr>
      <w:r>
        <w:rPr>
          <w:rFonts w:ascii="Arial" w:hAnsi="Arial" w:eastAsia="Arial" w:cs="Arial"/>
          <w:b/>
          <w:bCs/>
          <w:color w:val="2E75B6"/>
          <w:sz w:val="26"/>
          <w:szCs w:val="26"/>
        </w:rPr>
        <w:t>5.3  Sales &amp; Distribution (SD)</w:t>
      </w:r>
    </w:p>
    <w:p w14:paraId="71F4E557">
      <w:pPr>
        <w:spacing w:before="120" w:after="120"/>
        <w:jc w:val="left"/>
      </w:pPr>
      <w:r>
        <w:rPr>
          <w:rFonts w:ascii="Arial" w:hAnsi="Arial" w:eastAsia="Arial" w:cs="Arial"/>
          <w:b w:val="0"/>
          <w:bCs w:val="0"/>
          <w:i w:val="0"/>
          <w:iCs w:val="0"/>
          <w:color w:val="000000"/>
          <w:sz w:val="22"/>
          <w:szCs w:val="22"/>
        </w:rPr>
        <w:t>The SAP Sales &amp; Distribution module manages everything from the time a customer places an order to the moment payment is received. For VidyutKraft, this module connects the commercial team with the warehouse and finance teams seamlessly.</w:t>
      </w:r>
    </w:p>
    <w:p w14:paraId="0795A271">
      <w:pPr>
        <w:spacing w:before="120" w:after="120"/>
        <w:jc w:val="left"/>
      </w:pPr>
      <w:r>
        <w:rPr>
          <w:rFonts w:ascii="Arial" w:hAnsi="Arial" w:eastAsia="Arial" w:cs="Arial"/>
          <w:b w:val="0"/>
          <w:bCs w:val="0"/>
          <w:i w:val="0"/>
          <w:iCs w:val="0"/>
          <w:color w:val="000000"/>
          <w:sz w:val="22"/>
          <w:szCs w:val="22"/>
        </w:rPr>
        <w:t>Key components configured:</w:t>
      </w:r>
    </w:p>
    <w:p w14:paraId="6D322C8A">
      <w:pPr>
        <w:pStyle w:val="16"/>
        <w:numPr>
          <w:ilvl w:val="0"/>
          <w:numId w:val="1"/>
        </w:numPr>
        <w:spacing w:before="60" w:after="60"/>
      </w:pPr>
      <w:r>
        <w:rPr>
          <w:rFonts w:ascii="Arial" w:hAnsi="Arial" w:eastAsia="Arial" w:cs="Arial"/>
          <w:color w:val="000000"/>
          <w:sz w:val="20"/>
          <w:szCs w:val="20"/>
        </w:rPr>
        <w:t>Customer Master: Contains complete information about each customer, including payment terms, credit limit, pricing conditions, and delivery addresses.</w:t>
      </w:r>
    </w:p>
    <w:p w14:paraId="58A6B7CB">
      <w:pPr>
        <w:pStyle w:val="16"/>
        <w:numPr>
          <w:ilvl w:val="0"/>
          <w:numId w:val="1"/>
        </w:numPr>
        <w:spacing w:before="60" w:after="60"/>
      </w:pPr>
      <w:r>
        <w:rPr>
          <w:rFonts w:ascii="Arial" w:hAnsi="Arial" w:eastAsia="Arial" w:cs="Arial"/>
          <w:color w:val="000000"/>
          <w:sz w:val="20"/>
          <w:szCs w:val="20"/>
        </w:rPr>
        <w:t>Sales Order (VA01): When a customer order is received, a sales order is created that drives all downstream processes like delivery and billing.</w:t>
      </w:r>
    </w:p>
    <w:p w14:paraId="7EE9AE2F">
      <w:pPr>
        <w:pStyle w:val="16"/>
        <w:numPr>
          <w:ilvl w:val="0"/>
          <w:numId w:val="1"/>
        </w:numPr>
        <w:spacing w:before="60" w:after="60"/>
      </w:pPr>
      <w:r>
        <w:rPr>
          <w:rFonts w:ascii="Arial" w:hAnsi="Arial" w:eastAsia="Arial" w:cs="Arial"/>
          <w:color w:val="000000"/>
          <w:sz w:val="20"/>
          <w:szCs w:val="20"/>
        </w:rPr>
        <w:t>Availability Check: The system automatically checks if the ordered quantity is available before confirming the delivery date to the customer.</w:t>
      </w:r>
    </w:p>
    <w:p w14:paraId="7CAB180D">
      <w:pPr>
        <w:pStyle w:val="16"/>
        <w:numPr>
          <w:ilvl w:val="0"/>
          <w:numId w:val="1"/>
        </w:numPr>
        <w:spacing w:before="60" w:after="60"/>
      </w:pPr>
      <w:r>
        <w:rPr>
          <w:rFonts w:ascii="Arial" w:hAnsi="Arial" w:eastAsia="Arial" w:cs="Arial"/>
          <w:color w:val="000000"/>
          <w:sz w:val="20"/>
          <w:szCs w:val="20"/>
        </w:rPr>
        <w:t>Delivery Processing (VL01N): The outbound delivery document triggers the picking and packing process in the warehouse.</w:t>
      </w:r>
    </w:p>
    <w:p w14:paraId="19805251">
      <w:pPr>
        <w:pStyle w:val="16"/>
        <w:numPr>
          <w:ilvl w:val="0"/>
          <w:numId w:val="1"/>
        </w:numPr>
        <w:spacing w:before="60" w:after="60"/>
      </w:pPr>
      <w:r>
        <w:rPr>
          <w:rFonts w:ascii="Arial" w:hAnsi="Arial" w:eastAsia="Arial" w:cs="Arial"/>
          <w:color w:val="000000"/>
          <w:sz w:val="20"/>
          <w:szCs w:val="20"/>
        </w:rPr>
        <w:t>Billing (VF01): After delivery confirmation, the billing document is automatically created and posted to the FI module as an accounting entry.</w:t>
      </w:r>
    </w:p>
    <w:p w14:paraId="42B48398">
      <w:pPr>
        <w:pStyle w:val="16"/>
        <w:numPr>
          <w:ilvl w:val="0"/>
          <w:numId w:val="1"/>
        </w:numPr>
        <w:spacing w:before="60" w:after="60"/>
      </w:pPr>
      <w:r>
        <w:rPr>
          <w:rFonts w:ascii="Arial" w:hAnsi="Arial" w:eastAsia="Arial" w:cs="Arial"/>
          <w:color w:val="000000"/>
          <w:sz w:val="20"/>
          <w:szCs w:val="20"/>
        </w:rPr>
        <w:t>Credit Management: Customers are assigned credit limits. If an order exceeds the limit, it is automatically blocked for approval by the finance team.</w:t>
      </w:r>
    </w:p>
    <w:p w14:paraId="2D0174C2"/>
    <w:p w14:paraId="1A951CF8">
      <w:pPr>
        <w:pStyle w:val="2"/>
        <w:pBdr>
          <w:bottom w:val="single" w:color="2E75B6" w:sz="8" w:space="6"/>
        </w:pBdr>
        <w:spacing w:before="320" w:after="160"/>
      </w:pPr>
      <w:r>
        <w:rPr>
          <w:rFonts w:ascii="Arial" w:hAnsi="Arial" w:eastAsia="Arial" w:cs="Arial"/>
          <w:b/>
          <w:bCs/>
          <w:color w:val="1F3864"/>
          <w:sz w:val="32"/>
          <w:szCs w:val="32"/>
        </w:rPr>
        <w:t>6.  Business Process Flows</w:t>
      </w:r>
    </w:p>
    <w:p w14:paraId="0838543E">
      <w:pPr>
        <w:pStyle w:val="3"/>
        <w:spacing w:before="240" w:after="120"/>
      </w:pPr>
      <w:r>
        <w:rPr>
          <w:rFonts w:ascii="Arial" w:hAnsi="Arial" w:eastAsia="Arial" w:cs="Arial"/>
          <w:b/>
          <w:bCs/>
          <w:color w:val="2E75B6"/>
          <w:sz w:val="26"/>
          <w:szCs w:val="26"/>
        </w:rPr>
        <w:t>6.1  Order-to-Cash (O2C) – SD Process</w:t>
      </w:r>
    </w:p>
    <w:p w14:paraId="555A0F0C">
      <w:pPr>
        <w:spacing w:before="120" w:after="120"/>
        <w:jc w:val="left"/>
      </w:pPr>
      <w:r>
        <w:rPr>
          <w:rFonts w:ascii="Arial" w:hAnsi="Arial" w:eastAsia="Arial" w:cs="Arial"/>
          <w:b w:val="0"/>
          <w:bCs w:val="0"/>
          <w:i w:val="0"/>
          <w:iCs w:val="0"/>
          <w:color w:val="000000"/>
          <w:sz w:val="22"/>
          <w:szCs w:val="22"/>
        </w:rPr>
        <w:t>The Order-to-Cash cycle is the most important business process for VidyutKraft as it directly drives revenue. Below is the step-by-step flow: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2458"/>
        <w:gridCol w:w="3440"/>
        <w:gridCol w:w="2454"/>
      </w:tblGrid>
      <w:tr w14:paraId="75C8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ADCB875">
            <w:pPr>
              <w:jc w:val="center"/>
            </w:pPr>
            <w:r>
              <w:rPr>
                <w:rFonts w:ascii="Arial" w:hAnsi="Arial" w:eastAsia="Arial" w:cs="Arial"/>
                <w:b/>
                <w:bCs/>
                <w:color w:val="FFFFFF"/>
                <w:sz w:val="20"/>
                <w:szCs w:val="20"/>
              </w:rPr>
              <w:t>Step</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DA119A4">
            <w:pPr>
              <w:jc w:val="center"/>
            </w:pPr>
            <w:r>
              <w:rPr>
                <w:rFonts w:ascii="Arial" w:hAnsi="Arial" w:eastAsia="Arial" w:cs="Arial"/>
                <w:b/>
                <w:bCs/>
                <w:color w:val="FFFFFF"/>
                <w:sz w:val="20"/>
                <w:szCs w:val="20"/>
              </w:rPr>
              <w:t>Activity</w:t>
            </w:r>
          </w:p>
        </w:tc>
        <w:tc>
          <w:tcPr>
            <w:tcW w:w="352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08D465A">
            <w:pPr>
              <w:jc w:val="center"/>
            </w:pPr>
            <w:r>
              <w:rPr>
                <w:rFonts w:ascii="Arial" w:hAnsi="Arial" w:eastAsia="Arial" w:cs="Arial"/>
                <w:b/>
                <w:bCs/>
                <w:color w:val="FFFFFF"/>
                <w:sz w:val="20"/>
                <w:szCs w:val="20"/>
              </w:rPr>
              <w:t>SAP Transaction</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51EC9EE">
            <w:pPr>
              <w:jc w:val="center"/>
            </w:pPr>
            <w:r>
              <w:rPr>
                <w:rFonts w:ascii="Arial" w:hAnsi="Arial" w:eastAsia="Arial" w:cs="Arial"/>
                <w:b/>
                <w:bCs/>
                <w:color w:val="FFFFFF"/>
                <w:sz w:val="20"/>
                <w:szCs w:val="20"/>
              </w:rPr>
              <w:t>Department</w:t>
            </w:r>
          </w:p>
        </w:tc>
      </w:tr>
      <w:tr w14:paraId="521E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C051C7">
            <w:pPr>
              <w:jc w:val="left"/>
            </w:pPr>
            <w:r>
              <w:rPr>
                <w:rFonts w:ascii="Arial" w:hAnsi="Arial" w:eastAsia="Arial" w:cs="Arial"/>
                <w:b w:val="0"/>
                <w:bCs w:val="0"/>
                <w:color w:val="000000"/>
                <w:sz w:val="20"/>
                <w:szCs w:val="20"/>
              </w:rPr>
              <w:t>1</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EBC26B">
            <w:pPr>
              <w:jc w:val="left"/>
            </w:pPr>
            <w:r>
              <w:rPr>
                <w:rFonts w:ascii="Arial" w:hAnsi="Arial" w:eastAsia="Arial" w:cs="Arial"/>
                <w:b w:val="0"/>
                <w:bCs w:val="0"/>
                <w:color w:val="000000"/>
                <w:sz w:val="20"/>
                <w:szCs w:val="20"/>
              </w:rPr>
              <w:t>Customer places order (email/phone)</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DFCC42">
            <w:pPr>
              <w:jc w:val="left"/>
            </w:pPr>
            <w:r>
              <w:rPr>
                <w:rFonts w:ascii="Arial" w:hAnsi="Arial" w:eastAsia="Arial" w:cs="Arial"/>
                <w:b w:val="0"/>
                <w:bCs w:val="0"/>
                <w:color w:val="000000"/>
                <w:sz w:val="20"/>
                <w:szCs w:val="20"/>
              </w:rPr>
              <w:t>VA01 – Create Sales Order</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B3386A">
            <w:pPr>
              <w:jc w:val="left"/>
            </w:pPr>
            <w:r>
              <w:rPr>
                <w:rFonts w:ascii="Arial" w:hAnsi="Arial" w:eastAsia="Arial" w:cs="Arial"/>
                <w:b w:val="0"/>
                <w:bCs w:val="0"/>
                <w:color w:val="000000"/>
                <w:sz w:val="20"/>
                <w:szCs w:val="20"/>
              </w:rPr>
              <w:t>Sales Team</w:t>
            </w:r>
          </w:p>
        </w:tc>
      </w:tr>
      <w:tr w14:paraId="05EC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D0DF37B">
            <w:pPr>
              <w:jc w:val="left"/>
            </w:pPr>
            <w:r>
              <w:rPr>
                <w:rFonts w:ascii="Arial" w:hAnsi="Arial" w:eastAsia="Arial" w:cs="Arial"/>
                <w:b w:val="0"/>
                <w:bCs w:val="0"/>
                <w:color w:val="000000"/>
                <w:sz w:val="20"/>
                <w:szCs w:val="20"/>
              </w:rPr>
              <w:t>2</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CAC8BD1">
            <w:pPr>
              <w:jc w:val="left"/>
            </w:pPr>
            <w:r>
              <w:rPr>
                <w:rFonts w:ascii="Arial" w:hAnsi="Arial" w:eastAsia="Arial" w:cs="Arial"/>
                <w:b w:val="0"/>
                <w:bCs w:val="0"/>
                <w:color w:val="000000"/>
                <w:sz w:val="20"/>
                <w:szCs w:val="20"/>
              </w:rPr>
              <w:t>Credit check &amp; availability check</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87013E9">
            <w:pPr>
              <w:jc w:val="left"/>
            </w:pPr>
            <w:r>
              <w:rPr>
                <w:rFonts w:ascii="Arial" w:hAnsi="Arial" w:eastAsia="Arial" w:cs="Arial"/>
                <w:b w:val="0"/>
                <w:bCs w:val="0"/>
                <w:color w:val="000000"/>
                <w:sz w:val="20"/>
                <w:szCs w:val="20"/>
              </w:rPr>
              <w:t>Automatic (SD Config)</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6462CA5">
            <w:pPr>
              <w:jc w:val="left"/>
            </w:pPr>
            <w:r>
              <w:rPr>
                <w:rFonts w:ascii="Arial" w:hAnsi="Arial" w:eastAsia="Arial" w:cs="Arial"/>
                <w:b w:val="0"/>
                <w:bCs w:val="0"/>
                <w:color w:val="000000"/>
                <w:sz w:val="20"/>
                <w:szCs w:val="20"/>
              </w:rPr>
              <w:t>Finance / Warehouse</w:t>
            </w:r>
          </w:p>
        </w:tc>
      </w:tr>
      <w:tr w14:paraId="02E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49BC9A">
            <w:pPr>
              <w:jc w:val="left"/>
            </w:pPr>
            <w:r>
              <w:rPr>
                <w:rFonts w:ascii="Arial" w:hAnsi="Arial" w:eastAsia="Arial" w:cs="Arial"/>
                <w:b w:val="0"/>
                <w:bCs w:val="0"/>
                <w:color w:val="000000"/>
                <w:sz w:val="20"/>
                <w:szCs w:val="20"/>
              </w:rPr>
              <w:t>3</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87ADFE">
            <w:pPr>
              <w:jc w:val="left"/>
            </w:pPr>
            <w:r>
              <w:rPr>
                <w:rFonts w:ascii="Arial" w:hAnsi="Arial" w:eastAsia="Arial" w:cs="Arial"/>
                <w:b w:val="0"/>
                <w:bCs w:val="0"/>
                <w:color w:val="000000"/>
                <w:sz w:val="20"/>
                <w:szCs w:val="20"/>
              </w:rPr>
              <w:t>Sales order confirmation to customer</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F94F28">
            <w:pPr>
              <w:jc w:val="left"/>
            </w:pPr>
            <w:r>
              <w:rPr>
                <w:rFonts w:ascii="Arial" w:hAnsi="Arial" w:eastAsia="Arial" w:cs="Arial"/>
                <w:b w:val="0"/>
                <w:bCs w:val="0"/>
                <w:color w:val="000000"/>
                <w:sz w:val="20"/>
                <w:szCs w:val="20"/>
              </w:rPr>
              <w:t>VA05 – Order List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A99A9F">
            <w:pPr>
              <w:jc w:val="left"/>
            </w:pPr>
            <w:r>
              <w:rPr>
                <w:rFonts w:ascii="Arial" w:hAnsi="Arial" w:eastAsia="Arial" w:cs="Arial"/>
                <w:b w:val="0"/>
                <w:bCs w:val="0"/>
                <w:color w:val="000000"/>
                <w:sz w:val="20"/>
                <w:szCs w:val="20"/>
              </w:rPr>
              <w:t>Sales Team</w:t>
            </w:r>
          </w:p>
        </w:tc>
      </w:tr>
      <w:tr w14:paraId="224E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410034E">
            <w:pPr>
              <w:jc w:val="left"/>
            </w:pPr>
            <w:r>
              <w:rPr>
                <w:rFonts w:ascii="Arial" w:hAnsi="Arial" w:eastAsia="Arial" w:cs="Arial"/>
                <w:b w:val="0"/>
                <w:bCs w:val="0"/>
                <w:color w:val="000000"/>
                <w:sz w:val="20"/>
                <w:szCs w:val="20"/>
              </w:rPr>
              <w:t>4</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25D9E72">
            <w:pPr>
              <w:jc w:val="left"/>
            </w:pPr>
            <w:r>
              <w:rPr>
                <w:rFonts w:ascii="Arial" w:hAnsi="Arial" w:eastAsia="Arial" w:cs="Arial"/>
                <w:b w:val="0"/>
                <w:bCs w:val="0"/>
                <w:color w:val="000000"/>
                <w:sz w:val="20"/>
                <w:szCs w:val="20"/>
              </w:rPr>
              <w:t>Outbound delivery document created</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96B3B44">
            <w:pPr>
              <w:jc w:val="left"/>
            </w:pPr>
            <w:r>
              <w:rPr>
                <w:rFonts w:ascii="Arial" w:hAnsi="Arial" w:eastAsia="Arial" w:cs="Arial"/>
                <w:b w:val="0"/>
                <w:bCs w:val="0"/>
                <w:color w:val="000000"/>
                <w:sz w:val="20"/>
                <w:szCs w:val="20"/>
              </w:rPr>
              <w:t>VL01N – Create Delivery</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AD874C1">
            <w:pPr>
              <w:jc w:val="left"/>
            </w:pPr>
            <w:r>
              <w:rPr>
                <w:rFonts w:ascii="Arial" w:hAnsi="Arial" w:eastAsia="Arial" w:cs="Arial"/>
                <w:b w:val="0"/>
                <w:bCs w:val="0"/>
                <w:color w:val="000000"/>
                <w:sz w:val="20"/>
                <w:szCs w:val="20"/>
              </w:rPr>
              <w:t>Logistics Team</w:t>
            </w:r>
          </w:p>
        </w:tc>
      </w:tr>
      <w:tr w14:paraId="593E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9480A8">
            <w:pPr>
              <w:jc w:val="left"/>
            </w:pPr>
            <w:r>
              <w:rPr>
                <w:rFonts w:ascii="Arial" w:hAnsi="Arial" w:eastAsia="Arial" w:cs="Arial"/>
                <w:b w:val="0"/>
                <w:bCs w:val="0"/>
                <w:color w:val="000000"/>
                <w:sz w:val="20"/>
                <w:szCs w:val="20"/>
              </w:rPr>
              <w:t>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889D35">
            <w:pPr>
              <w:jc w:val="left"/>
            </w:pPr>
            <w:r>
              <w:rPr>
                <w:rFonts w:ascii="Arial" w:hAnsi="Arial" w:eastAsia="Arial" w:cs="Arial"/>
                <w:b w:val="0"/>
                <w:bCs w:val="0"/>
                <w:color w:val="000000"/>
                <w:sz w:val="20"/>
                <w:szCs w:val="20"/>
              </w:rPr>
              <w:t>Goods picked, packed &amp; dispatched</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13E493">
            <w:pPr>
              <w:jc w:val="left"/>
            </w:pPr>
            <w:r>
              <w:rPr>
                <w:rFonts w:ascii="Arial" w:hAnsi="Arial" w:eastAsia="Arial" w:cs="Arial"/>
                <w:b w:val="0"/>
                <w:bCs w:val="0"/>
                <w:color w:val="000000"/>
                <w:sz w:val="20"/>
                <w:szCs w:val="20"/>
              </w:rPr>
              <w:t>LT0A – Transfer Order</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86AD66">
            <w:pPr>
              <w:jc w:val="left"/>
            </w:pPr>
            <w:r>
              <w:rPr>
                <w:rFonts w:ascii="Arial" w:hAnsi="Arial" w:eastAsia="Arial" w:cs="Arial"/>
                <w:b w:val="0"/>
                <w:bCs w:val="0"/>
                <w:color w:val="000000"/>
                <w:sz w:val="20"/>
                <w:szCs w:val="20"/>
              </w:rPr>
              <w:t>Warehouse Team</w:t>
            </w:r>
          </w:p>
        </w:tc>
      </w:tr>
      <w:tr w14:paraId="43A7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26E7C8D">
            <w:pPr>
              <w:jc w:val="left"/>
            </w:pPr>
            <w:r>
              <w:rPr>
                <w:rFonts w:ascii="Arial" w:hAnsi="Arial" w:eastAsia="Arial" w:cs="Arial"/>
                <w:b w:val="0"/>
                <w:bCs w:val="0"/>
                <w:color w:val="000000"/>
                <w:sz w:val="20"/>
                <w:szCs w:val="20"/>
              </w:rPr>
              <w:t>6</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5F04DEB">
            <w:pPr>
              <w:jc w:val="left"/>
            </w:pPr>
            <w:r>
              <w:rPr>
                <w:rFonts w:ascii="Arial" w:hAnsi="Arial" w:eastAsia="Arial" w:cs="Arial"/>
                <w:b w:val="0"/>
                <w:bCs w:val="0"/>
                <w:color w:val="000000"/>
                <w:sz w:val="20"/>
                <w:szCs w:val="20"/>
              </w:rPr>
              <w:t>Post Goods Issue (reduces inventory)</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FAE2CCC">
            <w:pPr>
              <w:jc w:val="left"/>
            </w:pPr>
            <w:r>
              <w:rPr>
                <w:rFonts w:ascii="Arial" w:hAnsi="Arial" w:eastAsia="Arial" w:cs="Arial"/>
                <w:b w:val="0"/>
                <w:bCs w:val="0"/>
                <w:color w:val="000000"/>
                <w:sz w:val="20"/>
                <w:szCs w:val="20"/>
              </w:rPr>
              <w:t>VL02N – Post GI</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4075733">
            <w:pPr>
              <w:jc w:val="left"/>
            </w:pPr>
            <w:r>
              <w:rPr>
                <w:rFonts w:ascii="Arial" w:hAnsi="Arial" w:eastAsia="Arial" w:cs="Arial"/>
                <w:b w:val="0"/>
                <w:bCs w:val="0"/>
                <w:color w:val="000000"/>
                <w:sz w:val="20"/>
                <w:szCs w:val="20"/>
              </w:rPr>
              <w:t>Warehouse Team</w:t>
            </w:r>
          </w:p>
        </w:tc>
      </w:tr>
      <w:tr w14:paraId="164A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B0F60B">
            <w:pPr>
              <w:jc w:val="left"/>
            </w:pPr>
            <w:r>
              <w:rPr>
                <w:rFonts w:ascii="Arial" w:hAnsi="Arial" w:eastAsia="Arial" w:cs="Arial"/>
                <w:b w:val="0"/>
                <w:bCs w:val="0"/>
                <w:color w:val="000000"/>
                <w:sz w:val="20"/>
                <w:szCs w:val="20"/>
              </w:rPr>
              <w:t>7</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A9B604">
            <w:pPr>
              <w:jc w:val="left"/>
            </w:pPr>
            <w:r>
              <w:rPr>
                <w:rFonts w:ascii="Arial" w:hAnsi="Arial" w:eastAsia="Arial" w:cs="Arial"/>
                <w:b w:val="0"/>
                <w:bCs w:val="0"/>
                <w:color w:val="000000"/>
                <w:sz w:val="20"/>
                <w:szCs w:val="20"/>
              </w:rPr>
              <w:t>Customer invoice (billing doc) created</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0EEA89">
            <w:pPr>
              <w:jc w:val="left"/>
            </w:pPr>
            <w:r>
              <w:rPr>
                <w:rFonts w:ascii="Arial" w:hAnsi="Arial" w:eastAsia="Arial" w:cs="Arial"/>
                <w:b w:val="0"/>
                <w:bCs w:val="0"/>
                <w:color w:val="000000"/>
                <w:sz w:val="20"/>
                <w:szCs w:val="20"/>
              </w:rPr>
              <w:t>VF01 – Create Billing</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6D277C">
            <w:pPr>
              <w:jc w:val="left"/>
            </w:pPr>
            <w:r>
              <w:rPr>
                <w:rFonts w:ascii="Arial" w:hAnsi="Arial" w:eastAsia="Arial" w:cs="Arial"/>
                <w:b w:val="0"/>
                <w:bCs w:val="0"/>
                <w:color w:val="000000"/>
                <w:sz w:val="20"/>
                <w:szCs w:val="20"/>
              </w:rPr>
              <w:t>Finance Team</w:t>
            </w:r>
          </w:p>
        </w:tc>
      </w:tr>
      <w:tr w14:paraId="4883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63DE24D">
            <w:pPr>
              <w:jc w:val="left"/>
            </w:pPr>
            <w:r>
              <w:rPr>
                <w:rFonts w:ascii="Arial" w:hAnsi="Arial" w:eastAsia="Arial" w:cs="Arial"/>
                <w:b w:val="0"/>
                <w:bCs w:val="0"/>
                <w:color w:val="000000"/>
                <w:sz w:val="20"/>
                <w:szCs w:val="20"/>
              </w:rPr>
              <w:t>8</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A7BD618">
            <w:pPr>
              <w:jc w:val="left"/>
            </w:pPr>
            <w:r>
              <w:rPr>
                <w:rFonts w:ascii="Arial" w:hAnsi="Arial" w:eastAsia="Arial" w:cs="Arial"/>
                <w:b w:val="0"/>
                <w:bCs w:val="0"/>
                <w:color w:val="000000"/>
                <w:sz w:val="20"/>
                <w:szCs w:val="20"/>
              </w:rPr>
              <w:t>Invoice sent to customer</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7CF3BC7">
            <w:pPr>
              <w:jc w:val="left"/>
            </w:pPr>
            <w:r>
              <w:rPr>
                <w:rFonts w:ascii="Arial" w:hAnsi="Arial" w:eastAsia="Arial" w:cs="Arial"/>
                <w:b w:val="0"/>
                <w:bCs w:val="0"/>
                <w:color w:val="000000"/>
                <w:sz w:val="20"/>
                <w:szCs w:val="20"/>
              </w:rPr>
              <w:t>VF02 / Email Output</w:t>
            </w:r>
          </w:p>
        </w:tc>
        <w:tc>
          <w:tcPr>
            <w:tcW w:w="2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F955CD5">
            <w:pPr>
              <w:jc w:val="left"/>
            </w:pPr>
            <w:r>
              <w:rPr>
                <w:rFonts w:ascii="Arial" w:hAnsi="Arial" w:eastAsia="Arial" w:cs="Arial"/>
                <w:b w:val="0"/>
                <w:bCs w:val="0"/>
                <w:color w:val="000000"/>
                <w:sz w:val="20"/>
                <w:szCs w:val="20"/>
              </w:rPr>
              <w:t>Finance Team</w:t>
            </w:r>
          </w:p>
        </w:tc>
      </w:tr>
      <w:tr w14:paraId="2D40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183C2A">
            <w:pPr>
              <w:jc w:val="left"/>
            </w:pPr>
            <w:r>
              <w:rPr>
                <w:rFonts w:ascii="Arial" w:hAnsi="Arial" w:eastAsia="Arial" w:cs="Arial"/>
                <w:b w:val="0"/>
                <w:bCs w:val="0"/>
                <w:color w:val="000000"/>
                <w:sz w:val="20"/>
                <w:szCs w:val="20"/>
              </w:rPr>
              <w:t>9</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3D6812">
            <w:pPr>
              <w:jc w:val="left"/>
            </w:pPr>
            <w:r>
              <w:rPr>
                <w:rFonts w:ascii="Arial" w:hAnsi="Arial" w:eastAsia="Arial" w:cs="Arial"/>
                <w:b w:val="0"/>
                <w:bCs w:val="0"/>
                <w:color w:val="000000"/>
                <w:sz w:val="20"/>
                <w:szCs w:val="20"/>
              </w:rPr>
              <w:t>Payment received &amp; cleared</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D92374">
            <w:pPr>
              <w:jc w:val="left"/>
            </w:pPr>
            <w:r>
              <w:rPr>
                <w:rFonts w:ascii="Arial" w:hAnsi="Arial" w:eastAsia="Arial" w:cs="Arial"/>
                <w:b w:val="0"/>
                <w:bCs w:val="0"/>
                <w:color w:val="000000"/>
                <w:sz w:val="20"/>
                <w:szCs w:val="20"/>
              </w:rPr>
              <w:t>F-28 – Incoming Payment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AD096F">
            <w:pPr>
              <w:jc w:val="left"/>
            </w:pPr>
            <w:r>
              <w:rPr>
                <w:rFonts w:ascii="Arial" w:hAnsi="Arial" w:eastAsia="Arial" w:cs="Arial"/>
                <w:b w:val="0"/>
                <w:bCs w:val="0"/>
                <w:color w:val="000000"/>
                <w:sz w:val="20"/>
                <w:szCs w:val="20"/>
              </w:rPr>
              <w:t>Accounts Team</w:t>
            </w:r>
          </w:p>
        </w:tc>
      </w:tr>
    </w:tbl>
    <w:p w14:paraId="437B4DE7"/>
    <w:p w14:paraId="4F931A85">
      <w:pPr>
        <w:pStyle w:val="3"/>
        <w:spacing w:before="240" w:after="120"/>
      </w:pPr>
      <w:r>
        <w:rPr>
          <w:rFonts w:ascii="Arial" w:hAnsi="Arial" w:eastAsia="Arial" w:cs="Arial"/>
          <w:b/>
          <w:bCs/>
          <w:color w:val="2E75B6"/>
          <w:sz w:val="26"/>
          <w:szCs w:val="26"/>
        </w:rPr>
        <w:t>6.2  Procure-to-Pay (P2P) – MM + FI Process</w:t>
      </w:r>
    </w:p>
    <w:p w14:paraId="41C4B27D">
      <w:pPr>
        <w:spacing w:before="120" w:after="120"/>
        <w:jc w:val="left"/>
      </w:pPr>
      <w:r>
        <w:rPr>
          <w:rFonts w:ascii="Arial" w:hAnsi="Arial" w:eastAsia="Arial" w:cs="Arial"/>
          <w:b w:val="0"/>
          <w:bCs w:val="0"/>
          <w:i w:val="0"/>
          <w:iCs w:val="0"/>
          <w:color w:val="000000"/>
          <w:sz w:val="22"/>
          <w:szCs w:val="22"/>
        </w:rPr>
        <w:t>The Procure-to-Pay cycle governs how VidyutKraft sources raw materials and makes payments to vendors:</w:t>
      </w:r>
    </w:p>
    <w:p w14:paraId="4C5A89D4">
      <w:pPr>
        <w:pStyle w:val="16"/>
        <w:numPr>
          <w:ilvl w:val="0"/>
          <w:numId w:val="1"/>
        </w:numPr>
        <w:spacing w:before="60" w:after="60"/>
      </w:pPr>
      <w:r>
        <w:rPr>
          <w:rFonts w:ascii="Arial" w:hAnsi="Arial" w:eastAsia="Arial" w:cs="Arial"/>
          <w:color w:val="000000"/>
          <w:sz w:val="20"/>
          <w:szCs w:val="20"/>
        </w:rPr>
        <w:t>Step 1 – Purchase Requisition (PR): Production planning team raises a material requirement via ME51N.</w:t>
      </w:r>
    </w:p>
    <w:p w14:paraId="273D71DB">
      <w:pPr>
        <w:pStyle w:val="16"/>
        <w:numPr>
          <w:ilvl w:val="0"/>
          <w:numId w:val="1"/>
        </w:numPr>
        <w:spacing w:before="60" w:after="60"/>
      </w:pPr>
      <w:r>
        <w:rPr>
          <w:rFonts w:ascii="Arial" w:hAnsi="Arial" w:eastAsia="Arial" w:cs="Arial"/>
          <w:color w:val="000000"/>
          <w:sz w:val="20"/>
          <w:szCs w:val="20"/>
        </w:rPr>
        <w:t>Step 2 – Request for Quotation (RFQ): Purchasing team sends RFQs to shortlisted vendors (ME41).</w:t>
      </w:r>
    </w:p>
    <w:p w14:paraId="6F06E2D2">
      <w:pPr>
        <w:pStyle w:val="16"/>
        <w:numPr>
          <w:ilvl w:val="0"/>
          <w:numId w:val="1"/>
        </w:numPr>
        <w:spacing w:before="60" w:after="60"/>
      </w:pPr>
      <w:r>
        <w:rPr>
          <w:rFonts w:ascii="Arial" w:hAnsi="Arial" w:eastAsia="Arial" w:cs="Arial"/>
          <w:color w:val="000000"/>
          <w:sz w:val="20"/>
          <w:szCs w:val="20"/>
        </w:rPr>
        <w:t>Step 3 – Vendor Comparison &amp; Selection: Quotations compared using ME49 (Price Comparison Report).</w:t>
      </w:r>
    </w:p>
    <w:p w14:paraId="76ED1304">
      <w:pPr>
        <w:pStyle w:val="16"/>
        <w:numPr>
          <w:ilvl w:val="0"/>
          <w:numId w:val="1"/>
        </w:numPr>
        <w:spacing w:before="60" w:after="60"/>
      </w:pPr>
      <w:r>
        <w:rPr>
          <w:rFonts w:ascii="Arial" w:hAnsi="Arial" w:eastAsia="Arial" w:cs="Arial"/>
          <w:color w:val="000000"/>
          <w:sz w:val="20"/>
          <w:szCs w:val="20"/>
        </w:rPr>
        <w:t>Step 4 – Purchase Order (PO): Approved PO created and sent to vendor (ME21N).</w:t>
      </w:r>
    </w:p>
    <w:p w14:paraId="3A6EA3B3">
      <w:pPr>
        <w:pStyle w:val="16"/>
        <w:numPr>
          <w:ilvl w:val="0"/>
          <w:numId w:val="1"/>
        </w:numPr>
        <w:spacing w:before="60" w:after="60"/>
      </w:pPr>
      <w:r>
        <w:rPr>
          <w:rFonts w:ascii="Arial" w:hAnsi="Arial" w:eastAsia="Arial" w:cs="Arial"/>
          <w:color w:val="000000"/>
          <w:sz w:val="20"/>
          <w:szCs w:val="20"/>
        </w:rPr>
        <w:t>Step 5 – Goods Receipt (GR): Materials received at plant and posted in SAP (MIGO – GR against PO).</w:t>
      </w:r>
    </w:p>
    <w:p w14:paraId="0502D895">
      <w:pPr>
        <w:pStyle w:val="16"/>
        <w:numPr>
          <w:ilvl w:val="0"/>
          <w:numId w:val="1"/>
        </w:numPr>
        <w:spacing w:before="60" w:after="60"/>
      </w:pPr>
      <w:r>
        <w:rPr>
          <w:rFonts w:ascii="Arial" w:hAnsi="Arial" w:eastAsia="Arial" w:cs="Arial"/>
          <w:color w:val="000000"/>
          <w:sz w:val="20"/>
          <w:szCs w:val="20"/>
        </w:rPr>
        <w:t>Step 6 – Invoice Verification: Vendor invoice matched against PO and GR quantities and values (MIRO – 3-way match).</w:t>
      </w:r>
    </w:p>
    <w:p w14:paraId="1D1AB88A">
      <w:pPr>
        <w:pStyle w:val="16"/>
        <w:numPr>
          <w:ilvl w:val="0"/>
          <w:numId w:val="1"/>
        </w:numPr>
        <w:spacing w:before="60" w:after="60"/>
      </w:pPr>
      <w:r>
        <w:rPr>
          <w:rFonts w:ascii="Arial" w:hAnsi="Arial" w:eastAsia="Arial" w:cs="Arial"/>
          <w:color w:val="000000"/>
          <w:sz w:val="20"/>
          <w:szCs w:val="20"/>
        </w:rPr>
        <w:t>Step 7 – Payment Run: Automatic payment programme (F110) generates payment batch, subject to due dates and cash planning.</w:t>
      </w:r>
    </w:p>
    <w:p w14:paraId="7ED7800D"/>
    <w:p w14:paraId="65525D31">
      <w:pPr>
        <w:pStyle w:val="2"/>
        <w:pBdr>
          <w:bottom w:val="single" w:color="2E75B6" w:sz="8" w:space="6"/>
        </w:pBdr>
        <w:spacing w:before="320" w:after="160"/>
      </w:pPr>
      <w:r>
        <w:rPr>
          <w:rFonts w:ascii="Arial" w:hAnsi="Arial" w:eastAsia="Arial" w:cs="Arial"/>
          <w:b/>
          <w:bCs/>
          <w:color w:val="1F3864"/>
          <w:sz w:val="32"/>
          <w:szCs w:val="32"/>
        </w:rPr>
        <w:t>7.  Analytics Integration – SAP Analytics Cloud</w:t>
      </w:r>
    </w:p>
    <w:p w14:paraId="17DCA068">
      <w:pPr>
        <w:pStyle w:val="3"/>
        <w:spacing w:before="240" w:after="120"/>
      </w:pPr>
      <w:r>
        <w:rPr>
          <w:rFonts w:ascii="Arial" w:hAnsi="Arial" w:eastAsia="Arial" w:cs="Arial"/>
          <w:b/>
          <w:bCs/>
          <w:color w:val="2E75B6"/>
          <w:sz w:val="26"/>
          <w:szCs w:val="26"/>
        </w:rPr>
        <w:t>7.1  Overview of SAP Analytics Cloud (SAC)</w:t>
      </w:r>
    </w:p>
    <w:p w14:paraId="10226E18">
      <w:pPr>
        <w:spacing w:before="120" w:after="120"/>
        <w:jc w:val="left"/>
      </w:pPr>
      <w:r>
        <w:rPr>
          <w:rFonts w:ascii="Arial" w:hAnsi="Arial" w:eastAsia="Arial" w:cs="Arial"/>
          <w:b w:val="0"/>
          <w:bCs w:val="0"/>
          <w:i w:val="0"/>
          <w:iCs w:val="0"/>
          <w:color w:val="000000"/>
          <w:sz w:val="22"/>
          <w:szCs w:val="22"/>
        </w:rPr>
        <w:t>SAP Analytics Cloud (SAC) is a cloud-based analytics platform that connects directly to SAP S/4HANA using a live HANA connection. For VidyutKraft, SAC has been configured to pull real-time data from the FI, MM, and SD modules and present it in interactive dashboards for the management team.</w:t>
      </w:r>
    </w:p>
    <w:p w14:paraId="1F369D9D">
      <w:pPr>
        <w:spacing w:before="120" w:after="120"/>
        <w:jc w:val="left"/>
      </w:pPr>
      <w:r>
        <w:rPr>
          <w:rFonts w:ascii="Arial" w:hAnsi="Arial" w:eastAsia="Arial" w:cs="Arial"/>
          <w:b w:val="0"/>
          <w:bCs w:val="0"/>
          <w:i w:val="0"/>
          <w:iCs w:val="0"/>
          <w:color w:val="000000"/>
          <w:sz w:val="22"/>
          <w:szCs w:val="22"/>
        </w:rPr>
        <w:t>SAC is used here for three purposes: Business Intelligence (BI) for reporting, Planning &amp; Budgeting, and Predictive Analytics for sales forecasting.</w:t>
      </w:r>
    </w:p>
    <w:p w14:paraId="0E930309">
      <w:pPr>
        <w:pStyle w:val="3"/>
        <w:spacing w:before="240" w:after="120"/>
      </w:pPr>
      <w:r>
        <w:rPr>
          <w:rFonts w:ascii="Arial" w:hAnsi="Arial" w:eastAsia="Arial" w:cs="Arial"/>
          <w:b/>
          <w:bCs/>
          <w:color w:val="2E75B6"/>
          <w:sz w:val="26"/>
          <w:szCs w:val="26"/>
        </w:rPr>
        <w:t>7.2  Dashboard 1: Sales Performance Overview</w:t>
      </w:r>
    </w:p>
    <w:p w14:paraId="3F990ECE">
      <w:pPr>
        <w:spacing w:before="120" w:after="120"/>
        <w:jc w:val="left"/>
      </w:pPr>
      <w:r>
        <w:rPr>
          <w:rFonts w:ascii="Arial" w:hAnsi="Arial" w:eastAsia="Arial" w:cs="Arial"/>
          <w:b w:val="0"/>
          <w:bCs w:val="0"/>
          <w:i w:val="0"/>
          <w:iCs w:val="0"/>
          <w:color w:val="000000"/>
          <w:sz w:val="22"/>
          <w:szCs w:val="22"/>
        </w:rPr>
        <w:t>This dashboard provides the management team with a real-time view of the company's sales health. It is accessible to the Sales Head, Regional Managers, and the CFO.</w:t>
      </w:r>
    </w:p>
    <w:p w14:paraId="7DA6721D">
      <w:pPr>
        <w:pStyle w:val="16"/>
        <w:numPr>
          <w:ilvl w:val="0"/>
          <w:numId w:val="1"/>
        </w:numPr>
        <w:spacing w:before="60" w:after="60"/>
      </w:pPr>
      <w:r>
        <w:rPr>
          <w:rFonts w:ascii="Arial" w:hAnsi="Arial" w:eastAsia="Arial" w:cs="Arial"/>
          <w:color w:val="000000"/>
          <w:sz w:val="20"/>
          <w:szCs w:val="20"/>
        </w:rPr>
        <w:t>Chart 1 – Monthly Revenue vs. Target (Bar Chart): Compares actual monthly revenue against the annual sales target, broken down by month.</w:t>
      </w:r>
    </w:p>
    <w:p w14:paraId="7BD4C126">
      <w:pPr>
        <w:pStyle w:val="16"/>
        <w:numPr>
          <w:ilvl w:val="0"/>
          <w:numId w:val="1"/>
        </w:numPr>
        <w:spacing w:before="60" w:after="60"/>
      </w:pPr>
      <w:r>
        <w:rPr>
          <w:rFonts w:ascii="Arial" w:hAnsi="Arial" w:eastAsia="Arial" w:cs="Arial"/>
          <w:color w:val="000000"/>
          <w:sz w:val="20"/>
          <w:szCs w:val="20"/>
        </w:rPr>
        <w:t>Chart 2 – Top 10 Customers by Revenue (Horizontal Bar): Ranks the top customers, allowing the sales team to focus retention efforts.</w:t>
      </w:r>
    </w:p>
    <w:p w14:paraId="75689C6D">
      <w:pPr>
        <w:pStyle w:val="16"/>
        <w:numPr>
          <w:ilvl w:val="0"/>
          <w:numId w:val="1"/>
        </w:numPr>
        <w:spacing w:before="60" w:after="60"/>
      </w:pPr>
      <w:r>
        <w:rPr>
          <w:rFonts w:ascii="Arial" w:hAnsi="Arial" w:eastAsia="Arial" w:cs="Arial"/>
          <w:color w:val="000000"/>
          <w:sz w:val="20"/>
          <w:szCs w:val="20"/>
        </w:rPr>
        <w:t>Chart 3 – Sales by Product Category (Donut Chart): Shows revenue contribution from Industrial Motors, Control Panels, and Switchgear.</w:t>
      </w:r>
    </w:p>
    <w:p w14:paraId="2BE3C0E8">
      <w:pPr>
        <w:pStyle w:val="16"/>
        <w:numPr>
          <w:ilvl w:val="0"/>
          <w:numId w:val="1"/>
        </w:numPr>
        <w:spacing w:before="60" w:after="60"/>
      </w:pPr>
      <w:r>
        <w:rPr>
          <w:rFonts w:ascii="Arial" w:hAnsi="Arial" w:eastAsia="Arial" w:cs="Arial"/>
          <w:color w:val="000000"/>
          <w:sz w:val="20"/>
          <w:szCs w:val="20"/>
        </w:rPr>
        <w:t>Chart 4 – Region-wise Sales Heatmap: A geographic heat map showing sales density across Indian states.</w:t>
      </w:r>
    </w:p>
    <w:p w14:paraId="664D109B">
      <w:pPr>
        <w:pStyle w:val="16"/>
        <w:numPr>
          <w:ilvl w:val="0"/>
          <w:numId w:val="1"/>
        </w:numPr>
        <w:spacing w:before="60" w:after="60"/>
      </w:pPr>
      <w:r>
        <w:rPr>
          <w:rFonts w:ascii="Arial" w:hAnsi="Arial" w:eastAsia="Arial" w:cs="Arial"/>
          <w:color w:val="000000"/>
          <w:sz w:val="20"/>
          <w:szCs w:val="20"/>
        </w:rPr>
        <w:t>KPI Tiles: Current Month Revenue | Orders Pending Delivery | Overdue Invoices Value</w:t>
      </w:r>
    </w:p>
    <w:p w14:paraId="32F19C9B"/>
    <w:p w14:paraId="01026DA1">
      <w:pPr>
        <w:spacing w:before="120" w:after="60"/>
        <w:jc w:val="center"/>
      </w:pPr>
      <w:r>
        <w:drawing>
          <wp:inline distT="0" distB="0" distL="0" distR="0">
            <wp:extent cx="600075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000750" cy="3381375"/>
                    </a:xfrm>
                    <a:prstGeom prst="rect">
                      <a:avLst/>
                    </a:prstGeom>
                  </pic:spPr>
                </pic:pic>
              </a:graphicData>
            </a:graphic>
          </wp:inline>
        </w:drawing>
      </w:r>
    </w:p>
    <w:p w14:paraId="6C1ABF86">
      <w:pPr>
        <w:spacing w:before="40" w:after="120"/>
        <w:jc w:val="center"/>
      </w:pPr>
      <w:r>
        <w:rPr>
          <w:rFonts w:ascii="Arial" w:hAnsi="Arial" w:eastAsia="Arial" w:cs="Arial"/>
          <w:i/>
          <w:iCs/>
          <w:color w:val="555555"/>
          <w:sz w:val="18"/>
          <w:szCs w:val="18"/>
        </w:rPr>
        <w:t>Figure 1: SAP Analytics Cloud – Sales Performance Dashboard (Monthly Revenue vs. Target, Top Customers, Product Mix)</w:t>
      </w:r>
    </w:p>
    <w:p w14:paraId="55843FE1"/>
    <w:p w14:paraId="737AD8A7">
      <w:pPr>
        <w:pStyle w:val="3"/>
        <w:spacing w:before="240" w:after="120"/>
      </w:pPr>
      <w:r>
        <w:rPr>
          <w:rFonts w:ascii="Arial" w:hAnsi="Arial" w:eastAsia="Arial" w:cs="Arial"/>
          <w:b/>
          <w:bCs/>
          <w:color w:val="2E75B6"/>
          <w:sz w:val="26"/>
          <w:szCs w:val="26"/>
        </w:rPr>
        <w:t>7.3  Dashboard 2: Inventory &amp; Procurement Analytics</w:t>
      </w:r>
    </w:p>
    <w:p w14:paraId="45943C4E">
      <w:pPr>
        <w:spacing w:before="120" w:after="120"/>
        <w:jc w:val="left"/>
      </w:pPr>
      <w:r>
        <w:rPr>
          <w:rFonts w:ascii="Arial" w:hAnsi="Arial" w:eastAsia="Arial" w:cs="Arial"/>
          <w:b w:val="0"/>
          <w:bCs w:val="0"/>
          <w:i w:val="0"/>
          <w:iCs w:val="0"/>
          <w:color w:val="000000"/>
          <w:sz w:val="22"/>
          <w:szCs w:val="22"/>
        </w:rPr>
        <w:t>This dashboard is designed for the Procurement Manager and the Plant Heads to monitor material availability and procurement efficiency.</w:t>
      </w:r>
    </w:p>
    <w:p w14:paraId="39C699E6">
      <w:pPr>
        <w:pStyle w:val="16"/>
        <w:numPr>
          <w:ilvl w:val="0"/>
          <w:numId w:val="1"/>
        </w:numPr>
        <w:spacing w:before="60" w:after="60"/>
      </w:pPr>
      <w:r>
        <w:rPr>
          <w:rFonts w:ascii="Arial" w:hAnsi="Arial" w:eastAsia="Arial" w:cs="Arial"/>
          <w:color w:val="000000"/>
          <w:sz w:val="20"/>
          <w:szCs w:val="20"/>
        </w:rPr>
        <w:t>Chart 1 – Stock Availability by Material (Stacked Bar): Shows current stock vs. minimum re-order level for top 15 raw materials.</w:t>
      </w:r>
    </w:p>
    <w:p w14:paraId="6E40FDBB">
      <w:pPr>
        <w:pStyle w:val="16"/>
        <w:numPr>
          <w:ilvl w:val="0"/>
          <w:numId w:val="1"/>
        </w:numPr>
        <w:spacing w:before="60" w:after="60"/>
      </w:pPr>
      <w:r>
        <w:rPr>
          <w:rFonts w:ascii="Arial" w:hAnsi="Arial" w:eastAsia="Arial" w:cs="Arial"/>
          <w:color w:val="000000"/>
          <w:sz w:val="20"/>
          <w:szCs w:val="20"/>
        </w:rPr>
        <w:t>Chart 2 – Purchase Order Cycle Time (Line Chart): Tracks average days from PR creation to GR posting over the past 12 months.</w:t>
      </w:r>
    </w:p>
    <w:p w14:paraId="0224BE92">
      <w:pPr>
        <w:pStyle w:val="16"/>
        <w:numPr>
          <w:ilvl w:val="0"/>
          <w:numId w:val="1"/>
        </w:numPr>
        <w:spacing w:before="60" w:after="60"/>
      </w:pPr>
      <w:r>
        <w:rPr>
          <w:rFonts w:ascii="Arial" w:hAnsi="Arial" w:eastAsia="Arial" w:cs="Arial"/>
          <w:color w:val="000000"/>
          <w:sz w:val="20"/>
          <w:szCs w:val="20"/>
        </w:rPr>
        <w:t>Chart 3 – Vendor Spend Analysis (Treemap): Visualises total spend per vendor, helping in supplier negotiation.</w:t>
      </w:r>
    </w:p>
    <w:p w14:paraId="1A15937F">
      <w:pPr>
        <w:pStyle w:val="16"/>
        <w:numPr>
          <w:ilvl w:val="0"/>
          <w:numId w:val="1"/>
        </w:numPr>
        <w:spacing w:before="60" w:after="60"/>
      </w:pPr>
      <w:r>
        <w:rPr>
          <w:rFonts w:ascii="Arial" w:hAnsi="Arial" w:eastAsia="Arial" w:cs="Arial"/>
          <w:color w:val="000000"/>
          <w:sz w:val="20"/>
          <w:szCs w:val="20"/>
        </w:rPr>
        <w:t>Chart 4 – Goods Receipt vs. Invoice Discrepancy (Scatter Plot): Highlights vendors where GR quantities frequently differ from invoiced quantities.</w:t>
      </w:r>
    </w:p>
    <w:p w14:paraId="6A519459">
      <w:pPr>
        <w:pStyle w:val="16"/>
        <w:numPr>
          <w:ilvl w:val="0"/>
          <w:numId w:val="1"/>
        </w:numPr>
        <w:spacing w:before="60" w:after="60"/>
      </w:pPr>
      <w:r>
        <w:rPr>
          <w:rFonts w:ascii="Arial" w:hAnsi="Arial" w:eastAsia="Arial" w:cs="Arial"/>
          <w:color w:val="000000"/>
          <w:sz w:val="20"/>
          <w:szCs w:val="20"/>
        </w:rPr>
        <w:t>KPI Tiles: Open POs Value | Materials Below Reorder Level | Pending Invoice Verification Count</w:t>
      </w:r>
    </w:p>
    <w:p w14:paraId="2FD2E7EA"/>
    <w:p w14:paraId="5AD577AB">
      <w:pPr>
        <w:spacing w:before="120" w:after="60"/>
        <w:jc w:val="center"/>
      </w:pPr>
      <w:r>
        <w:drawing>
          <wp:inline distT="0" distB="0" distL="0" distR="0">
            <wp:extent cx="6000750" cy="338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6000750" cy="3381375"/>
                    </a:xfrm>
                    <a:prstGeom prst="rect">
                      <a:avLst/>
                    </a:prstGeom>
                  </pic:spPr>
                </pic:pic>
              </a:graphicData>
            </a:graphic>
          </wp:inline>
        </w:drawing>
      </w:r>
    </w:p>
    <w:p w14:paraId="2FB1FCDD">
      <w:pPr>
        <w:spacing w:before="40" w:after="120"/>
        <w:jc w:val="center"/>
      </w:pPr>
      <w:r>
        <w:rPr>
          <w:rFonts w:ascii="Arial" w:hAnsi="Arial" w:eastAsia="Arial" w:cs="Arial"/>
          <w:i/>
          <w:iCs/>
          <w:color w:val="555555"/>
          <w:sz w:val="18"/>
          <w:szCs w:val="18"/>
        </w:rPr>
        <w:t>Figure 2: SAP Analytics Cloud – Inventory &amp; Procurement Dashboard (Stock Levels, Vendor Spend, PO Cycle Time)</w:t>
      </w:r>
    </w:p>
    <w:p w14:paraId="14111EA2"/>
    <w:p w14:paraId="12F8B6E7">
      <w:pPr>
        <w:pStyle w:val="3"/>
        <w:spacing w:before="240" w:after="120"/>
      </w:pPr>
      <w:r>
        <w:rPr>
          <w:rFonts w:ascii="Arial" w:hAnsi="Arial" w:eastAsia="Arial" w:cs="Arial"/>
          <w:b/>
          <w:bCs/>
          <w:color w:val="2E75B6"/>
          <w:sz w:val="26"/>
          <w:szCs w:val="26"/>
        </w:rPr>
        <w:t>7.4  Dashboard 3: Financial Health &amp; Receivables</w:t>
      </w:r>
    </w:p>
    <w:p w14:paraId="1D549D67">
      <w:pPr>
        <w:spacing w:before="120" w:after="120"/>
        <w:jc w:val="left"/>
      </w:pPr>
      <w:r>
        <w:rPr>
          <w:rFonts w:ascii="Arial" w:hAnsi="Arial" w:eastAsia="Arial" w:cs="Arial"/>
          <w:b w:val="0"/>
          <w:bCs w:val="0"/>
          <w:i w:val="0"/>
          <w:iCs w:val="0"/>
          <w:color w:val="000000"/>
          <w:sz w:val="22"/>
          <w:szCs w:val="22"/>
        </w:rPr>
        <w:t>This dashboard is exclusively for the Finance team and CFO, providing a real-time view of the company's financial position.</w:t>
      </w:r>
    </w:p>
    <w:p w14:paraId="0A15B9A6">
      <w:pPr>
        <w:pStyle w:val="16"/>
        <w:numPr>
          <w:ilvl w:val="0"/>
          <w:numId w:val="1"/>
        </w:numPr>
        <w:spacing w:before="60" w:after="60"/>
      </w:pPr>
      <w:r>
        <w:rPr>
          <w:rFonts w:ascii="Arial" w:hAnsi="Arial" w:eastAsia="Arial" w:cs="Arial"/>
          <w:color w:val="000000"/>
          <w:sz w:val="20"/>
          <w:szCs w:val="20"/>
        </w:rPr>
        <w:t>Chart 1 – Ageing Analysis of Receivables (Stacked Bar): Groups outstanding customer invoices by ageing buckets: 0-30 days, 31-60 days, 61-90 days, 90+ days.</w:t>
      </w:r>
    </w:p>
    <w:p w14:paraId="691599D2">
      <w:pPr>
        <w:pStyle w:val="16"/>
        <w:numPr>
          <w:ilvl w:val="0"/>
          <w:numId w:val="1"/>
        </w:numPr>
        <w:spacing w:before="60" w:after="60"/>
      </w:pPr>
      <w:r>
        <w:rPr>
          <w:rFonts w:ascii="Arial" w:hAnsi="Arial" w:eastAsia="Arial" w:cs="Arial"/>
          <w:color w:val="000000"/>
          <w:sz w:val="20"/>
          <w:szCs w:val="20"/>
        </w:rPr>
        <w:t>Chart 2 – Cash Flow Trend (Area Chart): Monthly cash inflows vs. outflows over the current fiscal year.</w:t>
      </w:r>
    </w:p>
    <w:p w14:paraId="363A3AC9">
      <w:pPr>
        <w:pStyle w:val="16"/>
        <w:numPr>
          <w:ilvl w:val="0"/>
          <w:numId w:val="1"/>
        </w:numPr>
        <w:spacing w:before="60" w:after="60"/>
      </w:pPr>
      <w:r>
        <w:rPr>
          <w:rFonts w:ascii="Arial" w:hAnsi="Arial" w:eastAsia="Arial" w:cs="Arial"/>
          <w:color w:val="000000"/>
          <w:sz w:val="20"/>
          <w:szCs w:val="20"/>
        </w:rPr>
        <w:t>Chart 3 – Month-wise P&amp;L Summary (Waterfall Chart): Displays revenue, cost of goods sold, gross profit, and operating expenses.</w:t>
      </w:r>
    </w:p>
    <w:p w14:paraId="15DEEC85">
      <w:pPr>
        <w:pStyle w:val="16"/>
        <w:numPr>
          <w:ilvl w:val="0"/>
          <w:numId w:val="1"/>
        </w:numPr>
        <w:spacing w:before="60" w:after="60"/>
      </w:pPr>
      <w:r>
        <w:rPr>
          <w:rFonts w:ascii="Arial" w:hAnsi="Arial" w:eastAsia="Arial" w:cs="Arial"/>
          <w:color w:val="000000"/>
          <w:sz w:val="20"/>
          <w:szCs w:val="20"/>
        </w:rPr>
        <w:t>Chart 4 – GST Liability vs. Input Tax Credit (Dual-Axis Chart): Monitors monthly GST payable against available ITC for tax planning.</w:t>
      </w:r>
    </w:p>
    <w:p w14:paraId="0A8BE90D">
      <w:pPr>
        <w:pStyle w:val="16"/>
        <w:numPr>
          <w:ilvl w:val="0"/>
          <w:numId w:val="1"/>
        </w:numPr>
        <w:spacing w:before="60" w:after="60"/>
      </w:pPr>
      <w:r>
        <w:rPr>
          <w:rFonts w:ascii="Arial" w:hAnsi="Arial" w:eastAsia="Arial" w:cs="Arial"/>
          <w:color w:val="000000"/>
          <w:sz w:val="20"/>
          <w:szCs w:val="20"/>
        </w:rPr>
        <w:t>KPI Tiles: Total Overdue Receivables | Days Sales Outstanding (DSO) | Current Ratio</w:t>
      </w:r>
    </w:p>
    <w:p w14:paraId="7D6B690F"/>
    <w:p w14:paraId="005336DA">
      <w:pPr>
        <w:spacing w:before="120" w:after="60"/>
        <w:jc w:val="center"/>
      </w:pPr>
      <w:r>
        <w:drawing>
          <wp:inline distT="0" distB="0" distL="0" distR="0">
            <wp:extent cx="6000750" cy="3381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000750" cy="3381375"/>
                    </a:xfrm>
                    <a:prstGeom prst="rect">
                      <a:avLst/>
                    </a:prstGeom>
                  </pic:spPr>
                </pic:pic>
              </a:graphicData>
            </a:graphic>
          </wp:inline>
        </w:drawing>
      </w:r>
    </w:p>
    <w:p w14:paraId="2DED384A">
      <w:pPr>
        <w:spacing w:before="40" w:after="120"/>
        <w:jc w:val="center"/>
      </w:pPr>
      <w:r>
        <w:rPr>
          <w:rFonts w:ascii="Arial" w:hAnsi="Arial" w:eastAsia="Arial" w:cs="Arial"/>
          <w:i/>
          <w:iCs/>
          <w:color w:val="555555"/>
          <w:sz w:val="18"/>
          <w:szCs w:val="18"/>
        </w:rPr>
        <w:t>Figure 3: SAP Analytics Cloud – Financial Health Dashboard (Receivables Ageing, Cash Flow, P&amp;L Waterfall)</w:t>
      </w:r>
    </w:p>
    <w:p w14:paraId="741AB58D"/>
    <w:p w14:paraId="7F13007B">
      <w:pPr>
        <w:pStyle w:val="2"/>
        <w:pBdr>
          <w:bottom w:val="single" w:color="2E75B6" w:sz="8" w:space="6"/>
        </w:pBdr>
        <w:spacing w:before="320" w:after="160"/>
      </w:pPr>
      <w:r>
        <w:rPr>
          <w:rFonts w:ascii="Arial" w:hAnsi="Arial" w:eastAsia="Arial" w:cs="Arial"/>
          <w:b/>
          <w:bCs/>
          <w:color w:val="1F3864"/>
          <w:sz w:val="32"/>
          <w:szCs w:val="32"/>
        </w:rPr>
        <w:t>8.  Key Insights from Dashboards</w:t>
      </w:r>
    </w:p>
    <w:p w14:paraId="1E022ED1">
      <w:pPr>
        <w:spacing w:before="120" w:after="120"/>
        <w:jc w:val="left"/>
      </w:pPr>
      <w:r>
        <w:rPr>
          <w:rFonts w:ascii="Arial" w:hAnsi="Arial" w:eastAsia="Arial" w:cs="Arial"/>
          <w:b w:val="0"/>
          <w:bCs w:val="0"/>
          <w:i w:val="0"/>
          <w:iCs w:val="0"/>
          <w:color w:val="000000"/>
          <w:sz w:val="22"/>
          <w:szCs w:val="22"/>
        </w:rPr>
        <w:t>Based on the analytical dashboards configured in SAP Analytics Cloud, the following important business insights were identified for VidyutKraft Industries:</w:t>
      </w:r>
    </w:p>
    <w:p w14:paraId="48D9D9E8">
      <w:pPr>
        <w:pStyle w:val="16"/>
        <w:numPr>
          <w:ilvl w:val="0"/>
          <w:numId w:val="1"/>
        </w:numPr>
        <w:spacing w:before="60" w:after="60"/>
      </w:pPr>
      <w:r>
        <w:rPr>
          <w:rFonts w:ascii="Arial" w:hAnsi="Arial" w:eastAsia="Arial" w:cs="Arial"/>
          <w:color w:val="000000"/>
          <w:sz w:val="20"/>
          <w:szCs w:val="20"/>
        </w:rPr>
        <w:t>Revenue Concentration Risk: The top 3 customers contribute nearly 38% of total revenue, indicating a dependency risk. The sales team has been advised to diversify the customer portfolio.</w:t>
      </w:r>
    </w:p>
    <w:p w14:paraId="660E799D">
      <w:pPr>
        <w:pStyle w:val="16"/>
        <w:numPr>
          <w:ilvl w:val="0"/>
          <w:numId w:val="1"/>
        </w:numPr>
        <w:spacing w:before="60" w:after="60"/>
      </w:pPr>
      <w:r>
        <w:rPr>
          <w:rFonts w:ascii="Arial" w:hAnsi="Arial" w:eastAsia="Arial" w:cs="Arial"/>
          <w:color w:val="000000"/>
          <w:sz w:val="20"/>
          <w:szCs w:val="20"/>
        </w:rPr>
        <w:t>Inventory Inefficiency: 12 raw materials were consistently held at stock levels more than 40% above the minimum reorder level, resulting in excess working capital being blocked. A revised MRP re-order policy has been recommended.</w:t>
      </w:r>
    </w:p>
    <w:p w14:paraId="15EFDEC0">
      <w:pPr>
        <w:pStyle w:val="16"/>
        <w:numPr>
          <w:ilvl w:val="0"/>
          <w:numId w:val="1"/>
        </w:numPr>
        <w:spacing w:before="60" w:after="60"/>
      </w:pPr>
      <w:r>
        <w:rPr>
          <w:rFonts w:ascii="Arial" w:hAnsi="Arial" w:eastAsia="Arial" w:cs="Arial"/>
          <w:color w:val="000000"/>
          <w:sz w:val="20"/>
          <w:szCs w:val="20"/>
        </w:rPr>
        <w:t>Vendor Performance: Two key vendors had a GR-to-Invoice discrepancy of more than 8% consistently over 6 months, suggesting billing irregularities that require renegotiation of purchase agreements.</w:t>
      </w:r>
    </w:p>
    <w:p w14:paraId="49C1AA3D">
      <w:pPr>
        <w:pStyle w:val="16"/>
        <w:numPr>
          <w:ilvl w:val="0"/>
          <w:numId w:val="1"/>
        </w:numPr>
        <w:spacing w:before="60" w:after="60"/>
      </w:pPr>
      <w:r>
        <w:rPr>
          <w:rFonts w:ascii="Arial" w:hAnsi="Arial" w:eastAsia="Arial" w:cs="Arial"/>
          <w:color w:val="000000"/>
          <w:sz w:val="20"/>
          <w:szCs w:val="20"/>
        </w:rPr>
        <w:t>Receivables Health: Approximately INR 4.8 crore of customer dues have crossed the 90-day overdue mark. The finance team initiated targeted collection campaigns after this insight was surfaced via the SAC dashboard.</w:t>
      </w:r>
    </w:p>
    <w:p w14:paraId="12A00D8B">
      <w:pPr>
        <w:pStyle w:val="16"/>
        <w:numPr>
          <w:ilvl w:val="0"/>
          <w:numId w:val="1"/>
        </w:numPr>
        <w:spacing w:before="60" w:after="60"/>
      </w:pPr>
      <w:r>
        <w:rPr>
          <w:rFonts w:ascii="Arial" w:hAnsi="Arial" w:eastAsia="Arial" w:cs="Arial"/>
          <w:color w:val="000000"/>
          <w:sz w:val="20"/>
          <w:szCs w:val="20"/>
        </w:rPr>
        <w:t>Sales Seasonality: Dashboard analysis confirmed a consistent Q3 (October–December) spike in revenue due to year-end capital expenditure cycles of industrial customers. This insight was used to pre-plan higher inventory and logistics capacity for Q3.</w:t>
      </w:r>
    </w:p>
    <w:p w14:paraId="6235FB3F">
      <w:pPr>
        <w:pStyle w:val="16"/>
        <w:numPr>
          <w:ilvl w:val="0"/>
          <w:numId w:val="1"/>
        </w:numPr>
        <w:spacing w:before="60" w:after="60"/>
      </w:pPr>
      <w:r>
        <w:rPr>
          <w:rFonts w:ascii="Arial" w:hAnsi="Arial" w:eastAsia="Arial" w:cs="Arial"/>
          <w:color w:val="000000"/>
          <w:sz w:val="20"/>
          <w:szCs w:val="20"/>
        </w:rPr>
        <w:t>GST Compliance: The ITC vs. GST payable chart revealed that VidyutKraft had accumulated INR 1.2 crore in unutilised Input Tax Credit. The accounts team used this to offset future GST liabilities, improving cash flow.</w:t>
      </w:r>
    </w:p>
    <w:p w14:paraId="00D46554"/>
    <w:p w14:paraId="0F28621B">
      <w:pPr>
        <w:pStyle w:val="2"/>
        <w:pBdr>
          <w:bottom w:val="single" w:color="2E75B6" w:sz="8" w:space="6"/>
        </w:pBdr>
        <w:spacing w:before="320" w:after="160"/>
      </w:pPr>
      <w:r>
        <w:rPr>
          <w:rFonts w:ascii="Arial" w:hAnsi="Arial" w:eastAsia="Arial" w:cs="Arial"/>
          <w:b/>
          <w:bCs/>
          <w:color w:val="1F3864"/>
          <w:sz w:val="32"/>
          <w:szCs w:val="32"/>
        </w:rPr>
        <w:t>9.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288E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E18D6B">
            <w:pPr>
              <w:jc w:val="center"/>
            </w:pPr>
            <w:r>
              <w:rPr>
                <w:rFonts w:ascii="Arial" w:hAnsi="Arial" w:eastAsia="Arial" w:cs="Arial"/>
                <w:b/>
                <w:bCs/>
                <w:color w:val="FFFFFF"/>
                <w:sz w:val="20"/>
                <w:szCs w:val="20"/>
              </w:rPr>
              <w:t>Component</w:t>
            </w:r>
          </w:p>
        </w:tc>
        <w:tc>
          <w:tcPr>
            <w:tcW w:w="542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F896CFD">
            <w:pPr>
              <w:jc w:val="center"/>
            </w:pPr>
            <w:r>
              <w:rPr>
                <w:rFonts w:ascii="Arial" w:hAnsi="Arial" w:eastAsia="Arial" w:cs="Arial"/>
                <w:b/>
                <w:bCs/>
                <w:color w:val="FFFFFF"/>
                <w:sz w:val="20"/>
                <w:szCs w:val="20"/>
              </w:rPr>
              <w:t>Details</w:t>
            </w:r>
          </w:p>
        </w:tc>
      </w:tr>
      <w:tr w14:paraId="6484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B0CC2B">
            <w:pPr>
              <w:jc w:val="left"/>
            </w:pPr>
            <w:r>
              <w:rPr>
                <w:rFonts w:ascii="Arial" w:hAnsi="Arial" w:eastAsia="Arial" w:cs="Arial"/>
                <w:b w:val="0"/>
                <w:bCs w:val="0"/>
                <w:color w:val="000000"/>
                <w:sz w:val="20"/>
                <w:szCs w:val="20"/>
              </w:rPr>
              <w:t>SAP ERP Version</w:t>
            </w:r>
          </w:p>
        </w:tc>
        <w:tc>
          <w:tcPr>
            <w:tcW w:w="5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197F06">
            <w:pPr>
              <w:jc w:val="left"/>
            </w:pPr>
            <w:r>
              <w:rPr>
                <w:rFonts w:ascii="Arial" w:hAnsi="Arial" w:eastAsia="Arial" w:cs="Arial"/>
                <w:b w:val="0"/>
                <w:bCs w:val="0"/>
                <w:color w:val="000000"/>
                <w:sz w:val="20"/>
                <w:szCs w:val="20"/>
              </w:rPr>
              <w:t>SAP S/4HANA 2023 (On-Premise)</w:t>
            </w:r>
          </w:p>
        </w:tc>
      </w:tr>
      <w:tr w14:paraId="7086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001C5CD">
            <w:pPr>
              <w:jc w:val="left"/>
            </w:pPr>
            <w:r>
              <w:rPr>
                <w:rFonts w:ascii="Arial" w:hAnsi="Arial" w:eastAsia="Arial" w:cs="Arial"/>
                <w:b w:val="0"/>
                <w:bCs w:val="0"/>
                <w:color w:val="000000"/>
                <w:sz w:val="20"/>
                <w:szCs w:val="20"/>
              </w:rPr>
              <w:t>Database</w:t>
            </w:r>
          </w:p>
        </w:tc>
        <w:tc>
          <w:tcPr>
            <w:tcW w:w="54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1032EBB">
            <w:pPr>
              <w:jc w:val="left"/>
            </w:pPr>
            <w:r>
              <w:rPr>
                <w:rFonts w:ascii="Arial" w:hAnsi="Arial" w:eastAsia="Arial" w:cs="Arial"/>
                <w:b w:val="0"/>
                <w:bCs w:val="0"/>
                <w:color w:val="000000"/>
                <w:sz w:val="20"/>
                <w:szCs w:val="20"/>
              </w:rPr>
              <w:t>SAP HANA 2.0 (In-Memory DB)</w:t>
            </w:r>
          </w:p>
        </w:tc>
      </w:tr>
      <w:tr w14:paraId="679E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C6D820">
            <w:pPr>
              <w:jc w:val="left"/>
            </w:pPr>
            <w:r>
              <w:rPr>
                <w:rFonts w:ascii="Arial" w:hAnsi="Arial" w:eastAsia="Arial" w:cs="Arial"/>
                <w:b w:val="0"/>
                <w:bCs w:val="0"/>
                <w:color w:val="000000"/>
                <w:sz w:val="20"/>
                <w:szCs w:val="20"/>
              </w:rPr>
              <w:t>SAP Analytics Cloud</w:t>
            </w:r>
          </w:p>
        </w:tc>
        <w:tc>
          <w:tcPr>
            <w:tcW w:w="5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E349C1">
            <w:pPr>
              <w:jc w:val="left"/>
            </w:pPr>
            <w:r>
              <w:rPr>
                <w:rFonts w:ascii="Arial" w:hAnsi="Arial" w:eastAsia="Arial" w:cs="Arial"/>
                <w:b w:val="0"/>
                <w:bCs w:val="0"/>
                <w:color w:val="000000"/>
                <w:sz w:val="20"/>
                <w:szCs w:val="20"/>
              </w:rPr>
              <w:t>SAP Analytics Cloud (SaaS) – Enterprise Edition</w:t>
            </w:r>
          </w:p>
        </w:tc>
      </w:tr>
      <w:tr w14:paraId="2689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D051EAF">
            <w:pPr>
              <w:jc w:val="left"/>
            </w:pPr>
            <w:r>
              <w:rPr>
                <w:rFonts w:ascii="Arial" w:hAnsi="Arial" w:eastAsia="Arial" w:cs="Arial"/>
                <w:b w:val="0"/>
                <w:bCs w:val="0"/>
                <w:color w:val="000000"/>
                <w:sz w:val="20"/>
                <w:szCs w:val="20"/>
              </w:rPr>
              <w:t>Integration Middleware</w:t>
            </w:r>
          </w:p>
        </w:tc>
        <w:tc>
          <w:tcPr>
            <w:tcW w:w="54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EE6F23D">
            <w:pPr>
              <w:jc w:val="left"/>
            </w:pPr>
            <w:r>
              <w:rPr>
                <w:rFonts w:ascii="Arial" w:hAnsi="Arial" w:eastAsia="Arial" w:cs="Arial"/>
                <w:b w:val="0"/>
                <w:bCs w:val="0"/>
                <w:color w:val="000000"/>
                <w:sz w:val="20"/>
                <w:szCs w:val="20"/>
              </w:rPr>
              <w:t>SAP Integration Suite (Cloud)</w:t>
            </w:r>
          </w:p>
        </w:tc>
      </w:tr>
      <w:tr w14:paraId="2CA6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80C19C">
            <w:pPr>
              <w:jc w:val="left"/>
            </w:pPr>
            <w:r>
              <w:rPr>
                <w:rFonts w:ascii="Arial" w:hAnsi="Arial" w:eastAsia="Arial" w:cs="Arial"/>
                <w:b w:val="0"/>
                <w:bCs w:val="0"/>
                <w:color w:val="000000"/>
                <w:sz w:val="20"/>
                <w:szCs w:val="20"/>
              </w:rPr>
              <w:t>User Interface</w:t>
            </w:r>
          </w:p>
        </w:tc>
        <w:tc>
          <w:tcPr>
            <w:tcW w:w="5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5815D4">
            <w:pPr>
              <w:jc w:val="left"/>
            </w:pPr>
            <w:r>
              <w:rPr>
                <w:rFonts w:ascii="Arial" w:hAnsi="Arial" w:eastAsia="Arial" w:cs="Arial"/>
                <w:b w:val="0"/>
                <w:bCs w:val="0"/>
                <w:color w:val="000000"/>
                <w:sz w:val="20"/>
                <w:szCs w:val="20"/>
              </w:rPr>
              <w:t>SAP Fiori 3.0 / SAP GUI 7.70</w:t>
            </w:r>
          </w:p>
        </w:tc>
      </w:tr>
      <w:tr w14:paraId="53B7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2E97670">
            <w:pPr>
              <w:jc w:val="left"/>
            </w:pPr>
            <w:r>
              <w:rPr>
                <w:rFonts w:ascii="Arial" w:hAnsi="Arial" w:eastAsia="Arial" w:cs="Arial"/>
                <w:b w:val="0"/>
                <w:bCs w:val="0"/>
                <w:color w:val="000000"/>
                <w:sz w:val="20"/>
                <w:szCs w:val="20"/>
              </w:rPr>
              <w:t>Reporting Tool</w:t>
            </w:r>
          </w:p>
        </w:tc>
        <w:tc>
          <w:tcPr>
            <w:tcW w:w="54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7DC6C1C">
            <w:pPr>
              <w:jc w:val="left"/>
            </w:pPr>
            <w:r>
              <w:rPr>
                <w:rFonts w:ascii="Arial" w:hAnsi="Arial" w:eastAsia="Arial" w:cs="Arial"/>
                <w:b w:val="0"/>
                <w:bCs w:val="0"/>
                <w:color w:val="000000"/>
                <w:sz w:val="20"/>
                <w:szCs w:val="20"/>
              </w:rPr>
              <w:t>SAP Analytics Cloud Stories &amp; Dashboards</w:t>
            </w:r>
          </w:p>
        </w:tc>
      </w:tr>
      <w:tr w14:paraId="3D38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3548F7">
            <w:pPr>
              <w:jc w:val="left"/>
            </w:pPr>
            <w:r>
              <w:rPr>
                <w:rFonts w:ascii="Arial" w:hAnsi="Arial" w:eastAsia="Arial" w:cs="Arial"/>
                <w:b w:val="0"/>
                <w:bCs w:val="0"/>
                <w:color w:val="000000"/>
                <w:sz w:val="20"/>
                <w:szCs w:val="20"/>
              </w:rPr>
              <w:t>Operating System (Server)</w:t>
            </w:r>
          </w:p>
        </w:tc>
        <w:tc>
          <w:tcPr>
            <w:tcW w:w="5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D1713A">
            <w:pPr>
              <w:jc w:val="left"/>
            </w:pPr>
            <w:r>
              <w:rPr>
                <w:rFonts w:ascii="Arial" w:hAnsi="Arial" w:eastAsia="Arial" w:cs="Arial"/>
                <w:b w:val="0"/>
                <w:bCs w:val="0"/>
                <w:color w:val="000000"/>
                <w:sz w:val="20"/>
                <w:szCs w:val="20"/>
              </w:rPr>
              <w:t>SUSE Linux Enterprise Server 15 SP4</w:t>
            </w:r>
          </w:p>
        </w:tc>
      </w:tr>
      <w:tr w14:paraId="7DC1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89EAFC3">
            <w:pPr>
              <w:jc w:val="left"/>
            </w:pPr>
            <w:r>
              <w:rPr>
                <w:rFonts w:ascii="Arial" w:hAnsi="Arial" w:eastAsia="Arial" w:cs="Arial"/>
                <w:b w:val="0"/>
                <w:bCs w:val="0"/>
                <w:color w:val="000000"/>
                <w:sz w:val="20"/>
                <w:szCs w:val="20"/>
              </w:rPr>
              <w:t>Development Environment</w:t>
            </w:r>
          </w:p>
        </w:tc>
        <w:tc>
          <w:tcPr>
            <w:tcW w:w="54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75F801B">
            <w:pPr>
              <w:jc w:val="left"/>
            </w:pPr>
            <w:r>
              <w:rPr>
                <w:rFonts w:ascii="Arial" w:hAnsi="Arial" w:eastAsia="Arial" w:cs="Arial"/>
                <w:b w:val="0"/>
                <w:bCs w:val="0"/>
                <w:color w:val="000000"/>
                <w:sz w:val="20"/>
                <w:szCs w:val="20"/>
              </w:rPr>
              <w:t>SAP Business Application Studio (BAS)</w:t>
            </w:r>
          </w:p>
        </w:tc>
      </w:tr>
      <w:tr w14:paraId="5E9B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EA464E">
            <w:pPr>
              <w:jc w:val="left"/>
            </w:pPr>
            <w:r>
              <w:rPr>
                <w:rFonts w:ascii="Arial" w:hAnsi="Arial" w:eastAsia="Arial" w:cs="Arial"/>
                <w:b w:val="0"/>
                <w:bCs w:val="0"/>
                <w:color w:val="000000"/>
                <w:sz w:val="20"/>
                <w:szCs w:val="20"/>
              </w:rPr>
              <w:t>Data Connectivity</w:t>
            </w:r>
          </w:p>
        </w:tc>
        <w:tc>
          <w:tcPr>
            <w:tcW w:w="5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23099F">
            <w:pPr>
              <w:jc w:val="left"/>
            </w:pPr>
            <w:r>
              <w:rPr>
                <w:rFonts w:ascii="Arial" w:hAnsi="Arial" w:eastAsia="Arial" w:cs="Arial"/>
                <w:b w:val="0"/>
                <w:bCs w:val="0"/>
                <w:color w:val="000000"/>
                <w:sz w:val="20"/>
                <w:szCs w:val="20"/>
              </w:rPr>
              <w:t>SAP HANA Live Connection to SAC</w:t>
            </w:r>
          </w:p>
        </w:tc>
      </w:tr>
    </w:tbl>
    <w:p w14:paraId="53D48133"/>
    <w:p w14:paraId="4C5D12FE">
      <w:pPr>
        <w:spacing w:before="120" w:after="120"/>
        <w:jc w:val="left"/>
      </w:pPr>
      <w:r>
        <w:rPr>
          <w:rFonts w:ascii="Arial" w:hAnsi="Arial" w:eastAsia="Arial" w:cs="Arial"/>
          <w:b w:val="0"/>
          <w:bCs w:val="0"/>
          <w:i w:val="0"/>
          <w:iCs w:val="0"/>
          <w:color w:val="000000"/>
          <w:sz w:val="22"/>
          <w:szCs w:val="22"/>
        </w:rPr>
        <w:t>The integration between SAP S/4HANA and SAP Analytics Cloud is achieved using a Live HANA Connection, which means the dashboards always display current data without any batch extraction or data warehousing delay. The SAP Integration Suite handles data flow between the ERP system and external stakeholders such as customers and government portals (GST Network).</w:t>
      </w:r>
    </w:p>
    <w:p w14:paraId="5033742F"/>
    <w:p w14:paraId="39A21D79">
      <w:pPr>
        <w:pStyle w:val="2"/>
        <w:pBdr>
          <w:bottom w:val="single" w:color="2E75B6" w:sz="8" w:space="6"/>
        </w:pBdr>
        <w:spacing w:before="320" w:after="160"/>
      </w:pPr>
      <w:r>
        <w:rPr>
          <w:rFonts w:ascii="Arial" w:hAnsi="Arial" w:eastAsia="Arial" w:cs="Arial"/>
          <w:b/>
          <w:bCs/>
          <w:color w:val="1F3864"/>
          <w:sz w:val="32"/>
          <w:szCs w:val="32"/>
        </w:rPr>
        <w:t>10.  Module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26"/>
      </w:tblGrid>
      <w:tr w14:paraId="50E2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09833D1">
            <w:pPr>
              <w:jc w:val="center"/>
            </w:pPr>
            <w:r>
              <w:rPr>
                <w:rFonts w:ascii="Arial" w:hAnsi="Arial" w:eastAsia="Arial" w:cs="Arial"/>
                <w:b/>
                <w:bCs/>
                <w:color w:val="FFFFFF"/>
                <w:sz w:val="20"/>
                <w:szCs w:val="20"/>
              </w:rPr>
              <w:t>Module</w:t>
            </w:r>
          </w:p>
        </w:tc>
        <w:tc>
          <w:tcPr>
            <w:tcW w:w="3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067D615">
            <w:pPr>
              <w:jc w:val="center"/>
            </w:pPr>
            <w:r>
              <w:rPr>
                <w:rFonts w:ascii="Arial" w:hAnsi="Arial" w:eastAsia="Arial" w:cs="Arial"/>
                <w:b/>
                <w:bCs/>
                <w:color w:val="FFFFFF"/>
                <w:sz w:val="20"/>
                <w:szCs w:val="20"/>
              </w:rPr>
              <w:t>Core Transactions</w:t>
            </w:r>
          </w:p>
        </w:tc>
        <w:tc>
          <w:tcPr>
            <w:tcW w:w="352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427BEE4">
            <w:pPr>
              <w:jc w:val="center"/>
            </w:pPr>
            <w:r>
              <w:rPr>
                <w:rFonts w:ascii="Arial" w:hAnsi="Arial" w:eastAsia="Arial" w:cs="Arial"/>
                <w:b/>
                <w:bCs/>
                <w:color w:val="FFFFFF"/>
                <w:sz w:val="20"/>
                <w:szCs w:val="20"/>
              </w:rPr>
              <w:t>Business Outcome</w:t>
            </w:r>
          </w:p>
        </w:tc>
      </w:tr>
      <w:tr w14:paraId="05F2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00E485">
            <w:pPr>
              <w:jc w:val="left"/>
            </w:pPr>
            <w:r>
              <w:rPr>
                <w:rFonts w:ascii="Arial" w:hAnsi="Arial" w:eastAsia="Arial" w:cs="Arial"/>
                <w:b w:val="0"/>
                <w:bCs w:val="0"/>
                <w:color w:val="000000"/>
                <w:sz w:val="20"/>
                <w:szCs w:val="20"/>
              </w:rPr>
              <w:t>FI</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F665E0">
            <w:pPr>
              <w:jc w:val="left"/>
            </w:pPr>
            <w:r>
              <w:rPr>
                <w:rFonts w:ascii="Arial" w:hAnsi="Arial" w:eastAsia="Arial" w:cs="Arial"/>
                <w:b w:val="0"/>
                <w:bCs w:val="0"/>
                <w:color w:val="000000"/>
                <w:sz w:val="20"/>
                <w:szCs w:val="20"/>
              </w:rPr>
              <w:t>FB60, FB70, F110, FS10N</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58F80A">
            <w:pPr>
              <w:jc w:val="left"/>
            </w:pPr>
            <w:r>
              <w:rPr>
                <w:rFonts w:ascii="Arial" w:hAnsi="Arial" w:eastAsia="Arial" w:cs="Arial"/>
                <w:b w:val="0"/>
                <w:bCs w:val="0"/>
                <w:color w:val="000000"/>
                <w:sz w:val="20"/>
                <w:szCs w:val="20"/>
              </w:rPr>
              <w:t>Real-time financial ledger, tax compliance, MIS reports</w:t>
            </w:r>
          </w:p>
        </w:tc>
      </w:tr>
      <w:tr w14:paraId="15C4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B83B241">
            <w:pPr>
              <w:jc w:val="left"/>
            </w:pPr>
            <w:r>
              <w:rPr>
                <w:rFonts w:ascii="Arial" w:hAnsi="Arial" w:eastAsia="Arial" w:cs="Arial"/>
                <w:b w:val="0"/>
                <w:bCs w:val="0"/>
                <w:color w:val="000000"/>
                <w:sz w:val="20"/>
                <w:szCs w:val="20"/>
              </w:rPr>
              <w:t>MM</w:t>
            </w:r>
          </w:p>
        </w:tc>
        <w:tc>
          <w:tcPr>
            <w:tcW w:w="3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91692DD">
            <w:pPr>
              <w:jc w:val="left"/>
            </w:pPr>
            <w:r>
              <w:rPr>
                <w:rFonts w:ascii="Arial" w:hAnsi="Arial" w:eastAsia="Arial" w:cs="Arial"/>
                <w:b w:val="0"/>
                <w:bCs w:val="0"/>
                <w:color w:val="000000"/>
                <w:sz w:val="20"/>
                <w:szCs w:val="20"/>
              </w:rPr>
              <w:t>ME21N, MIGO, MIRO, MB52</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FFC98F6">
            <w:pPr>
              <w:jc w:val="left"/>
            </w:pPr>
            <w:r>
              <w:rPr>
                <w:rFonts w:ascii="Arial" w:hAnsi="Arial" w:eastAsia="Arial" w:cs="Arial"/>
                <w:b w:val="0"/>
                <w:bCs w:val="0"/>
                <w:color w:val="000000"/>
                <w:sz w:val="20"/>
                <w:szCs w:val="20"/>
              </w:rPr>
              <w:t>Efficient procurement cycle, inventory optimisation</w:t>
            </w:r>
          </w:p>
        </w:tc>
      </w:tr>
      <w:tr w14:paraId="1E6E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F235A7">
            <w:pPr>
              <w:jc w:val="left"/>
            </w:pPr>
            <w:r>
              <w:rPr>
                <w:rFonts w:ascii="Arial" w:hAnsi="Arial" w:eastAsia="Arial" w:cs="Arial"/>
                <w:b w:val="0"/>
                <w:bCs w:val="0"/>
                <w:color w:val="000000"/>
                <w:sz w:val="20"/>
                <w:szCs w:val="20"/>
              </w:rPr>
              <w:t>SD</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C2526D">
            <w:pPr>
              <w:jc w:val="left"/>
            </w:pPr>
            <w:r>
              <w:rPr>
                <w:rFonts w:ascii="Arial" w:hAnsi="Arial" w:eastAsia="Arial" w:cs="Arial"/>
                <w:b w:val="0"/>
                <w:bCs w:val="0"/>
                <w:color w:val="000000"/>
                <w:sz w:val="20"/>
                <w:szCs w:val="20"/>
              </w:rPr>
              <w:t>VA01, VL01N, VF01, ME2M</w:t>
            </w:r>
          </w:p>
        </w:tc>
        <w:tc>
          <w:tcPr>
            <w:tcW w:w="3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04A2C7">
            <w:pPr>
              <w:jc w:val="left"/>
            </w:pPr>
            <w:r>
              <w:rPr>
                <w:rFonts w:ascii="Arial" w:hAnsi="Arial" w:eastAsia="Arial" w:cs="Arial"/>
                <w:b w:val="0"/>
                <w:bCs w:val="0"/>
                <w:color w:val="000000"/>
                <w:sz w:val="20"/>
                <w:szCs w:val="20"/>
              </w:rPr>
              <w:t>End-to-end order fulfilment, revenue tracking</w:t>
            </w:r>
          </w:p>
        </w:tc>
      </w:tr>
      <w:tr w14:paraId="23F9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15B6C3">
            <w:pPr>
              <w:jc w:val="left"/>
            </w:pPr>
            <w:r>
              <w:rPr>
                <w:rFonts w:ascii="Arial" w:hAnsi="Arial" w:eastAsia="Arial" w:cs="Arial"/>
                <w:b w:val="0"/>
                <w:bCs w:val="0"/>
                <w:color w:val="000000"/>
                <w:sz w:val="20"/>
                <w:szCs w:val="20"/>
              </w:rPr>
              <w:t>SAC</w:t>
            </w:r>
          </w:p>
        </w:tc>
        <w:tc>
          <w:tcPr>
            <w:tcW w:w="35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9A55448">
            <w:pPr>
              <w:jc w:val="left"/>
            </w:pPr>
            <w:r>
              <w:rPr>
                <w:rFonts w:ascii="Arial" w:hAnsi="Arial" w:eastAsia="Arial" w:cs="Arial"/>
                <w:b w:val="0"/>
                <w:bCs w:val="0"/>
                <w:color w:val="000000"/>
                <w:sz w:val="20"/>
                <w:szCs w:val="20"/>
              </w:rPr>
              <w:t>Story, Dashboard, Predictive</w:t>
            </w:r>
          </w:p>
        </w:tc>
        <w:tc>
          <w:tcPr>
            <w:tcW w:w="3526"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3225663">
            <w:pPr>
              <w:jc w:val="left"/>
            </w:pPr>
            <w:r>
              <w:rPr>
                <w:rFonts w:ascii="Arial" w:hAnsi="Arial" w:eastAsia="Arial" w:cs="Arial"/>
                <w:b w:val="0"/>
                <w:bCs w:val="0"/>
                <w:color w:val="000000"/>
                <w:sz w:val="20"/>
                <w:szCs w:val="20"/>
              </w:rPr>
              <w:t>Visual insights, KPI monitoring, forecasting</w:t>
            </w:r>
          </w:p>
        </w:tc>
      </w:tr>
    </w:tbl>
    <w:p w14:paraId="0D1DAC5A"/>
    <w:p w14:paraId="20A20B56">
      <w:pPr>
        <w:pStyle w:val="2"/>
        <w:pBdr>
          <w:bottom w:val="single" w:color="2E75B6" w:sz="8" w:space="6"/>
        </w:pBdr>
        <w:spacing w:before="320" w:after="160"/>
      </w:pPr>
      <w:r>
        <w:rPr>
          <w:rFonts w:ascii="Arial" w:hAnsi="Arial" w:eastAsia="Arial" w:cs="Arial"/>
          <w:b/>
          <w:bCs/>
          <w:color w:val="1F3864"/>
          <w:sz w:val="32"/>
          <w:szCs w:val="32"/>
        </w:rPr>
        <w:t>11.  Unique Points of This Blueprint</w:t>
      </w:r>
    </w:p>
    <w:p w14:paraId="6E0CE6ED">
      <w:pPr>
        <w:pStyle w:val="16"/>
        <w:numPr>
          <w:ilvl w:val="0"/>
          <w:numId w:val="1"/>
        </w:numPr>
        <w:spacing w:before="60" w:after="60"/>
      </w:pPr>
      <w:r>
        <w:rPr>
          <w:rFonts w:ascii="Arial" w:hAnsi="Arial" w:eastAsia="Arial" w:cs="Arial"/>
          <w:color w:val="000000"/>
          <w:sz w:val="20"/>
          <w:szCs w:val="20"/>
        </w:rPr>
        <w:t>Indian Localisation: The entire blueprint has been designed keeping Indian statutory requirements in mind – Indian Chart of Accounts, April-March fiscal year, GST tax codes (CGST, SGST, IGST, CESS), and TDS/TCS configurations.</w:t>
      </w:r>
    </w:p>
    <w:p w14:paraId="3A0BBA34">
      <w:pPr>
        <w:pStyle w:val="16"/>
        <w:numPr>
          <w:ilvl w:val="0"/>
          <w:numId w:val="1"/>
        </w:numPr>
        <w:spacing w:before="60" w:after="60"/>
      </w:pPr>
      <w:r>
        <w:rPr>
          <w:rFonts w:ascii="Arial" w:hAnsi="Arial" w:eastAsia="Arial" w:cs="Arial"/>
          <w:color w:val="000000"/>
          <w:sz w:val="20"/>
          <w:szCs w:val="20"/>
        </w:rPr>
        <w:t>Fiori-First UI Strategy: Rather than using the traditional SAP GUI for all transactions, the blueprint recommends deploying SAP Fiori apps for end-users, providing a modern, mobile-friendly interface that reduces training time.</w:t>
      </w:r>
    </w:p>
    <w:p w14:paraId="36B2C7E3">
      <w:pPr>
        <w:pStyle w:val="16"/>
        <w:numPr>
          <w:ilvl w:val="0"/>
          <w:numId w:val="1"/>
        </w:numPr>
        <w:spacing w:before="60" w:after="60"/>
      </w:pPr>
      <w:r>
        <w:rPr>
          <w:rFonts w:ascii="Arial" w:hAnsi="Arial" w:eastAsia="Arial" w:cs="Arial"/>
          <w:color w:val="000000"/>
          <w:sz w:val="20"/>
          <w:szCs w:val="20"/>
        </w:rPr>
        <w:t>Live Analytics Without a Data Warehouse: Most companies build a separate data warehouse before connecting analytics. This blueprint uses SAP Analytics Cloud's Live HANA Connection to provide real-time analytics without any ETL infrastructure, significantly reducing implementation cost.</w:t>
      </w:r>
    </w:p>
    <w:p w14:paraId="287544C9">
      <w:pPr>
        <w:pStyle w:val="16"/>
        <w:numPr>
          <w:ilvl w:val="0"/>
          <w:numId w:val="1"/>
        </w:numPr>
        <w:spacing w:before="60" w:after="60"/>
      </w:pPr>
      <w:r>
        <w:rPr>
          <w:rFonts w:ascii="Arial" w:hAnsi="Arial" w:eastAsia="Arial" w:cs="Arial"/>
          <w:color w:val="000000"/>
          <w:sz w:val="20"/>
          <w:szCs w:val="20"/>
        </w:rPr>
        <w:t>Automated 3-Way Match: The P2P process is configured to automatically validate vendor invoices against both the Purchase Order and Goods Receipt. Any discrepancy beyond a defined tolerance triggers an automatic workflow alert.</w:t>
      </w:r>
    </w:p>
    <w:p w14:paraId="291885FD">
      <w:pPr>
        <w:pStyle w:val="16"/>
        <w:numPr>
          <w:ilvl w:val="0"/>
          <w:numId w:val="1"/>
        </w:numPr>
        <w:spacing w:before="60" w:after="60"/>
      </w:pPr>
      <w:r>
        <w:rPr>
          <w:rFonts w:ascii="Arial" w:hAnsi="Arial" w:eastAsia="Arial" w:cs="Arial"/>
          <w:color w:val="000000"/>
          <w:sz w:val="20"/>
          <w:szCs w:val="20"/>
        </w:rPr>
        <w:t>Predictive Sales Forecasting: Using SAC's built-in machine learning capability (Smart Predict), a predictive model has been trained on 3 years of historical sales data to forecast revenue for the next quarter, enabling proactive planning.</w:t>
      </w:r>
    </w:p>
    <w:p w14:paraId="1D8807BF"/>
    <w:p w14:paraId="52BB5C71">
      <w:pPr>
        <w:pStyle w:val="2"/>
        <w:pBdr>
          <w:bottom w:val="single" w:color="2E75B6" w:sz="8" w:space="6"/>
        </w:pBdr>
        <w:spacing w:before="320" w:after="160"/>
      </w:pPr>
      <w:r>
        <w:rPr>
          <w:rFonts w:ascii="Arial" w:hAnsi="Arial" w:eastAsia="Arial" w:cs="Arial"/>
          <w:b/>
          <w:bCs/>
          <w:color w:val="1F3864"/>
          <w:sz w:val="32"/>
          <w:szCs w:val="32"/>
        </w:rPr>
        <w:t>12.  Future Improvements</w:t>
      </w:r>
    </w:p>
    <w:p w14:paraId="0F3375FA">
      <w:pPr>
        <w:pStyle w:val="16"/>
        <w:numPr>
          <w:ilvl w:val="0"/>
          <w:numId w:val="1"/>
        </w:numPr>
        <w:spacing w:before="60" w:after="60"/>
      </w:pPr>
      <w:r>
        <w:rPr>
          <w:rFonts w:ascii="Arial" w:hAnsi="Arial" w:eastAsia="Arial" w:cs="Arial"/>
          <w:color w:val="000000"/>
          <w:sz w:val="20"/>
          <w:szCs w:val="20"/>
        </w:rPr>
        <w:t>SAP Production Planning (PP) Module: As a natural next step, integrating the PP module will connect procurement and sales data with actual production schedules, enabling end-to-end supply chain visibility.</w:t>
      </w:r>
    </w:p>
    <w:p w14:paraId="23A77EC8">
      <w:pPr>
        <w:pStyle w:val="16"/>
        <w:numPr>
          <w:ilvl w:val="0"/>
          <w:numId w:val="1"/>
        </w:numPr>
        <w:spacing w:before="60" w:after="60"/>
      </w:pPr>
      <w:r>
        <w:rPr>
          <w:rFonts w:ascii="Arial" w:hAnsi="Arial" w:eastAsia="Arial" w:cs="Arial"/>
          <w:color w:val="000000"/>
          <w:sz w:val="20"/>
          <w:szCs w:val="20"/>
        </w:rPr>
        <w:t>SAP Quality Management (QM) Module: Implementing QM will allow VidyutKraft to track quality inspection results at the time of goods receipt, reducing defective material from entering the production line.</w:t>
      </w:r>
    </w:p>
    <w:p w14:paraId="28B11D40">
      <w:pPr>
        <w:pStyle w:val="16"/>
        <w:numPr>
          <w:ilvl w:val="0"/>
          <w:numId w:val="1"/>
        </w:numPr>
        <w:spacing w:before="60" w:after="60"/>
      </w:pPr>
      <w:r>
        <w:rPr>
          <w:rFonts w:ascii="Arial" w:hAnsi="Arial" w:eastAsia="Arial" w:cs="Arial"/>
          <w:color w:val="000000"/>
          <w:sz w:val="20"/>
          <w:szCs w:val="20"/>
        </w:rPr>
        <w:t>Customer Portal Integration: Developing an SAP Fiori-based customer self-service portal where clients can track their orders, download invoices, and raise disputes will improve customer satisfaction.</w:t>
      </w:r>
    </w:p>
    <w:p w14:paraId="49B1C6EE">
      <w:pPr>
        <w:pStyle w:val="16"/>
        <w:numPr>
          <w:ilvl w:val="0"/>
          <w:numId w:val="1"/>
        </w:numPr>
        <w:spacing w:before="60" w:after="60"/>
      </w:pPr>
      <w:r>
        <w:rPr>
          <w:rFonts w:ascii="Arial" w:hAnsi="Arial" w:eastAsia="Arial" w:cs="Arial"/>
          <w:color w:val="000000"/>
          <w:sz w:val="20"/>
          <w:szCs w:val="20"/>
        </w:rPr>
        <w:t>AI-Powered Demand Sensing: Expanding the current predictive model in SAC to include external factors such as commodity price indices, macroeconomic indicators, and customer financial health data for smarter demand forecasting.</w:t>
      </w:r>
    </w:p>
    <w:p w14:paraId="5C451D07">
      <w:pPr>
        <w:pStyle w:val="16"/>
        <w:numPr>
          <w:ilvl w:val="0"/>
          <w:numId w:val="1"/>
        </w:numPr>
        <w:spacing w:before="60" w:after="60"/>
      </w:pPr>
      <w:r>
        <w:rPr>
          <w:rFonts w:ascii="Arial" w:hAnsi="Arial" w:eastAsia="Arial" w:cs="Arial"/>
          <w:color w:val="000000"/>
          <w:sz w:val="20"/>
          <w:szCs w:val="20"/>
        </w:rPr>
        <w:t>SAP Extended Warehouse Management (EWM): As warehouse complexity grows, upgrading from basic Inventory Management to SAP EWM will provide better control over bin-level storage, picking strategies, and labour management.</w:t>
      </w:r>
    </w:p>
    <w:p w14:paraId="44E9572B">
      <w:pPr>
        <w:pStyle w:val="16"/>
        <w:numPr>
          <w:ilvl w:val="0"/>
          <w:numId w:val="1"/>
        </w:numPr>
        <w:spacing w:before="60" w:after="60"/>
      </w:pPr>
      <w:r>
        <w:rPr>
          <w:rFonts w:ascii="Arial" w:hAnsi="Arial" w:eastAsia="Arial" w:cs="Arial"/>
          <w:color w:val="000000"/>
          <w:sz w:val="20"/>
          <w:szCs w:val="20"/>
        </w:rPr>
        <w:t>ESG Reporting Dashboard: Building an SAC dashboard dedicated to Environmental, Social, and Governance (ESG) metrics will prepare VidyutKraft for upcoming sustainability reporting requirements under SEBI's BRSR framework.</w:t>
      </w:r>
    </w:p>
    <w:p w14:paraId="6AB9E581"/>
    <w:p w14:paraId="2C0AAF1E">
      <w:pPr>
        <w:pStyle w:val="2"/>
        <w:pBdr>
          <w:bottom w:val="single" w:color="2E75B6" w:sz="8" w:space="6"/>
        </w:pBdr>
        <w:spacing w:before="320" w:after="160"/>
      </w:pPr>
      <w:r>
        <w:rPr>
          <w:rFonts w:ascii="Arial" w:hAnsi="Arial" w:eastAsia="Arial" w:cs="Arial"/>
          <w:b/>
          <w:bCs/>
          <w:color w:val="1F3864"/>
          <w:sz w:val="32"/>
          <w:szCs w:val="32"/>
        </w:rPr>
        <w:t>13.  Conclusion</w:t>
      </w:r>
    </w:p>
    <w:p w14:paraId="536CBF96">
      <w:pPr>
        <w:spacing w:before="120" w:after="120"/>
        <w:jc w:val="left"/>
      </w:pPr>
      <w:r>
        <w:rPr>
          <w:rFonts w:ascii="Arial" w:hAnsi="Arial" w:eastAsia="Arial" w:cs="Arial"/>
          <w:b w:val="0"/>
          <w:bCs w:val="0"/>
          <w:i w:val="0"/>
          <w:iCs w:val="0"/>
          <w:color w:val="000000"/>
          <w:sz w:val="22"/>
          <w:szCs w:val="22"/>
        </w:rPr>
        <w:t>This capstone project presents a comprehensive SAP ERP Blueprint for VidyutKraft Industries Limited, a fictitious Indian electrical equipment manufacturer. The blueprint covers the three foundational SAP modules — Financial Accounting (FI), Materials Management (MM), and Sales &amp; Distribution (SD) — and integrates them with a powerful analytics layer through SAP Analytics Cloud.</w:t>
      </w:r>
    </w:p>
    <w:p w14:paraId="28F512A6">
      <w:pPr>
        <w:spacing w:before="120" w:after="120"/>
        <w:jc w:val="left"/>
      </w:pPr>
      <w:r>
        <w:rPr>
          <w:rFonts w:ascii="Arial" w:hAnsi="Arial" w:eastAsia="Arial" w:cs="Arial"/>
          <w:b w:val="0"/>
          <w:bCs w:val="0"/>
          <w:i w:val="0"/>
          <w:iCs w:val="0"/>
          <w:color w:val="000000"/>
          <w:sz w:val="22"/>
          <w:szCs w:val="22"/>
        </w:rPr>
        <w:t>The Order-to-Cash and Procure-to-Pay process flows designed in this report demonstrate how SAP can unify disconnected business operations into a single, integrated system. The analytics dashboards highlight how data that was previously buried in spreadsheets and legacy systems can be transformed into actionable business intelligence that directly supports decision-making.</w:t>
      </w:r>
    </w:p>
    <w:p w14:paraId="65A2C49A">
      <w:pPr>
        <w:spacing w:before="120" w:after="120"/>
        <w:jc w:val="left"/>
      </w:pPr>
      <w:r>
        <w:rPr>
          <w:rFonts w:ascii="Arial" w:hAnsi="Arial" w:eastAsia="Arial" w:cs="Arial"/>
          <w:b w:val="0"/>
          <w:bCs w:val="0"/>
          <w:i w:val="0"/>
          <w:iCs w:val="0"/>
          <w:color w:val="000000"/>
          <w:sz w:val="22"/>
          <w:szCs w:val="22"/>
        </w:rPr>
        <w:t>Key business benefits expected from this implementation include a significant reduction in order processing time, improved financial visibility, better inventory management, and enhanced customer service. The Indian localisation features — GST configuration, Indian Chart of Accounts, and April–March fiscal year — ensure that VidyutKraft remains fully compliant with statutory requirements.</w:t>
      </w:r>
    </w:p>
    <w:p w14:paraId="375CDF74">
      <w:pPr>
        <w:spacing w:before="120" w:after="120"/>
        <w:jc w:val="left"/>
      </w:pPr>
      <w:r>
        <w:rPr>
          <w:rFonts w:ascii="Arial" w:hAnsi="Arial" w:eastAsia="Arial" w:cs="Arial"/>
          <w:b w:val="0"/>
          <w:bCs w:val="0"/>
          <w:i w:val="0"/>
          <w:iCs w:val="0"/>
          <w:color w:val="000000"/>
          <w:sz w:val="22"/>
          <w:szCs w:val="22"/>
        </w:rPr>
        <w:t>From an academic standpoint, this project demonstrates a practical understanding of SAP S/4HANA enterprise architecture, configuration principles, and the role of cloud analytics in modern ERP ecosystems. The insights drawn from the SAC dashboards validate the real-world value of investing in both a well-designed ERP system and a robust analytics platform.</w:t>
      </w:r>
    </w:p>
    <w:p w14:paraId="693E97A7">
      <w:pPr>
        <w:spacing w:before="120" w:after="120"/>
        <w:jc w:val="left"/>
      </w:pPr>
      <w:r>
        <w:rPr>
          <w:rFonts w:ascii="Arial" w:hAnsi="Arial" w:eastAsia="Arial" w:cs="Arial"/>
          <w:b w:val="0"/>
          <w:bCs w:val="0"/>
          <w:i w:val="0"/>
          <w:iCs w:val="0"/>
          <w:color w:val="000000"/>
          <w:sz w:val="22"/>
          <w:szCs w:val="22"/>
        </w:rPr>
        <w:t>Going forward, the addition of Production Planning, Quality Management, and AI-based demand sensing modules will enable VidyutKraft to evolve from a transactional ERP user to a truly intelligent enterprise powered by SAP.</w:t>
      </w:r>
    </w:p>
    <w:p w14:paraId="4425CC25"/>
    <w:p w14:paraId="0ED7766D">
      <w:pPr>
        <w:pBdr>
          <w:bottom w:val="single" w:color="D6E4F0" w:sz="4" w:space="2"/>
        </w:pBdr>
        <w:spacing w:before="80" w:after="80"/>
      </w:pPr>
    </w:p>
    <w:p w14:paraId="17196A34">
      <w:pPr>
        <w:spacing w:before="120" w:after="120"/>
        <w:jc w:val="center"/>
        <w:rPr>
          <w:rFonts w:ascii="Arial" w:hAnsi="Arial" w:eastAsia="Arial" w:cs="Arial"/>
          <w:b w:val="0"/>
          <w:bCs w:val="0"/>
          <w:i/>
          <w:iCs/>
          <w:color w:val="555555"/>
          <w:sz w:val="22"/>
          <w:szCs w:val="22"/>
        </w:rPr>
      </w:pPr>
      <w:r>
        <w:rPr>
          <w:rFonts w:ascii="Arial" w:hAnsi="Arial" w:eastAsia="Arial" w:cs="Arial"/>
          <w:b w:val="0"/>
          <w:bCs w:val="0"/>
          <w:i/>
          <w:iCs/>
          <w:color w:val="555555"/>
          <w:sz w:val="22"/>
          <w:szCs w:val="22"/>
        </w:rPr>
        <w:t>— End of Report —</w:t>
      </w:r>
    </w:p>
    <w:p w14:paraId="345EFF51">
      <w:pPr>
        <w:spacing w:before="120" w:after="120"/>
        <w:jc w:val="center"/>
        <w:rPr>
          <w:rFonts w:ascii="Arial" w:hAnsi="Arial" w:eastAsia="Arial" w:cs="Arial"/>
          <w:b w:val="0"/>
          <w:bCs w:val="0"/>
          <w:i/>
          <w:iCs/>
          <w:color w:val="555555"/>
          <w:sz w:val="22"/>
          <w:szCs w:val="22"/>
        </w:rPr>
      </w:pPr>
    </w:p>
    <w:p w14:paraId="60976387">
      <w:pPr>
        <w:spacing w:before="120" w:after="120"/>
        <w:jc w:val="left"/>
        <w:rPr>
          <w:rFonts w:ascii="Arial" w:hAnsi="Arial" w:eastAsia="Arial" w:cs="Arial"/>
          <w:b w:val="0"/>
          <w:bCs w:val="0"/>
          <w:i/>
          <w:iCs/>
          <w:color w:val="555555"/>
          <w:sz w:val="22"/>
          <w:szCs w:val="22"/>
        </w:rPr>
      </w:pPr>
      <w:r>
        <w:rPr>
          <w:rFonts w:ascii="SimSun" w:hAnsi="SimSun" w:eastAsia="SimSun" w:cs="SimSun"/>
          <w:sz w:val="24"/>
          <w:szCs w:val="24"/>
        </w:rPr>
        <w:t>Project ZIP Link:</w:t>
      </w:r>
    </w:p>
    <w:p w14:paraId="4DB59C42">
      <w:pPr>
        <w:spacing w:before="120" w:after="120"/>
        <w:jc w:val="left"/>
        <w:rPr>
          <w:rFonts w:ascii="Arial" w:hAnsi="Arial" w:eastAsia="Arial" w:cs="Arial"/>
          <w:b w:val="0"/>
          <w:bCs w:val="0"/>
          <w:i/>
          <w:iCs/>
          <w:color w:val="555555"/>
          <w:sz w:val="22"/>
          <w:szCs w:val="22"/>
        </w:rPr>
      </w:pPr>
      <w:r>
        <w:rPr>
          <w:rFonts w:hint="default" w:ascii="Arial" w:hAnsi="Arial" w:eastAsia="Arial"/>
          <w:b w:val="0"/>
          <w:bCs w:val="0"/>
          <w:i/>
          <w:iCs/>
          <w:color w:val="555555"/>
          <w:sz w:val="22"/>
          <w:szCs w:val="22"/>
        </w:rPr>
        <w:t>https://drive.google.com/file/d/1M0zPRZHw</w:t>
      </w:r>
      <w:bookmarkStart w:id="0" w:name="_GoBack"/>
      <w:bookmarkEnd w:id="0"/>
      <w:r>
        <w:rPr>
          <w:rFonts w:hint="default" w:ascii="Arial" w:hAnsi="Arial" w:eastAsia="Arial"/>
          <w:b w:val="0"/>
          <w:bCs w:val="0"/>
          <w:i/>
          <w:iCs/>
          <w:color w:val="555555"/>
          <w:sz w:val="22"/>
          <w:szCs w:val="22"/>
        </w:rPr>
        <w:t>bDYFc7g2F2wYtIf8TX5JZpdm/view?usp=sharing</w:t>
      </w:r>
    </w:p>
    <w:sectPr>
      <w:headerReference r:id="rId3" w:type="default"/>
      <w:footerReference r:id="rId4"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90359">
    <w:pPr>
      <w:pBdr>
        <w:top w:val="single" w:color="D6E4F0" w:sz="4" w:space="4"/>
      </w:pBdr>
      <w:tabs>
        <w:tab w:val="right" w:pos="9026"/>
      </w:tabs>
      <w:spacing w:before="60"/>
      <w:rPr>
        <w:rFonts w:hint="default" w:cs="Arial"/>
        <w:color w:val="555555"/>
        <w:sz w:val="18"/>
        <w:szCs w:val="18"/>
        <w:lang w:val="en-US"/>
      </w:rPr>
    </w:pPr>
    <w:r>
      <w:rPr>
        <w:rFonts w:hint="default" w:cs="Arial"/>
        <w:color w:val="555555"/>
        <w:sz w:val="18"/>
        <w:szCs w:val="18"/>
        <w:lang w:val="en-US"/>
      </w:rPr>
      <w:t>Anusmita Dutta | 23052308</w:t>
    </w:r>
    <w:r>
      <w:rPr>
        <w:rFonts w:ascii="Arial" w:hAnsi="Arial" w:eastAsia="Arial" w:cs="Arial"/>
        <w:color w:val="555555"/>
        <w:sz w:val="18"/>
        <w:szCs w:val="18"/>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5AFCF">
    <w:pPr>
      <w:pBdr>
        <w:bottom w:val="single" w:color="2E75B6" w:sz="6" w:space="4"/>
      </w:pBdr>
      <w:spacing w:after="60"/>
      <w:rPr>
        <w:rFonts w:hint="default" w:cs="Arial"/>
        <w:color w:val="555555"/>
        <w:sz w:val="18"/>
        <w:szCs w:val="18"/>
        <w:lang w:val="en-US"/>
      </w:rPr>
    </w:pPr>
    <w:r>
      <w:rPr>
        <w:rFonts w:ascii="Arial" w:hAnsi="Arial" w:eastAsia="Arial" w:cs="Arial"/>
        <w:color w:val="555555"/>
        <w:sz w:val="18"/>
        <w:szCs w:val="18"/>
      </w:rPr>
      <w:t>SAP ERP Blueprint  |  VidyutKraft Industries Ltd  |  Capstone Project 202</w:t>
    </w:r>
    <w:r>
      <w:rPr>
        <w:rFonts w:hint="default" w:cs="Arial"/>
        <w:color w:val="555555"/>
        <w:sz w:val="18"/>
        <w:szCs w:val="18"/>
        <w:lang w:val="en-US"/>
      </w:rPr>
      <w:t>5</w:t>
    </w:r>
    <w:r>
      <w:rPr>
        <w:rFonts w:ascii="Arial" w:hAnsi="Arial" w:eastAsia="Arial" w:cs="Arial"/>
        <w:color w:val="555555"/>
        <w:sz w:val="18"/>
        <w:szCs w:val="18"/>
      </w:rPr>
      <w:t>-2</w:t>
    </w:r>
    <w:r>
      <w:rPr>
        <w:rFonts w:hint="default" w:cs="Arial"/>
        <w:color w:val="555555"/>
        <w:sz w:val="18"/>
        <w:szCs w:val="18"/>
        <w:lang w:val="en-US"/>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081A47"/>
    <w:rsid w:val="6B5D3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2026-04-16T03:30:00Z</dcterms:created>
  <dc:creator>Un-named</dc:creator>
  <cp:lastModifiedBy>Anusmita Dutta</cp:lastModifiedBy>
  <dcterms:modified xsi:type="dcterms:W3CDTF">2026-04-21T14:39:04Z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A10C936A0C344E6186C4EF5A0CB4670D_12</vt:lpwstr>
  </property>
</Properties>
</file>