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e2bpu33v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Explainability and Bias Analysis for Churn Prediction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zapmfon5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model interpretability and fairness using SHAP and evaluate bias across sensitive attributes.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7jg237tt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2. Feature Importance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importance was computed using Random Forest.</w:t>
        <w:br w:type="textWrapping"/>
        <w:t xml:space="preserve"> Top features influencing churn include: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(write top features from your graph)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qrds5sum0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3. SHAP Analysis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 was used to explain model predictions: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explanation using summary plot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explanation for individual prediction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z3n5y6jh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4. Bias Analysis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 was checked across: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368725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687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ioop4qn1nox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Mitigation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dataset (oversampling/undersampling)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sensitive attributes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fairness-aware algorithms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bias monitoring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yqbjtoupn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shows interpretability using SHAP. Some bias may exist across sensitive groups, and mitigation techniques can improve fairness.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7.Screenshots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62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