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="384.00000000000006" w:lineRule="auto"/>
        <w:rPr>
          <w:rFonts w:ascii="Roboto" w:cs="Roboto" w:eastAsia="Roboto" w:hAnsi="Roboto"/>
          <w:b w:val="1"/>
          <w:bCs w:val="1"/>
          <w:color w:val="222222"/>
          <w:sz w:val="54"/>
          <w:szCs w:val="54"/>
        </w:rPr>
      </w:pPr>
      <w:bookmarkStart w:colFirst="0" w:colLast="0" w:name="_v4fl5etaiwb8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54"/>
          <w:szCs w:val="54"/>
          <w:rtl w:val="0"/>
        </w:rPr>
        <w:t xml:space="preserve">Описание: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rPr>
          <w:rFonts w:ascii="Roboto" w:cs="Roboto" w:eastAsia="Roboto" w:hAnsi="Roboto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Вы – маркетинговый аналитик вертикали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Недвижимость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Отвечаете за эффективность маркетинга категории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«Вторичное жильё»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привлечение продавцов (размещение объявлений)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привлечение покупателей (трафик и лиды)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окупаемость маркетингового бюджета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В прошлом году суммарный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ROMI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 всей маркетинговой активности категории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«Вторичной жилье» упал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384.00000000000006" w:lineRule="auto"/>
        <w:rPr>
          <w:rFonts w:ascii="Roboto" w:cs="Roboto" w:eastAsia="Roboto" w:hAnsi="Roboto"/>
          <w:b w:val="1"/>
          <w:bCs w:val="1"/>
          <w:color w:val="222222"/>
          <w:sz w:val="33"/>
          <w:szCs w:val="33"/>
        </w:rPr>
      </w:pPr>
      <w:bookmarkStart w:colFirst="0" w:colLast="0" w:name="_mb6quhghklbp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3"/>
          <w:szCs w:val="33"/>
          <w:rtl w:val="0"/>
        </w:rPr>
        <w:t xml:space="preserve">Бизнес-модель (чтобы студенты понимали экономику)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Монетизация категории: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платные размещения объявлений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продвижение (поднятие, выделение, VIP)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подписки для агентств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платные лиды/звонки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👉Подсказка: доход формируется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от активности продавцов и качества покупательского спроса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, а не просто от трафика.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384.00000000000006" w:lineRule="auto"/>
        <w:rPr>
          <w:rFonts w:ascii="Roboto" w:cs="Roboto" w:eastAsia="Roboto" w:hAnsi="Roboto"/>
          <w:b w:val="1"/>
          <w:bCs w:val="1"/>
          <w:color w:val="222222"/>
          <w:sz w:val="33"/>
          <w:szCs w:val="33"/>
        </w:rPr>
      </w:pPr>
      <w:bookmarkStart w:colFirst="0" w:colLast="0" w:name="_5psjgeqfadfp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3"/>
          <w:szCs w:val="33"/>
          <w:rtl w:val="0"/>
        </w:rPr>
        <w:t xml:space="preserve">Динамика ROMI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2024: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+32%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2025: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–8%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280" w:line="384.00000000000006" w:lineRule="auto"/>
        <w:rPr>
          <w:rFonts w:ascii="Roboto" w:cs="Roboto" w:eastAsia="Roboto" w:hAnsi="Roboto"/>
          <w:b w:val="1"/>
          <w:bCs w:val="1"/>
          <w:color w:val="222222"/>
          <w:sz w:val="33"/>
          <w:szCs w:val="33"/>
        </w:rPr>
      </w:pPr>
      <w:bookmarkStart w:colFirst="0" w:colLast="0" w:name="_6z9wblo1qdxo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33"/>
          <w:szCs w:val="33"/>
          <w:rtl w:val="0"/>
        </w:rPr>
        <w:t xml:space="preserve">Маркетинговые активности сейчас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Используются: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performance (Яндекс/Google/VK/Telegram)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SEO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медийка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ретаргетинг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CRM (push/email)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бренд-кампании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кросс-промо внутри Авито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="384.00000000000006" w:lineRule="auto"/>
        <w:rPr>
          <w:rFonts w:ascii="Roboto" w:cs="Roboto" w:eastAsia="Roboto" w:hAnsi="Roboto"/>
          <w:b w:val="1"/>
          <w:bCs w:val="1"/>
          <w:color w:val="222222"/>
          <w:sz w:val="54"/>
          <w:szCs w:val="54"/>
        </w:rPr>
      </w:pPr>
      <w:bookmarkStart w:colFirst="0" w:colLast="0" w:name="_nh8z832asgvb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54"/>
          <w:szCs w:val="54"/>
          <w:rtl w:val="0"/>
        </w:rPr>
        <w:t xml:space="preserve">Задача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Верифицировать проблему и разработать 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план действий для изменения ситуации в положительную сторону в 2026 году -&gt; роста ROMI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</w:rPr>
        <w:drawing>
          <wp:inline distB="114300" distT="114300" distL="114300" distR="114300">
            <wp:extent cx="5731200" cy="375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300" w:line="384.00000000000006" w:lineRule="auto"/>
        <w:rPr>
          <w:rFonts w:ascii="Roboto" w:cs="Roboto" w:eastAsia="Roboto" w:hAnsi="Roboto"/>
          <w:b w:val="1"/>
          <w:bCs w:val="1"/>
          <w:color w:val="222222"/>
          <w:sz w:val="54"/>
          <w:szCs w:val="54"/>
        </w:rPr>
      </w:pPr>
      <w:bookmarkStart w:colFirst="0" w:colLast="0" w:name="_4q9ix5idttum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54"/>
          <w:szCs w:val="54"/>
          <w:rtl w:val="0"/>
        </w:rPr>
        <w:t xml:space="preserve">Критерии оценки: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Критерии оценки: максимально возможное количество набранных баллов за каждое ДЗ – 10 баллов.</w:t>
        <w:br w:type="textWrapping"/>
        <w:t xml:space="preserve">Структура оценки состоит из 6 критериев: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84.00000000000006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Структура оценки состоит из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5 критериев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Поиск и валидация проблемы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0-1 балл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Генерация гипотез проблемы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0-2 балла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Выбор способов валидации гипотезы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0-2 балла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Генерация решений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0-2 балла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Оценка потенциала решений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0-1 балл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Выбор способов проверки решений и сэтапа метрик 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0-2 балла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