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rPr>
          <w:rFonts w:ascii="Roboto" w:cs="Roboto" w:eastAsia="Roboto" w:hAnsi="Roboto"/>
          <w:color w:val="22222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Take-rate напрямую связан с GVM, те с прибылью Авито, а то, что у конкурентов он выше, означает, что Авито недополучает прибыль в этой вертикали. </w:t>
        <w:br w:type="textWrapping"/>
        <w:br w:type="textWrapping"/>
        <w:t xml:space="preserve">Гипотезы: </w:t>
        <w:br w:type="textWrapping"/>
        <w:t xml:space="preserve">- Возможно комиссия 5% за продажу подержанных авто дилерам / в трейд-ин не соответствует рынку. К тому же более половины объявлений / продаж - поддержанные авто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80" w:lineRule="auto"/>
        <w:rPr>
          <w:rFonts w:ascii="Roboto" w:cs="Roboto" w:eastAsia="Roboto" w:hAnsi="Roboto"/>
          <w:color w:val="22222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Нужно проверить, какая комиссия на других площадках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80" w:lineRule="auto"/>
        <w:rPr>
          <w:rFonts w:ascii="Roboto" w:cs="Roboto" w:eastAsia="Roboto" w:hAnsi="Roboto"/>
          <w:color w:val="22222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- Частные продавцы не платят за продвижение / контакт, а только разовую плату за размещение. Возможно тут теряем деньги</w:t>
        <w:br w:type="textWrapping"/>
        <w:br w:type="textWrapping"/>
        <w:t xml:space="preserve">- Отсутствие комиссии для продажи новых авто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