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D517" w14:textId="6D9DBD96" w:rsidR="00536EFB" w:rsidRPr="003A2BC4" w:rsidRDefault="00077E87" w:rsidP="009960B6">
      <w:pPr>
        <w:pStyle w:val="Normal"/>
        <w:keepNext/>
        <w:spacing w:after="160" w:line="280" w:lineRule="auto" w:before="0"/>
        <w:jc w:val="center"/>
        <w:rPr>
          <w:rFonts w:ascii="Times New Roman" w:hAnsi="Times New Roman" w:cs="Times New Roman"/>
          <w:b/>
          <w:bCs/>
          <w:sz w:val="24"/>
          <w:szCs w:val="24"/>
          <w:shd w:val="clear" w:color="auto" w:fill="FFFFFF"/>
        </w:rPr>
      </w:pPr>
      <w:r>
        <w:rPr>
          <w:rFonts w:ascii="Times New Roman" w:hAnsi="Times New Roman" w:cs="Times New Roman"/>
          <w:sz w:val="28"/>
          <w:szCs w:val="28"/>
          <w:b/>
          <w:bCs/>
        </w:rPr>
        <w:t xml:space="preserve">Evaluating Multimodal and Regime-Aware Deep Learning for </w:t>
        <w:br/>
      </w:r>
      <w:r>
        <w:rPr>
          <w:rFonts w:ascii="Times New Roman" w:hAnsi="Times New Roman" w:cs="Times New Roman"/>
          <w:sz w:val="28"/>
          <w:szCs w:val="28"/>
          <w:b/>
          <w:bCs/>
        </w:rPr>
        <w:t>Next-Day SET Index Direction Forecasting</w:t>
      </w:r>
    </w:p>
    <w:p w14:paraId="01E58B98" w14:textId="79AC9DAF" w:rsidR="00FC479C" w:rsidRPr="00466E3D" w:rsidRDefault="00710C26" w:rsidP="00DC7F13">
      <w:pPr>
        <w:keepNext/>
        <w:tabs>
          <w:tab w:val="center" w:pos="4680"/>
          <w:tab w:val="left" w:pos="7088"/>
        </w:tabs>
        <w:spacing w:line="360" w:lineRule="auto"/>
        <w:jc w:val="center"/>
        <w:rPr>
          <w:rFonts w:ascii="Times New Roman" w:eastAsia="Times New Roman" w:hAnsi="Times New Roman" w:cs="Times New Roman"/>
          <w:sz w:val="24"/>
          <w:szCs w:val="24"/>
        </w:rPr>
      </w:pPr>
      <w:proofErr w:type="spellStart"/>
      <w:r w:rsidRPr="00466E3D">
        <w:rPr>
          <w:rFonts w:ascii="Times New Roman" w:eastAsia="Times New Roman" w:hAnsi="Times New Roman" w:cs="Times New Roman"/>
          <w:sz w:val="24"/>
          <w:szCs w:val="24"/>
        </w:rPr>
        <w:t>Arsanchai</w:t>
      </w:r>
      <w:proofErr w:type="spellEnd"/>
      <w:r w:rsidRPr="00466E3D">
        <w:rPr>
          <w:rFonts w:ascii="Times New Roman" w:eastAsia="Times New Roman" w:hAnsi="Times New Roman" w:cs="Times New Roman"/>
          <w:sz w:val="24"/>
          <w:szCs w:val="24"/>
        </w:rPr>
        <w:t xml:space="preserve"> Sukkuea</w:t>
      </w:r>
      <w:r w:rsidRPr="00466E3D">
        <w:rPr>
          <w:rFonts w:ascii="Times New Roman" w:eastAsia="Times New Roman" w:hAnsi="Times New Roman" w:cs="Times New Roman"/>
          <w:sz w:val="24"/>
          <w:szCs w:val="24"/>
          <w:vertAlign w:val="superscript"/>
        </w:rPr>
        <w:t>1,2</w:t>
      </w:r>
      <w:r w:rsidR="006559E8" w:rsidRPr="00466E3D">
        <w:rPr>
          <w:rFonts w:ascii="Times New Roman" w:eastAsia="Times New Roman" w:hAnsi="Times New Roman" w:cs="Times New Roman"/>
          <w:sz w:val="24"/>
          <w:szCs w:val="24"/>
        </w:rPr>
        <w:t xml:space="preserve">, </w:t>
      </w:r>
      <w:r w:rsidR="00C27182">
        <w:rPr>
          <w:rFonts w:ascii="Times New Roman" w:eastAsia="Times New Roman" w:hAnsi="Times New Roman" w:cs="Times New Roman"/>
          <w:sz w:val="24"/>
          <w:szCs w:val="24"/>
        </w:rPr>
        <w:t>Tanawat Rungwallapa</w:t>
      </w:r>
      <w:r w:rsidRPr="00466E3D">
        <w:rPr>
          <w:rFonts w:ascii="Times New Roman" w:eastAsia="Times New Roman" w:hAnsi="Times New Roman" w:cs="Angsana New"/>
          <w:sz w:val="24"/>
          <w:szCs w:val="24"/>
          <w:vertAlign w:val="superscript"/>
        </w:rPr>
        <w:t>3</w:t>
      </w:r>
    </w:p>
    <w:p w14:paraId="7033693E" w14:textId="77777777" w:rsidR="00710C26" w:rsidRPr="003D5177" w:rsidRDefault="00710C26" w:rsidP="00DC7F13">
      <w:pPr>
        <w:spacing w:after="0" w:line="240" w:lineRule="auto"/>
        <w:jc w:val="center"/>
        <w:rPr>
          <w:rFonts w:ascii="Times New Roman" w:hAnsi="Times New Roman"/>
          <w:sz w:val="24"/>
          <w:szCs w:val="24"/>
          <w:vertAlign w:val="superscript"/>
          <w:cs/>
        </w:rPr>
      </w:pPr>
    </w:p>
    <w:p w14:paraId="17C7E772" w14:textId="629B059E"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1</w:t>
      </w:r>
      <w:r w:rsidRPr="00466E3D">
        <w:rPr>
          <w:rFonts w:ascii="Times New Roman" w:hAnsi="Times New Roman" w:cs="Times New Roman"/>
          <w:sz w:val="24"/>
          <w:szCs w:val="24"/>
        </w:rPr>
        <w:t xml:space="preserve">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222 </w:t>
      </w:r>
      <w:proofErr w:type="spellStart"/>
      <w:r w:rsidRPr="00466E3D">
        <w:rPr>
          <w:rFonts w:ascii="Times New Roman" w:hAnsi="Times New Roman" w:cs="Times New Roman"/>
          <w:sz w:val="24"/>
          <w:szCs w:val="24"/>
        </w:rPr>
        <w:t>Thaiburi</w:t>
      </w:r>
      <w:proofErr w:type="spellEnd"/>
      <w:r w:rsidRPr="00466E3D">
        <w:rPr>
          <w:rFonts w:ascii="Times New Roman" w:hAnsi="Times New Roman" w:cs="Times New Roman"/>
          <w:sz w:val="24"/>
          <w:szCs w:val="24"/>
        </w:rPr>
        <w:t xml:space="preserve">, </w:t>
      </w:r>
      <w:proofErr w:type="spellStart"/>
      <w:r w:rsidRPr="00466E3D">
        <w:rPr>
          <w:rFonts w:ascii="Times New Roman" w:hAnsi="Times New Roman" w:cs="Times New Roman"/>
          <w:sz w:val="24"/>
          <w:szCs w:val="24"/>
        </w:rPr>
        <w:t>Thasala</w:t>
      </w:r>
      <w:proofErr w:type="spellEnd"/>
      <w:r w:rsidRPr="00466E3D">
        <w:rPr>
          <w:rFonts w:ascii="Times New Roman" w:hAnsi="Times New Roman" w:cs="Times New Roman"/>
          <w:sz w:val="24"/>
          <w:szCs w:val="24"/>
        </w:rPr>
        <w:t xml:space="preserve"> District, Nakhon Si Thammarat 80160, Thailand.</w:t>
      </w:r>
    </w:p>
    <w:p w14:paraId="6B06CEF0" w14:textId="77777777" w:rsidR="00710C26" w:rsidRPr="00466E3D" w:rsidRDefault="00710C26"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2</w:t>
      </w:r>
      <w:r w:rsidRPr="00466E3D">
        <w:rPr>
          <w:rFonts w:ascii="Times New Roman" w:hAnsi="Times New Roman" w:cs="Times New Roman"/>
          <w:sz w:val="24"/>
          <w:szCs w:val="24"/>
        </w:rPr>
        <w:t xml:space="preserve"> Research Center for Intelligent Technology and Integration, School of Engineering and Technology, </w:t>
      </w:r>
      <w:proofErr w:type="spellStart"/>
      <w:r w:rsidRPr="00466E3D">
        <w:rPr>
          <w:rFonts w:ascii="Times New Roman" w:hAnsi="Times New Roman" w:cs="Times New Roman"/>
          <w:sz w:val="24"/>
          <w:szCs w:val="24"/>
        </w:rPr>
        <w:t>Walailak</w:t>
      </w:r>
      <w:proofErr w:type="spellEnd"/>
      <w:r w:rsidRPr="00466E3D">
        <w:rPr>
          <w:rFonts w:ascii="Times New Roman" w:hAnsi="Times New Roman" w:cs="Times New Roman"/>
          <w:sz w:val="24"/>
          <w:szCs w:val="24"/>
        </w:rPr>
        <w:t xml:space="preserve"> University, Nakhon Si Thammarat 80160, Thailand.</w:t>
      </w:r>
    </w:p>
    <w:p w14:paraId="7F3DB4CF" w14:textId="7718612F" w:rsidR="00710C26" w:rsidRPr="00466E3D" w:rsidRDefault="00857FE5" w:rsidP="00DC7F13">
      <w:pPr>
        <w:keepNext/>
        <w:spacing w:after="0" w:line="240" w:lineRule="auto"/>
        <w:jc w:val="center"/>
        <w:rPr>
          <w:rFonts w:ascii="Times New Roman" w:hAnsi="Times New Roman" w:cs="Times New Roman"/>
          <w:sz w:val="24"/>
          <w:szCs w:val="24"/>
        </w:rPr>
      </w:pPr>
      <w:r w:rsidRPr="00466E3D">
        <w:rPr>
          <w:rFonts w:ascii="Times New Roman" w:hAnsi="Times New Roman" w:cs="Times New Roman"/>
          <w:sz w:val="24"/>
          <w:szCs w:val="24"/>
          <w:vertAlign w:val="superscript"/>
        </w:rPr>
        <w:t>3</w:t>
      </w:r>
      <w:r w:rsidRPr="00466E3D">
        <w:rPr>
          <w:rFonts w:ascii="Times New Roman" w:hAnsi="Times New Roman" w:cs="Times New Roman"/>
          <w:sz w:val="24"/>
          <w:szCs w:val="24"/>
        </w:rPr>
        <w:t xml:space="preserve"> </w:t>
      </w:r>
      <w:r w:rsidR="00C27182" w:rsidRPr="00C27182">
        <w:rPr>
          <w:rFonts w:ascii="Times New Roman" w:hAnsi="Times New Roman" w:cs="Times New Roman"/>
          <w:sz w:val="24"/>
          <w:szCs w:val="24"/>
        </w:rPr>
        <w:t xml:space="preserve">Faculty of Engineering, </w:t>
      </w:r>
      <w:proofErr w:type="spellStart"/>
      <w:r w:rsidR="00C27182" w:rsidRPr="00C27182">
        <w:rPr>
          <w:rFonts w:ascii="Times New Roman" w:hAnsi="Times New Roman" w:cs="Times New Roman"/>
          <w:sz w:val="24"/>
          <w:szCs w:val="24"/>
        </w:rPr>
        <w:t>Kasetsart</w:t>
      </w:r>
      <w:proofErr w:type="spellEnd"/>
      <w:r w:rsidR="00C27182" w:rsidRPr="00C27182">
        <w:rPr>
          <w:rFonts w:ascii="Times New Roman" w:hAnsi="Times New Roman" w:cs="Times New Roman"/>
          <w:sz w:val="24"/>
          <w:szCs w:val="24"/>
        </w:rPr>
        <w:t xml:space="preserve"> University, Bangkok, 10900 Thailand</w:t>
      </w:r>
      <w:r w:rsidR="007F7553">
        <w:rPr>
          <w:rFonts w:ascii="Times New Roman" w:hAnsi="Times New Roman" w:cs="Times New Roman"/>
          <w:sz w:val="24"/>
          <w:szCs w:val="24"/>
        </w:rPr>
        <w:t>.</w:t>
      </w:r>
    </w:p>
    <w:p w14:paraId="0B2EFFAD" w14:textId="1A25DF94" w:rsidR="00912DEC" w:rsidRPr="009C14B8" w:rsidRDefault="00912DEC" w:rsidP="009960B6">
      <w:pPr>
        <w:pStyle w:val="Normal"/>
        <w:spacing w:after="160" w:line="240" w:lineRule="auto"/>
        <w:jc w:val="center"/>
        <w:rPr>
          <w:rFonts w:ascii="Times New Roman" w:eastAsia="Times New Roman" w:hAnsi="Times New Roman"/>
          <w:sz w:val="24"/>
          <w:szCs w:val="24"/>
          <w:cs/>
        </w:rPr>
      </w:pPr>
      <w:r>
        <w:rPr>
          <w:rFonts w:ascii="Times New Roman" w:hAnsi="Times New Roman" w:cs="Times New Roman"/>
          <w:sz w:val="20"/>
          <w:szCs w:val="20"/>
        </w:rPr>
        <w:t>Correspondence: Arsanchai.su@wu.ac.th</w:t>
      </w:r>
    </w:p>
    <w:p w14:paraId="3492B367" w14:textId="77777777" w:rsidR="00AB33B6" w:rsidRPr="00466E3D" w:rsidRDefault="001F1F8A" w:rsidP="009960B6">
      <w:pPr>
        <w:pStyle w:val="Normal"/>
        <w:keepNext/>
        <w:pBdr>
          <w:top w:val="nil"/>
          <w:left w:val="nil"/>
          <w:bottom w:val="nil"/>
          <w:right w:val="nil"/>
          <w:between w:val="nil"/>
        </w:pBdr>
        <w:spacing w:before="120" w:after="60" w:line="240" w:lineRule="auto"/>
        <w:rPr>
          <w:rFonts w:ascii="Times New Roman" w:eastAsia="Times New Roman" w:hAnsi="Times New Roman" w:cs="Times New Roman"/>
          <w:b/>
          <w:sz w:val="24"/>
          <w:szCs w:val="24"/>
        </w:rPr>
      </w:pPr>
      <w:r>
        <w:rPr>
          <w:rFonts w:ascii="Times New Roman" w:hAnsi="Times New Roman" w:cs="Times New Roman"/>
          <w:sz w:val="24"/>
          <w:szCs w:val="24"/>
          <w:b/>
          <w:bCs/>
        </w:rPr>
        <w:t>Abstract</w:t>
      </w:r>
    </w:p>
    <w:p w14:paraId="3B49CEAA" w14:textId="32D3BDDE" w:rsidR="00DF162D" w:rsidRPr="00A27524" w:rsidRDefault="005E03E1" w:rsidP="009960B6">
      <w:pPr>
        <w:spacing w:line="360" w:lineRule="auto"/>
        <w:jc w:val="both"/>
        <w:rPr>
          <w:rFonts w:ascii="Times New Roman" w:eastAsia="Times New Roman" w:hAnsi="Times New Roman"/>
          <w:bCs/>
          <w:sz w:val="24"/>
          <w:szCs w:val="24"/>
        </w:rPr>
      </w:pPr>
      <w:r>
        <w:rPr>
          <w:rFonts w:ascii="Times New Roman" w:eastAsia="Times New Roman" w:hAnsi="Times New Roman" w:cs="Times New Roman"/>
          <w:sz w:val="24"/>
          <w:szCs w:val="24"/>
        </w:rPr>
        <w:t>Market-direc</w:t>
      </w:r>
      <w:r w:rsidR="00891BF0">
        <w:rPr>
          <w:rFonts w:ascii="Times New Roman" w:eastAsia="Times New Roman" w:hAnsi="Times New Roman" w:cs="Times New Roman"/>
          <w:sz w:val="24"/>
          <w:szCs w:val="24"/>
        </w:rPr>
        <w:t xml:space="preserve">tion studies often emphasize the best-performing configuration </w:t>
      </w:r>
      <w:r w:rsidR="00A27524">
        <w:rPr>
          <w:rFonts w:ascii="Times New Roman" w:eastAsia="Times New Roman" w:hAnsi="Times New Roman" w:cs="Times New Roman"/>
          <w:sz w:val="24"/>
          <w:szCs w:val="24"/>
        </w:rPr>
        <w:t>but wh</w:t>
      </w:r>
      <w:r w:rsidR="00EF231A">
        <w:rPr>
          <w:rFonts w:ascii="Times New Roman" w:eastAsia="Times New Roman" w:hAnsi="Times New Roman" w:cs="Times New Roman"/>
          <w:sz w:val="24"/>
          <w:szCs w:val="24"/>
        </w:rPr>
        <w:t>ether reported gains persist under strict point-in-time evaluation and robustness checks remain unclear.</w:t>
      </w:r>
      <w:r w:rsidR="00D0143A">
        <w:rPr>
          <w:rFonts w:ascii="Times New Roman" w:eastAsia="Times New Roman" w:hAnsi="Times New Roman" w:cs="Times New Roman"/>
          <w:sz w:val="24"/>
          <w:szCs w:val="24"/>
        </w:rPr>
        <w:t xml:space="preserve"> </w:t>
      </w:r>
      <w:r w:rsidR="00EB7450">
        <w:rPr>
          <w:rFonts w:ascii="Times New Roman" w:eastAsia="Times New Roman" w:hAnsi="Times New Roman" w:cs="Times New Roman"/>
          <w:sz w:val="24"/>
          <w:szCs w:val="24"/>
        </w:rPr>
        <w:t>We conduct a point-in-time reliability audit of numerical denoising, predicted financial-news sentiment, role-structured large-language-model inference, regime-aware feature selection and neural complexity</w:t>
      </w:r>
      <w:r w:rsidR="0011282B">
        <w:rPr>
          <w:rFonts w:ascii="Times New Roman" w:eastAsia="Times New Roman" w:hAnsi="Times New Roman" w:cs="Times New Roman"/>
          <w:sz w:val="24"/>
          <w:szCs w:val="24"/>
        </w:rPr>
        <w:t xml:space="preserve">. The study uses daily SET50 price index data from 2012-2025, expanding </w:t>
      </w:r>
      <w:r w:rsidR="00D0143A">
        <w:rPr>
          <w:rFonts w:ascii="Times New Roman" w:eastAsia="Times New Roman" w:hAnsi="Times New Roman" w:cs="Times New Roman"/>
          <w:sz w:val="24"/>
          <w:szCs w:val="24"/>
        </w:rPr>
        <w:t>pre-2022 model selection</w:t>
      </w:r>
      <w:r w:rsidR="0011282B">
        <w:rPr>
          <w:rFonts w:ascii="Times New Roman" w:eastAsia="Times New Roman" w:hAnsi="Times New Roman" w:cs="Times New Roman"/>
          <w:sz w:val="24"/>
          <w:szCs w:val="24"/>
        </w:rPr>
        <w:t>, four outer test years (2022-2025; 962 sessions)</w:t>
      </w:r>
      <w:r w:rsidR="007A7BF9">
        <w:rPr>
          <w:rFonts w:ascii="Times New Roman" w:eastAsia="Times New Roman" w:hAnsi="Times New Roman" w:cs="Times New Roman"/>
          <w:sz w:val="24"/>
          <w:szCs w:val="24"/>
        </w:rPr>
        <w:t>, five fixed seeds and five architectures: LSTM, CNN, LSTM-CNN, LSTM-Attention and LSTM-CNN</w:t>
      </w:r>
      <w:r w:rsidR="00A24D75">
        <w:rPr>
          <w:rFonts w:ascii="Times New Roman" w:eastAsia="Times New Roman" w:hAnsi="Times New Roman" w:cs="Times New Roman"/>
          <w:sz w:val="24"/>
          <w:szCs w:val="24"/>
        </w:rPr>
        <w:t>-</w:t>
      </w:r>
      <w:r w:rsidR="007A7BF9">
        <w:rPr>
          <w:rFonts w:ascii="Times New Roman" w:eastAsia="Times New Roman" w:hAnsi="Times New Roman" w:cs="Times New Roman"/>
          <w:sz w:val="24"/>
          <w:szCs w:val="24"/>
        </w:rPr>
        <w:t>Attention.</w:t>
      </w:r>
      <w:r w:rsidR="00A24D75">
        <w:rPr>
          <w:rFonts w:ascii="Times New Roman" w:eastAsia="Times New Roman" w:hAnsi="Times New Roman"/>
          <w:bCs/>
          <w:sz w:val="24"/>
          <w:szCs w:val="24"/>
        </w:rPr>
        <w:t xml:space="preserve"> Labels are purged by observation date, transformations are fitted on training dat</w:t>
      </w:r>
      <w:r w:rsidR="009279E2">
        <w:rPr>
          <w:rFonts w:ascii="Times New Roman" w:eastAsia="Times New Roman" w:hAnsi="Times New Roman"/>
          <w:bCs/>
          <w:sz w:val="24"/>
          <w:szCs w:val="24"/>
        </w:rPr>
        <w:t>a only</w:t>
      </w:r>
      <w:r w:rsidR="00CB01CA">
        <w:rPr>
          <w:rFonts w:ascii="Times New Roman" w:eastAsia="Times New Roman" w:hAnsi="Times New Roman"/>
          <w:bCs/>
          <w:sz w:val="24"/>
          <w:szCs w:val="24"/>
        </w:rPr>
        <w:t xml:space="preserve"> and balanced accuracy is the primary endpoint.</w:t>
      </w:r>
      <w:r w:rsidR="00E51467">
        <w:rPr>
          <w:rFonts w:ascii="Times New Roman" w:eastAsia="Times New Roman" w:hAnsi="Times New Roman"/>
          <w:bCs/>
          <w:sz w:val="24"/>
          <w:szCs w:val="24"/>
        </w:rPr>
        <w:t xml:space="preserve"> </w:t>
      </w:r>
      <w:r w:rsidR="00D0143A">
        <w:rPr>
          <w:rFonts w:ascii="Times New Roman" w:eastAsia="Times New Roman" w:hAnsi="Times New Roman"/>
          <w:bCs/>
          <w:sz w:val="24"/>
          <w:szCs w:val="24"/>
        </w:rPr>
        <w:t>Causal rolling variational mode decomposition</w:t>
      </w:r>
      <w:r w:rsidR="00E51467">
        <w:rPr>
          <w:rFonts w:ascii="Times New Roman" w:eastAsia="Times New Roman" w:hAnsi="Times New Roman"/>
          <w:bCs/>
          <w:sz w:val="24"/>
          <w:szCs w:val="24"/>
        </w:rPr>
        <w:t xml:space="preserve"> changed balanced accuracy by -0.</w:t>
      </w:r>
      <w:r w:rsidR="002575A8">
        <w:rPr>
          <w:rFonts w:ascii="Times New Roman" w:eastAsia="Times New Roman" w:hAnsi="Times New Roman"/>
          <w:bCs/>
          <w:sz w:val="24"/>
          <w:szCs w:val="24"/>
        </w:rPr>
        <w:t>60 to +0.35</w:t>
      </w:r>
      <w:r w:rsidR="00541F97">
        <w:rPr>
          <w:rFonts w:ascii="Times New Roman" w:eastAsia="Times New Roman" w:hAnsi="Times New Roman"/>
          <w:bCs/>
          <w:sz w:val="24"/>
          <w:szCs w:val="24"/>
        </w:rPr>
        <w:t xml:space="preserve"> percentage points across architectures, </w:t>
      </w:r>
      <w:r w:rsidR="00390FB2">
        <w:rPr>
          <w:rFonts w:ascii="Times New Roman" w:eastAsia="Times New Roman" w:hAnsi="Times New Roman"/>
          <w:bCs/>
          <w:sz w:val="24"/>
          <w:szCs w:val="24"/>
        </w:rPr>
        <w:t>with no conclusive effect. Predicted news produced no multiplicity-adjusted gain over market-only and falsification controls. In a locked 2023 sentiment benchmark</w:t>
      </w:r>
      <w:r w:rsidR="00072BE6">
        <w:rPr>
          <w:rFonts w:ascii="Times New Roman" w:eastAsia="Times New Roman" w:hAnsi="Times New Roman"/>
          <w:bCs/>
          <w:sz w:val="24"/>
          <w:szCs w:val="24"/>
        </w:rPr>
        <w:t>, a Bull/Bear/Leader large-language-model system exceeded equal-call and near-cost self-consistency controls by 5.93 and 6.00 points, respectively</w:t>
      </w:r>
      <w:r w:rsidR="00B51388">
        <w:rPr>
          <w:rFonts w:ascii="Times New Roman" w:eastAsia="Times New Roman" w:hAnsi="Times New Roman"/>
          <w:bCs/>
          <w:sz w:val="24"/>
          <w:szCs w:val="24"/>
        </w:rPr>
        <w:t>. Regime-specific SHAP selection improved CNN by 1.46 points but produc</w:t>
      </w:r>
      <w:r w:rsidR="00925D4A">
        <w:rPr>
          <w:rFonts w:ascii="Times New Roman" w:eastAsia="Times New Roman" w:hAnsi="Times New Roman"/>
          <w:bCs/>
          <w:sz w:val="24"/>
          <w:szCs w:val="24"/>
        </w:rPr>
        <w:t xml:space="preserve">ed mixed or negative effects elsewhere </w:t>
      </w:r>
      <w:r w:rsidR="00D0143A">
        <w:rPr>
          <w:rFonts w:ascii="Times New Roman" w:eastAsia="Times New Roman" w:hAnsi="Times New Roman"/>
          <w:bCs/>
          <w:sz w:val="24"/>
          <w:szCs w:val="24"/>
        </w:rPr>
        <w:t>without Holm-adjusted significance</w:t>
      </w:r>
      <w:r w:rsidR="00925D4A">
        <w:rPr>
          <w:rFonts w:ascii="Times New Roman" w:eastAsia="Times New Roman" w:hAnsi="Times New Roman"/>
          <w:bCs/>
          <w:sz w:val="24"/>
          <w:szCs w:val="24"/>
        </w:rPr>
        <w:t xml:space="preserve">. </w:t>
      </w:r>
      <w:r w:rsidR="00521BE1">
        <w:rPr>
          <w:rFonts w:ascii="Times New Roman" w:eastAsia="Times New Roman" w:hAnsi="Times New Roman"/>
          <w:bCs/>
          <w:sz w:val="24"/>
          <w:szCs w:val="24"/>
        </w:rPr>
        <w:t xml:space="preserve">Partial-2026 testing exposed one-sided prediction collapse while frozen SET100 transfer was uniformly </w:t>
      </w:r>
      <w:r w:rsidR="00077E87">
        <w:rPr>
          <w:rFonts w:ascii="Times New Roman" w:eastAsia="Times New Roman" w:hAnsi="Times New Roman"/>
          <w:bCs/>
          <w:sz w:val="24"/>
          <w:szCs w:val="24"/>
        </w:rPr>
        <w:t>weaker,</w:t>
      </w:r>
      <w:r w:rsidR="00521BE1">
        <w:rPr>
          <w:rFonts w:ascii="Times New Roman" w:eastAsia="Times New Roman" w:hAnsi="Times New Roman"/>
          <w:bCs/>
          <w:sz w:val="24"/>
          <w:szCs w:val="24"/>
        </w:rPr>
        <w:t xml:space="preserve"> indicating </w:t>
      </w:r>
      <w:r w:rsidR="001D50B5">
        <w:rPr>
          <w:rFonts w:ascii="Times New Roman" w:eastAsia="Times New Roman" w:hAnsi="Times New Roman"/>
          <w:bCs/>
          <w:sz w:val="24"/>
          <w:szCs w:val="24"/>
        </w:rPr>
        <w:t>that the observed gains were configuration-specific rather than generalizable.</w:t>
      </w:r>
    </w:p>
    <w:p w14:paraId="782D8FEC" w14:textId="60FA86D1" w:rsidR="00DB3A79" w:rsidRPr="00342C57" w:rsidRDefault="00DB3A79" w:rsidP="009960B6">
      <w:pPr>
        <w:pBdr>
          <w:top w:val="nil"/>
          <w:left w:val="nil"/>
          <w:bottom w:val="nil"/>
          <w:right w:val="nil"/>
          <w:between w:val="nil"/>
        </w:pBdr>
        <w:spacing w:after="240" w:line="360" w:lineRule="auto"/>
        <w:rPr>
          <w:rFonts w:ascii="Times New Roman" w:eastAsia="Times New Roman" w:hAnsi="Times New Roman"/>
          <w:bCs/>
          <w:sz w:val="24"/>
          <w:szCs w:val="24"/>
          <w:cs/>
        </w:rPr>
      </w:pPr>
      <w:r>
        <w:rPr>
          <w:rFonts w:ascii="Times New Roman" w:eastAsia="Times New Roman" w:hAnsi="Times New Roman" w:cs="Times New Roman"/>
          <w:b/>
          <w:sz w:val="24"/>
          <w:szCs w:val="24"/>
        </w:rPr>
        <w:t xml:space="preserve">Keywords: </w:t>
      </w:r>
      <w:r w:rsidR="00207E38" w:rsidRPr="00207E38">
        <w:rPr>
          <w:rFonts w:ascii="Times New Roman" w:eastAsia="Times New Roman" w:hAnsi="Times New Roman" w:cs="Times New Roman"/>
          <w:bCs/>
          <w:sz w:val="24"/>
          <w:szCs w:val="24"/>
        </w:rPr>
        <w:t>point-in-time evaluation; stock-market direction; SET50;</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balanced accuracy; multimodal learning; financial sentiment; variational mode</w:t>
      </w:r>
      <w:r w:rsidR="00D0143A">
        <w:rPr>
          <w:rFonts w:ascii="Times New Roman" w:eastAsia="Times New Roman" w:hAnsi="Times New Roman" w:cs="Times New Roman"/>
          <w:bCs/>
          <w:sz w:val="24"/>
          <w:szCs w:val="24"/>
        </w:rPr>
        <w:t xml:space="preserve"> </w:t>
      </w:r>
      <w:r w:rsidR="00207E38" w:rsidRPr="00207E38">
        <w:rPr>
          <w:rFonts w:ascii="Times New Roman" w:eastAsia="Times New Roman" w:hAnsi="Times New Roman" w:cs="Times New Roman"/>
          <w:bCs/>
          <w:sz w:val="24"/>
          <w:szCs w:val="24"/>
        </w:rPr>
        <w:t>decomposition; market regime; SHAP; reliability audit</w:t>
      </w:r>
    </w:p>
    <w:p w14:paraId="5CD321FA" w14:textId="657C9A05" w:rsidR="007A2436" w:rsidRPr="00466E3D" w:rsidRDefault="00FF3971" w:rsidP="009960B6">
      <w:pPr>
        <w:pStyle w:val="Heading1"/>
        <w:keepNext/>
        <w:keepLines/>
        <w:pBdr>
          <w:top w:val="nil"/>
          <w:left w:val="nil"/>
          <w:bottom w:val="nil"/>
          <w:right w:val="nil"/>
          <w:between w:val="nil"/>
        </w:pBdr>
        <w:spacing w:before="240" w:line="240" w:lineRule="auto" w:after="120"/>
        <w:rPr>
          <w:rFonts w:ascii="Times New Roman" w:eastAsia="Times New Roman" w:hAnsi="Times New Roman"/>
          <w:b/>
          <w:sz w:val="24"/>
          <w:szCs w:val="24"/>
          <w:cs/>
        </w:rPr>
        <w:jc w:val="left"/>
      </w:pPr>
      <w:r>
        <w:rPr>
          <w:rFonts w:ascii="Times New Roman" w:hAnsi="Times New Roman" w:cs="Times New Roman"/>
          <w:sz w:val="24"/>
          <w:szCs w:val="24"/>
          <w:b/>
          <w:bCs/>
        </w:rPr>
        <w:t>1. Introduction</w:t>
      </w:r>
    </w:p>
    <w:p w14:paraId="624CA09F" w14:textId="631A5D66" w:rsidR="003361A4" w:rsidRDefault="003361A4" w:rsidP="009960B6">
      <w:pPr>
        <w:spacing w:line="360" w:lineRule="auto"/>
        <w:ind w:firstLine="720"/>
        <w:jc w:val="both"/>
        <w:rPr>
          <w:rFonts w:ascii="Times New Roman" w:hAnsi="Times New Roman" w:cs="Times New Roman"/>
          <w:sz w:val="24"/>
          <w:szCs w:val="24"/>
        </w:rPr>
      </w:pPr>
      <w:r w:rsidRPr="000829A5">
        <w:rPr>
          <w:rFonts w:ascii="Times New Roman" w:hAnsi="Times New Roman" w:cs="Times New Roman"/>
          <w:sz w:val="24"/>
          <w:szCs w:val="24"/>
        </w:rPr>
        <w:t>Predicting whether a market index will rise or fall on the next trading day is an unusually compact statement of a difficult forecasting problem. The target is binary, but the data-generating process is non-stationary, the usable signal is weak relative to market noise and small implementation choices can alter the apparent outcome</w:t>
      </w:r>
      <w:r w:rsidR="00F14050">
        <w:rPr>
          <w:rFonts w:ascii="Times New Roman" w:hAnsi="Times New Roman" w:cs="Times New Roman"/>
          <w:b/>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{"citationID":"PHp5qcwN","properties":{"unsorted":false,"formattedCitation":"(Fama, 1970; Olorunnimbe &amp; Viktor, 2023)","plainCitation":"(Fama, 1970; Olorunnimbe &amp; Viktor, 2023)","noteIndex":0},"citationItems":[{"id":41,"uris":["http://zotero.org/users/local/DPQnJvcs/items/XV3MVRHR"],"itemData":{"id":41,"type":"article-journal","container-title":"The Journal of Finance","DOI":"10.1111/j.1540-6261.1970.tb00518.x","issue":"2","page":"383–417","title":"Efficient Capital Markets: A Review of Theory and Empirical Work","volume":"25","author":[{"family":"Fama","given":"Eugene F."}],"issued":{"date-parts":[["1970"]]}}},{"id":33,"uris":["http://zotero.org/users/local/DPQnJvcs/items/8Z849LRX"],"itemData":{"id":33,"type":"article-journal","container-title":"Artificial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(Fama, 1970; Olorunnimbe &amp; Viktor, 2023)</w:t>
      </w:r>
      <w:r w:rsidR="00A84458">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Deep</w:t>
      </w:r>
      <w:r w:rsidR="004105C3" w:rsidRPr="000829A5">
        <w:rPr>
          <w:rFonts w:ascii="Times New Roman" w:hAnsi="Times New Roman" w:cs="Times New Roman"/>
          <w:sz w:val="24"/>
          <w:szCs w:val="24"/>
        </w:rPr>
        <w:t xml:space="preserve"> recurrent networks, convolutional networks and attention mechanisms offer flexible representations of sequential financial data</w:t>
      </w:r>
      <w:r w:rsidR="002B5A1D">
        <w:rPr>
          <w:rFonts w:ascii="Times New Roman" w:eastAsia="Times New Roman" w:hAnsi="Times New Roman" w:cs="Times New Roman"/>
          <w:b/>
          <w:bCs/>
          <w:sz w:val="24"/>
          <w:szCs w:val="24"/>
        </w:rPr>
        <w:t xml:space="preserve"> </w:t>
      </w:r>
      <w:r w:rsidR="002D69D4">
        <w:rPr>
          <w:rFonts w:ascii="Times New Roman" w:eastAsia="Times New Roman" w:hAnsi="Times New Roman" w:cs="Times New Roman"/>
          <w:bCs/>
          <w:sz w:val="24"/>
          <w:szCs w:val="24"/>
        </w:rPr>
        <w:fldChar w:fldCharType="begin"/>
      </w:r>
      <w:r w:rsidR="002D69D4">
        <w:rPr>
          <w:rFonts w:ascii="Times New Roman" w:eastAsia="Times New Roman" w:hAnsi="Times New Roman" w:cs="Times New Roman"/>
          <w:bCs/>
          <w:sz w:val="24"/>
          <w:szCs w:val="24"/>
        </w:rPr>
        <w:instrText xml:space="preserve"> ADDIN ZOTERO_ITEM CSL_CITATION {"citationID":"4Z32oDF6","properties":{"unsorted":false,"formattedCitation":"(Hochreiter &amp; Schmidhuber, 1997; Qin et al., 2017; Vaswani et al., 2017)","plainCitation":"(Hochreiter &amp; Schmidhuber, 1997; Qin et al., 2017; Vaswani et al., 2017)","noteIndex":0},"citationItems":[{"id":2,"uris":["http://zotero.org/users/local/DPQnJvcs/items/SPQI23HJ"],"itemData":{"id":2,"type":"article-journal","container-title":"Neural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2D69D4">
        <w:rPr>
          <w:rFonts w:ascii="Times New Roman" w:eastAsia="Times New Roman" w:hAnsi="Times New Roman" w:cs="Times New Roman"/>
          <w:bCs/>
          <w:sz w:val="24"/>
          <w:szCs w:val="24"/>
        </w:rPr>
        <w:fldChar w:fldCharType="separate"/>
      </w:r>
      <w:r w:rsidR="002D69D4" w:rsidRPr="002D69D4">
        <w:rPr>
          <w:rFonts w:ascii="Times New Roman" w:hAnsi="Times New Roman" w:cs="Times New Roman"/>
          <w:sz w:val="24"/>
        </w:rPr>
        <w:t>(Hochreiter &amp; Schmidhuber, 1997; Qin et al., 2017; Vaswani et al., 2017)</w:t>
      </w:r>
      <w:r w:rsidR="002D69D4">
        <w:rPr>
          <w:rFonts w:ascii="Times New Roman" w:eastAsia="Times New Roman" w:hAnsi="Times New Roman" w:cs="Times New Roman"/>
          <w:bCs/>
          <w:sz w:val="24"/>
          <w:szCs w:val="24"/>
        </w:rPr>
        <w:fldChar w:fldCharType="end"/>
      </w:r>
      <w:r w:rsidR="00D0143A" w:rsidRPr="00D0143A">
        <w:rPr>
          <w:rFonts w:ascii="Times New Roman" w:eastAsia="Times New Roman" w:hAnsi="Times New Roman" w:cs="Times New Roman"/>
          <w:bCs/>
          <w:sz w:val="24"/>
          <w:szCs w:val="24"/>
        </w:rPr>
        <w:t xml:space="preserve"> Representative</w:t>
      </w:r>
      <w:r w:rsidR="0070444E" w:rsidRPr="000829A5">
        <w:rPr>
          <w:rFonts w:ascii="Times New Roman" w:hAnsi="Times New Roman" w:cs="Times New Roman"/>
          <w:sz w:val="24"/>
          <w:szCs w:val="24"/>
        </w:rPr>
        <w:t xml:space="preserve"> financial applications have reported gains from LSTM and CNN architectures</w:t>
      </w:r>
      <w:r w:rsidR="0070444E">
        <w:rPr>
          <w:rFonts w:ascii="Times New Roman" w:hAnsi="Times New Roman" w:cs="Times New Roman"/>
          <w:sz w:val="24"/>
          <w:szCs w:val="24"/>
        </w:rPr>
        <w:t xml:space="preserve"> </w:t>
      </w:r>
      <w:r w:rsidR="00FA4C19">
        <w:rPr>
          <w:rFonts w:ascii="Times New Roman" w:hAnsi="Times New Roman" w:cs="Times New Roman"/>
          <w:b/>
          <w:sz w:val="24"/>
          <w:szCs w:val="24"/>
        </w:rPr>
        <w:fldChar w:fldCharType="begin"/>
      </w:r>
      <w:r w:rsidR="00FA4C19">
        <w:rPr>
          <w:rFonts w:ascii="Times New Roman" w:hAnsi="Times New Roman" w:cs="Times New Roman"/>
          <w:b/>
          <w:sz w:val="24"/>
          <w:szCs w:val="24"/>
        </w:rPr>
        <w:instrText xml:space="preserve"> ADDIN ZOTERO_ITEM CSL_CITATION {"citationID":"kXhk7D5Q","properties":{"unsorted":false,"formattedCitation":"(Fischer &amp; Krauss, 2018; Hoseinzade &amp; Haratizadeh, 2019)","plainCitation":"(Fischer &amp; Krauss, 2018; Hoseinzade &amp;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FA4C19">
        <w:rPr>
          <w:rFonts w:ascii="Times New Roman" w:hAnsi="Times New Roman" w:cs="Times New Roman"/>
          <w:b/>
          <w:sz w:val="24"/>
          <w:szCs w:val="24"/>
        </w:rPr>
        <w:fldChar w:fldCharType="separate"/>
      </w:r>
      <w:r w:rsidR="00FA4C19" w:rsidRPr="00FA4C19">
        <w:rPr>
          <w:rFonts w:ascii="Times New Roman" w:hAnsi="Times New Roman" w:cs="Times New Roman"/>
          <w:sz w:val="24"/>
        </w:rPr>
        <w:t>(Fischer &amp; Krauss, 2018; Hoseinzade &amp; Haratizadeh, 2019)</w:t>
      </w:r>
      <w:r w:rsidR="00FA4C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That</w:t>
      </w:r>
      <w:r w:rsidR="009F1E3D" w:rsidRPr="000829A5">
        <w:rPr>
          <w:rFonts w:ascii="Times New Roman" w:hAnsi="Times New Roman" w:cs="Times New Roman"/>
          <w:sz w:val="24"/>
          <w:szCs w:val="24"/>
        </w:rPr>
        <w:t xml:space="preserve"> flexibility also increases the number of choices available to a researcher: feature families, lookback windows, decomposition settings, text encoders, fusion mechanisms, random seeds, thresholds, regimes and post-hoc explanations. A result selected from many such choices can look stronger than the underlying signal.</w:t>
      </w:r>
    </w:p>
    <w:p w14:paraId="730EE300" w14:textId="1AC74A39" w:rsidR="00796B85" w:rsidRPr="00796B85" w:rsidRDefault="00560BEF"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 xml:space="preserve">The financial forecasting literature contains increasingly elaborate hybrid systems. Reviews document extensive use of LSTM, CNN and hybrid deep-learning models for price and direction prediction, while also identifying continuing gaps in </w:t>
      </w:r>
      <w:proofErr w:type="spellStart"/>
      <w:r w:rsidRPr="000829A5">
        <w:rPr>
          <w:rFonts w:ascii="Times New Roman" w:hAnsi="Times New Roman" w:cs="Times New Roman"/>
          <w:sz w:val="24"/>
          <w:szCs w:val="24"/>
        </w:rPr>
        <w:t>backtesting</w:t>
      </w:r>
      <w:proofErr w:type="spellEnd"/>
      <w:r w:rsidRPr="000829A5">
        <w:rPr>
          <w:rFonts w:ascii="Times New Roman" w:hAnsi="Times New Roman" w:cs="Times New Roman"/>
          <w:sz w:val="24"/>
          <w:szCs w:val="24"/>
        </w:rPr>
        <w:t>, reproducibility and practical evaluation</w:t>
      </w:r>
      <w:r>
        <w:rPr>
          <w:rFonts w:ascii="Times New Roman" w:eastAsia="Times New Roman" w:hAnsi="Times New Roman" w:cs="Times New Roman"/>
          <w:b/>
          <w:bCs/>
          <w:sz w:val="24"/>
          <w:szCs w:val="24"/>
        </w:rPr>
        <w:t xml:space="preserve"> </w:t>
      </w:r>
      <w:r w:rsidR="00AF01DB">
        <w:rPr>
          <w:rFonts w:ascii="Times New Roman" w:eastAsia="Times New Roman" w:hAnsi="Times New Roman" w:cs="Times New Roman"/>
          <w:b/>
          <w:bCs/>
          <w:sz w:val="24"/>
          <w:szCs w:val="24"/>
        </w:rPr>
        <w:fldChar w:fldCharType="begin"/>
      </w:r>
      <w:r w:rsidR="00AF01DB">
        <w:rPr>
          <w:rFonts w:ascii="Times New Roman" w:eastAsia="Times New Roman" w:hAnsi="Times New Roman" w:cs="Times New Roman"/>
          <w:b/>
          <w:bCs/>
          <w:sz w:val="24"/>
          <w:szCs w:val="24"/>
        </w:rPr>
        <w:instrText xml:space="preserve"> ADDIN ZOTERO_ITEM CSL_CITATION {"citationID":"mRwKpEiX","properties":{"unsorted":false,"formattedCitation":"(Olorunnimbe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F01DB">
        <w:rPr>
          <w:rFonts w:ascii="Times New Roman" w:eastAsia="Times New Roman" w:hAnsi="Times New Roman" w:cs="Times New Roman"/>
          <w:b/>
          <w:bCs/>
          <w:sz w:val="24"/>
          <w:szCs w:val="24"/>
        </w:rPr>
        <w:fldChar w:fldCharType="separate"/>
      </w:r>
      <w:r w:rsidR="00AF01DB" w:rsidRPr="00AF01DB">
        <w:rPr>
          <w:rFonts w:ascii="Times New Roman" w:hAnsi="Times New Roman" w:cs="Times New Roman"/>
          <w:sz w:val="24"/>
        </w:rPr>
        <w:t>(Olorunnimbe &amp; Viktor, 2023; Sezer et al., 2020)</w:t>
      </w:r>
      <w:r w:rsidR="00AF01DB">
        <w:rPr>
          <w:rFonts w:ascii="Times New Roman" w:eastAsia="Times New Roman" w:hAnsi="Times New Roman" w:cs="Times New Roman"/>
          <w:b/>
          <w:bCs/>
          <w:sz w:val="24"/>
          <w:szCs w:val="24"/>
        </w:rPr>
        <w:fldChar w:fldCharType="end"/>
      </w:r>
      <w:r w:rsidR="00D0143A" w:rsidRPr="00D0143A">
        <w:rPr>
          <w:rFonts w:ascii="Times New Roman" w:eastAsia="Times New Roman" w:hAnsi="Times New Roman" w:cs="Times New Roman"/>
          <w:bCs/>
          <w:sz w:val="24"/>
          <w:szCs w:val="24"/>
        </w:rPr>
        <w:t xml:space="preserve"> Earlier</w:t>
      </w:r>
      <w:r w:rsidR="000B4AA2" w:rsidRPr="000829A5">
        <w:rPr>
          <w:rFonts w:ascii="Times New Roman" w:hAnsi="Times New Roman" w:cs="Times New Roman"/>
          <w:sz w:val="24"/>
          <w:szCs w:val="24"/>
        </w:rPr>
        <w:t xml:space="preserve"> multimodal systems combined text and market signals through attention, graph structure, expert-opinion aggregation and cross-modal interaction</w:t>
      </w:r>
      <w:r w:rsidR="000B4AA2">
        <w:rPr>
          <w:rFonts w:ascii="Times New Roman" w:hAnsi="Times New Roman" w:cs="Times New Roman"/>
          <w:sz w:val="24"/>
          <w:szCs w:val="24"/>
        </w:rPr>
        <w:t xml:space="preserve"> </w:t>
      </w:r>
      <w:r w:rsidR="008D746B">
        <w:rPr>
          <w:rFonts w:ascii="Times New Roman" w:hAnsi="Times New Roman" w:cs="Times New Roman"/>
          <w:b/>
          <w:sz w:val="24"/>
          <w:szCs w:val="24"/>
        </w:rPr>
        <w:fldChar w:fldCharType="begin"/>
      </w:r>
      <w:r w:rsidR="008150E4">
        <w:rPr>
          <w:rFonts w:ascii="Times New Roman" w:hAnsi="Times New Roman" w:cs="Times New Roman"/>
          <w:b/>
          <w:sz w:val="24"/>
          <w:szCs w:val="24"/>
        </w:rPr>
        <w:instrText xml:space="preserve"> ADDIN ZOTERO_ITEM CSL_CITATION {"citationID":"UjGv5zgM","properties":{"unsorted":false,"formattedCitation":"(Luo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8D746B">
        <w:rPr>
          <w:rFonts w:ascii="Times New Roman" w:hAnsi="Times New Roman" w:cs="Times New Roman"/>
          <w:b/>
          <w:sz w:val="24"/>
          <w:szCs w:val="24"/>
        </w:rPr>
        <w:fldChar w:fldCharType="separate"/>
      </w:r>
      <w:r w:rsidR="008150E4" w:rsidRPr="008150E4">
        <w:rPr>
          <w:rFonts w:ascii="Times New Roman" w:hAnsi="Times New Roman" w:cs="Times New Roman"/>
          <w:sz w:val="24"/>
        </w:rPr>
        <w:t>(Luo et al., 2023; Sawhney et al., 2020; H. Wang et al., 2020)</w:t>
      </w:r>
      <w:r w:rsidR="008D746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More</w:t>
      </w:r>
      <w:r w:rsidR="00D5534F" w:rsidRPr="000829A5">
        <w:rPr>
          <w:rFonts w:ascii="Times New Roman" w:hAnsi="Times New Roman" w:cs="Times New Roman"/>
          <w:sz w:val="24"/>
          <w:szCs w:val="24"/>
        </w:rPr>
        <w:t xml:space="preserve"> recent work models interactions among news items or uses sentiment-attention mechanisms for index prediction</w:t>
      </w:r>
      <w:r w:rsidR="00F60519">
        <w:rPr>
          <w:rFonts w:ascii="Times New Roman" w:hAnsi="Times New Roman" w:cs="Times New Roman"/>
          <w:sz w:val="24"/>
          <w:szCs w:val="24"/>
        </w:rPr>
        <w:t xml:space="preserve"> </w:t>
      </w:r>
      <w:r w:rsidR="008150E4">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{"citationID":"huBg7by3","properties":{"unsorted":false,"formattedCitation":"(W.-J.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8150E4">
        <w:rPr>
          <w:rFonts w:ascii="Times New Roman" w:hAnsi="Times New Roman" w:cs="Times New Roman"/>
          <w:b/>
          <w:sz w:val="24"/>
          <w:szCs w:val="24"/>
        </w:rPr>
        <w:fldChar w:fldCharType="separate"/>
      </w:r>
      <w:r w:rsidR="006F5802" w:rsidRPr="006F5802">
        <w:rPr>
          <w:rFonts w:ascii="Times New Roman" w:hAnsi="Times New Roman" w:cs="Times New Roman"/>
          <w:sz w:val="24"/>
        </w:rPr>
        <w:t>(W.-J. Liu et al., 2024; M. Wang et al., 2024)</w:t>
      </w:r>
      <w:r w:rsidR="008150E4">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Signal</w:t>
      </w:r>
      <w:r w:rsidR="00D41FA7" w:rsidRPr="000829A5">
        <w:rPr>
          <w:rFonts w:ascii="Times New Roman" w:hAnsi="Times New Roman" w:cs="Times New Roman"/>
          <w:sz w:val="24"/>
          <w:szCs w:val="24"/>
        </w:rPr>
        <w:t>-decomposition methods offer a second route: separate a price process into frequency components and expose a denoised representation to the predictor. Yet a component can improve squared-price error without improving the sign of the next movement and a text model can classify sentiment well without adding conditional information to an already strong market-data feature set. These distinctions are often blurred when performance is summarized by a single best accuracy.</w:t>
      </w:r>
    </w:p>
    <w:p w14:paraId="02CC954E" w14:textId="0E42B8EF" w:rsidR="00796B85" w:rsidRDefault="00796B85" w:rsidP="009960B6">
      <w:pPr>
        <w:spacing w:line="360" w:lineRule="auto"/>
        <w:jc w:val="both"/>
        <w:rPr>
          <w:rFonts w:ascii="Times New Roman" w:eastAsia="Times New Roman" w:hAnsi="Times New Roman" w:cs="Times New Roman"/>
          <w:sz w:val="24"/>
          <w:szCs w:val="24"/>
        </w:rPr>
      </w:pPr>
      <w:r w:rsidRPr="00796B85">
        <w:rPr>
          <w:rFonts w:ascii="Times New Roman" w:hAnsi="Times New Roman" w:cs="Times New Roman"/>
          <w:sz w:val="24"/>
          <w:szCs w:val="24"/>
          <w:lang w:bidi="ar-SA"/>
        </w:rPr>
        <w:t>This study treats these distinctions as the object of analysis. Rather than selecting the best-performing configuration, we examine whether five audit dimensions remain informative</w:t>
      </w:r>
      <w:r w:rsidR="00D0143A">
        <w:rPr>
          <w:rFonts w:ascii="Times New Roman" w:hAnsi="Times New Roman" w:cs="Times New Roman"/>
          <w:sz w:val="24"/>
          <w:szCs w:val="24"/>
          <w:lang w:bidi="ar-SA"/>
        </w:rPr>
        <w:t xml:space="preserve"> </w:t>
      </w:r>
      <w:r w:rsidRPr="00796B85">
        <w:rPr>
          <w:rFonts w:ascii="Times New Roman" w:hAnsi="Times New Roman" w:cs="Times New Roman"/>
          <w:sz w:val="24"/>
          <w:szCs w:val="24"/>
          <w:lang w:bidi="ar-SA"/>
        </w:rPr>
        <w:t>under a common point-in-time and inferential protocol</w:t>
      </w:r>
    </w:p>
    <w:p w14:paraId="09A05CF3" w14:textId="74A57E0D"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hAnsi="Times New Roman" w:cs="Times New Roman"/>
          <w:b/>
          <w:bCs/>
          <w:sz w:val="24"/>
          <w:szCs w:val="24"/>
        </w:rPr>
        <w:lastRenderedPageBreak/>
        <w:t xml:space="preserve">Point-in-time data reliability: </w:t>
      </w:r>
      <w:r w:rsidRPr="004C119B">
        <w:rPr>
          <w:rFonts w:ascii="Times New Roman" w:hAnsi="Times New Roman" w:cs="Times New Roman"/>
          <w:sz w:val="24"/>
          <w:szCs w:val="24"/>
        </w:rPr>
        <w:t>Are features, labels, scalers and sequence boundaries consistent with the information available at the prediction time?</w:t>
      </w:r>
    </w:p>
    <w:p w14:paraId="5F0EA9B2" w14:textId="5E88A0EA" w:rsidR="009B2585" w:rsidRDefault="004C119B"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4C119B">
        <w:rPr>
          <w:rFonts w:ascii="Times New Roman" w:eastAsia="Times New Roman" w:hAnsi="Times New Roman" w:cs="Times New Roman"/>
          <w:b/>
          <w:bCs/>
          <w:sz w:val="24"/>
          <w:szCs w:val="24"/>
        </w:rPr>
        <w:t>Numerical and denoising reliability:</w:t>
      </w:r>
      <w:r w:rsidRPr="004C119B">
        <w:rPr>
          <w:rFonts w:ascii="Times New Roman" w:eastAsia="Times New Roman" w:hAnsi="Times New Roman" w:cs="Times New Roman"/>
          <w:sz w:val="24"/>
          <w:szCs w:val="24"/>
        </w:rPr>
        <w:t xml:space="preserve"> Does causal rolling VMD provide a repeatable directional benefit beyond a comprehensive technical-analysis feature set?</w:t>
      </w:r>
    </w:p>
    <w:p w14:paraId="5967BF7C" w14:textId="79512ABF" w:rsidR="009B2585"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Multimodal and LLM reliability:</w:t>
      </w:r>
      <w:r w:rsidRPr="001937FA">
        <w:rPr>
          <w:rFonts w:ascii="Times New Roman" w:eastAsia="Times New Roman" w:hAnsi="Times New Roman" w:cs="Times New Roman"/>
          <w:sz w:val="24"/>
          <w:szCs w:val="24"/>
        </w:rPr>
        <w:t xml:space="preserve"> Does out-of-sample predicted news add incremental forecasting information and does a role-structured LLM system retain an intrinsic sentiment advantage over compute-matched controls?</w:t>
      </w:r>
    </w:p>
    <w:p w14:paraId="3991FD7D" w14:textId="7817B99D"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Regime-aware explainability reliability:</w:t>
      </w:r>
      <w:r w:rsidRPr="001937FA">
        <w:rPr>
          <w:rFonts w:ascii="Times New Roman" w:eastAsia="Times New Roman" w:hAnsi="Times New Roman" w:cs="Times New Roman"/>
          <w:sz w:val="24"/>
          <w:szCs w:val="24"/>
        </w:rPr>
        <w:t xml:space="preserve"> Do causal Bull/Sideway/Bear routing and SHAP-selected feature subsets generalize across architectures, or are their benefits architecture-specific?</w:t>
      </w:r>
    </w:p>
    <w:p w14:paraId="764249EB" w14:textId="3AFB96C6" w:rsidR="001937FA" w:rsidRDefault="001937FA" w:rsidP="009960B6">
      <w:pPr>
        <w:pStyle w:val="ListParagraph"/>
        <w:numPr>
          <w:ilvl w:val="0"/>
          <w:numId w:val="39"/>
        </w:numPr>
        <w:spacing w:after="60" w:line="360" w:lineRule="auto"/>
        <w:jc w:val="both"/>
        <w:rPr>
          <w:rFonts w:ascii="Times New Roman" w:eastAsia="Times New Roman" w:hAnsi="Times New Roman" w:cs="Times New Roman"/>
          <w:sz w:val="24"/>
          <w:szCs w:val="24"/>
        </w:rPr>
      </w:pPr>
      <w:r w:rsidRPr="001937FA">
        <w:rPr>
          <w:rFonts w:ascii="Times New Roman" w:eastAsia="Times New Roman" w:hAnsi="Times New Roman" w:cs="Times New Roman"/>
          <w:b/>
          <w:bCs/>
          <w:sz w:val="24"/>
          <w:szCs w:val="24"/>
        </w:rPr>
        <w:t>Forward and transfer reliability:</w:t>
      </w:r>
      <w:r w:rsidRPr="001937FA">
        <w:rPr>
          <w:rFonts w:ascii="Times New Roman" w:eastAsia="Times New Roman" w:hAnsi="Times New Roman" w:cs="Times New Roman"/>
          <w:sz w:val="24"/>
          <w:szCs w:val="24"/>
        </w:rPr>
        <w:t xml:space="preserve"> Do the conclusions persist in a later source-contingent period and under frozen transfer from SET50 to the broader SET100 index?</w:t>
      </w:r>
    </w:p>
    <w:p w14:paraId="65C4CE87" w14:textId="3B5CD25B" w:rsidR="001937FA" w:rsidRDefault="001937FA" w:rsidP="009960B6">
      <w:pPr>
        <w:spacing w:line="360" w:lineRule="auto"/>
        <w:jc w:val="both"/>
        <w:rPr>
          <w:rFonts w:ascii="Times New Roman" w:eastAsia="Times New Roman" w:hAnsi="Times New Roman" w:cs="Times New Roman"/>
          <w:b/>
          <w:bCs/>
          <w:sz w:val="24"/>
          <w:szCs w:val="24"/>
        </w:rPr>
      </w:pPr>
      <w:r w:rsidRPr="001937FA">
        <w:rPr>
          <w:rFonts w:ascii="Times New Roman" w:hAnsi="Times New Roman" w:cs="Times New Roman"/>
          <w:sz w:val="24"/>
          <w:szCs w:val="24"/>
        </w:rPr>
        <w:t xml:space="preserve">The five registered neural architectures provide a common benchmark panel across these audit dimensions. They are not presented as separate contributions and the study does not claim a new state-of-the-art forecasting model. Instead, the contribution is an integrated reliability-audit framework combining point-in-time reconstruction, architecture-paired ablations, negative-control falsification, compute-matched LLM evaluation, capacity-aware regime analysis, local-explanation diagnostics, serial-dependence sensitivity and frozen same-exchange transfer. The results are heterogeneous: selected enhancements improve </w:t>
      </w:r>
      <w:proofErr w:type="gramStart"/>
      <w:r w:rsidRPr="001937FA">
        <w:rPr>
          <w:rFonts w:ascii="Times New Roman" w:hAnsi="Times New Roman" w:cs="Times New Roman"/>
          <w:sz w:val="24"/>
          <w:szCs w:val="24"/>
        </w:rPr>
        <w:t>particular architectures</w:t>
      </w:r>
      <w:proofErr w:type="gramEnd"/>
      <w:r w:rsidRPr="001937FA">
        <w:rPr>
          <w:rFonts w:ascii="Times New Roman" w:hAnsi="Times New Roman" w:cs="Times New Roman"/>
          <w:sz w:val="24"/>
          <w:szCs w:val="24"/>
        </w:rPr>
        <w:t xml:space="preserve"> or intrinsic endpoints, but none of the completed primary forecasting contrasts </w:t>
      </w:r>
      <w:r w:rsidR="00B51DC7" w:rsidRPr="001937FA">
        <w:rPr>
          <w:rFonts w:ascii="Times New Roman" w:hAnsi="Times New Roman" w:cs="Times New Roman"/>
          <w:sz w:val="24"/>
          <w:szCs w:val="24"/>
        </w:rPr>
        <w:t>survive</w:t>
      </w:r>
      <w:r w:rsidRPr="001937FA">
        <w:rPr>
          <w:rFonts w:ascii="Times New Roman" w:hAnsi="Times New Roman" w:cs="Times New Roman"/>
          <w:sz w:val="24"/>
          <w:szCs w:val="24"/>
        </w:rPr>
        <w:t xml:space="preserve"> the registered multiplicity controls. This lack of generalizable superiority is a substantive finding of the audit.</w:t>
      </w:r>
    </w:p>
    <w:p w14:paraId="7DD2EB74" w14:textId="4E852AB9" w:rsidR="00E017F3" w:rsidRPr="00466E3D" w:rsidRDefault="00E017F3" w:rsidP="009960B6">
      <w:pPr>
        <w:pStyle w:val="Heading1"/>
        <w:keepNext/>
        <w:keepLines/>
        <w:spacing w:before="240" w:line="240" w:lineRule="auto" w:after="120"/>
        <w:rPr>
          <w:rFonts w:ascii="Times New Roman" w:eastAsia="Times New Roman" w:hAnsi="Times New Roman" w:cs="Times New Roman"/>
          <w:b/>
          <w:bCs/>
          <w:sz w:val="24"/>
          <w:szCs w:val="24"/>
        </w:rPr>
        <w:jc w:val="left"/>
      </w:pPr>
      <w:r>
        <w:rPr>
          <w:rFonts w:ascii="Times New Roman" w:hAnsi="Times New Roman" w:cs="Times New Roman"/>
          <w:sz w:val="24"/>
          <w:szCs w:val="24"/>
          <w:b/>
          <w:bCs/>
        </w:rPr>
        <w:t>2. Related Work</w:t>
      </w:r>
    </w:p>
    <w:p w14:paraId="60846A0F" w14:textId="77777777" w:rsidR="00B21E8A" w:rsidRPr="00B21E8A" w:rsidRDefault="00B96D27" w:rsidP="009960B6">
      <w:pPr>
        <w:pStyle w:val="Heading2"/>
        <w:keepNext/>
        <w:keepLines/>
        <w:spacing w:before="180" w:after="60" w:line="240" w:lineRule="auto"/>
        <w:rPr>
          <w:rFonts w:ascii="Times New Roman" w:eastAsia="Times New Roman" w:hAnsi="Times New Roman" w:cs="Times New Roman"/>
          <w:b/>
          <w:bCs/>
          <w:sz w:val="24"/>
          <w:szCs w:val="24"/>
        </w:rPr>
        <w:jc w:val="left"/>
      </w:pPr>
      <w:r>
        <w:rPr>
          <w:rFonts w:ascii="Times New Roman" w:hAnsi="Times New Roman" w:cs="Times New Roman"/>
          <w:sz w:val="24"/>
          <w:szCs w:val="24"/>
          <w:b/>
          <w:bCs/>
        </w:rPr>
        <w:t>2.1 Deep Sequence Models</w:t>
      </w:r>
    </w:p>
    <w:p w14:paraId="765C3BC1" w14:textId="25B8BEF6" w:rsidR="00E97CD1" w:rsidRDefault="00B96D27" w:rsidP="009960B6">
      <w:p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LSTM</w:t>
      </w:r>
      <w:r w:rsidR="007901A5">
        <w:rPr>
          <w:rFonts w:ascii="Times New Roman" w:eastAsia="Times New Roman" w:hAnsi="Times New Roman" w:cs="Times New Roman"/>
          <w:sz w:val="24"/>
          <w:szCs w:val="24"/>
        </w:rPr>
        <w:t xml:space="preserve"> </w:t>
      </w:r>
      <w:r w:rsidR="007901A5" w:rsidRPr="000829A5">
        <w:rPr>
          <w:rFonts w:ascii="Times New Roman" w:hAnsi="Times New Roman" w:cs="Times New Roman"/>
          <w:sz w:val="24"/>
          <w:szCs w:val="24"/>
        </w:rPr>
        <w:t>networks were designed to retain information over long sequences while controlling vanishing gradients</w:t>
      </w:r>
      <w:r w:rsidR="007901A5">
        <w:rPr>
          <w:rFonts w:ascii="Times New Roman" w:hAnsi="Times New Roman" w:cs="Times New Roman"/>
          <w:sz w:val="24"/>
          <w:szCs w:val="24"/>
        </w:rPr>
        <w:t xml:space="preserve"> </w:t>
      </w:r>
      <w:r w:rsidR="00F60519">
        <w:rPr>
          <w:rFonts w:ascii="Times New Roman" w:hAnsi="Times New Roman" w:cs="Times New Roman"/>
          <w:b/>
          <w:sz w:val="24"/>
          <w:szCs w:val="24"/>
        </w:rPr>
        <w:fldChar w:fldCharType="begin"/>
      </w:r>
      <w:r w:rsidR="00F60519">
        <w:rPr>
          <w:rFonts w:ascii="Times New Roman" w:hAnsi="Times New Roman" w:cs="Times New Roman"/>
          <w:b/>
          <w:sz w:val="24"/>
          <w:szCs w:val="24"/>
        </w:rPr>
        <w:instrText xml:space="preserve"> ADDIN ZOTERO_ITEM CSL_CITATION {"citationID":"fHqQHpFy","properties":{"unsorted":false,"formattedCitation":"(Hochreiter &amp; Schmidhuber, 1997)","plainCitation":"(Hochreiter &amp; Schmidhuber, 1997)","noteIndex":0},"citationItems":[{"id":2,"uris":["http://zotero.org/users/local/DPQnJvcs/items/SPQI23HJ"],"itemData":{"id":2,"type":"article-journal","container-title":"Neural Computation","DOI":"10.1162/neco.1997.9.8.1735","issue":"8","page":"1735–1780","title":"Long Short-Term Memory","volume":"9","author":[{"family":"Hochreiter","given":"Sepp"},{"family":"Schmidhuber","given":"Jürgen"}],"issued":{"date-parts":[["1997"]]}}}],"schema":"https://github.com/citation-style-language/schema/raw/master/csl-citation.json"} </w:instrText>
      </w:r>
      <w:r w:rsidR="00F60519">
        <w:rPr>
          <w:rFonts w:ascii="Times New Roman" w:hAnsi="Times New Roman" w:cs="Times New Roman"/>
          <w:b/>
          <w:sz w:val="24"/>
          <w:szCs w:val="24"/>
        </w:rPr>
        <w:fldChar w:fldCharType="separate"/>
      </w:r>
      <w:r w:rsidR="00F60519" w:rsidRPr="00F60519">
        <w:rPr>
          <w:rFonts w:ascii="Times New Roman" w:hAnsi="Times New Roman" w:cs="Times New Roman"/>
          <w:sz w:val="24"/>
        </w:rPr>
        <w:t>(Hochreiter &amp; Schmidhuber, 1997)</w:t>
      </w:r>
      <w:r w:rsidR="00F6051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Their</w:t>
      </w:r>
      <w:r w:rsidR="004B4ACD" w:rsidRPr="000829A5">
        <w:rPr>
          <w:rFonts w:ascii="Times New Roman" w:hAnsi="Times New Roman" w:cs="Times New Roman"/>
          <w:sz w:val="24"/>
          <w:szCs w:val="24"/>
        </w:rPr>
        <w:t xml:space="preserve"> use in financial prediction is motivated by delayed dependencies, while CNNs provide local filters that can extract short-range temporal patterns. Attention adds a learned mechanism for weighting representations across a sequence</w:t>
      </w:r>
      <w:r w:rsidR="004B4ACD">
        <w:rPr>
          <w:rFonts w:ascii="Times New Roman" w:hAnsi="Times New Roman" w:cs="Times New Roman"/>
          <w:sz w:val="24"/>
          <w:szCs w:val="24"/>
        </w:rPr>
        <w:t xml:space="preserve"> </w:t>
      </w:r>
      <w:r w:rsidR="007C0B2E">
        <w:rPr>
          <w:rFonts w:ascii="Times New Roman" w:hAnsi="Times New Roman" w:cs="Times New Roman"/>
          <w:sz w:val="24"/>
          <w:szCs w:val="24"/>
        </w:rPr>
        <w:fldChar w:fldCharType="begin"/>
      </w:r>
      <w:r w:rsidR="007C0B2E">
        <w:rPr>
          <w:rFonts w:ascii="Times New Roman" w:hAnsi="Times New Roman" w:cs="Times New Roman"/>
          <w:sz w:val="24"/>
          <w:szCs w:val="24"/>
        </w:rPr>
        <w:instrText xml:space="preserve"> ADDIN ZOTERO_ITEM CSL_CITATION {"citationID":"yBQfNdbL","properties":{"unsorted":false,"formattedCitation":"(Qin et al., 2017; Vaswani et al., 2017)","plainCitation":"(Qin et al., 2017; Vaswani et al., 2017)","noteIndex":0},"citationItems":[{"id":7,"uris":["http://zotero.org/users/local/DPQnJvcs/items/JH2MZFDZ"],"itemData":{"id":7,"type":"paper-conference","container-title":"Proceedings of the Twenty-Sixth International Joint Conference on Artificial Intelligence","DOI":"10.24963/ijcai.2017/366","page":"2627–2633","title":"A Dual-Stage Attention-Based Recurrent Neural Network for Time Series Prediction","author":[{"family":"Qin","given":"Yao"},{"family":"Song","given":"Dongjin"},{"family":"Chen","given":"Haifeng"},{"family":"Cheng","given":"Wei"},{"family":"Jiang","given":"Guofei"},{"family":"Cottrell","given":"Garrison W."}],"issued":{"date-parts":[["2017"]]}}},{"id":3,"uris":["http://zotero.org/users/local/DPQnJvcs/items/T8TL9SVN"],"itemData":{"id":3,"type":"paper-conference","container-title":"Advances in Neural Information Processing Systems","title":"Attention Is All You Need","URL":"https://proceedings.neurips.cc/paper_files/paper/2017/hash/3f5ee243547dee91fbd053c1c4a845aa-Abstract.html","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7C0B2E">
        <w:rPr>
          <w:rFonts w:ascii="Times New Roman" w:hAnsi="Times New Roman" w:cs="Times New Roman"/>
          <w:sz w:val="24"/>
          <w:szCs w:val="24"/>
        </w:rPr>
        <w:fldChar w:fldCharType="separate"/>
      </w:r>
      <w:r w:rsidR="007C0B2E" w:rsidRPr="007C0B2E">
        <w:rPr>
          <w:rFonts w:ascii="Times New Roman" w:hAnsi="Times New Roman" w:cs="Times New Roman"/>
          <w:sz w:val="24"/>
        </w:rPr>
        <w:t>(Qin et al., 2017; Vaswani et al., 2017)</w:t>
      </w:r>
      <w:r w:rsidR="007C0B2E">
        <w:rPr>
          <w:rFonts w:ascii="Times New Roman" w:hAnsi="Times New Roman" w:cs="Times New Roman"/>
          <w:sz w:val="24"/>
          <w:szCs w:val="24"/>
        </w:rPr>
        <w:fldChar w:fldCharType="end"/>
      </w:r>
      <w:r w:rsidR="00D0143A" w:rsidRPr="00D0143A">
        <w:rPr>
          <w:rFonts w:ascii="Times New Roman" w:hAnsi="Times New Roman" w:cs="Times New Roman"/>
          <w:sz w:val="24"/>
          <w:szCs w:val="24"/>
        </w:rPr>
        <w:t xml:space="preserve"> Large</w:t>
      </w:r>
      <w:r w:rsidR="00667D9C" w:rsidRPr="000829A5">
        <w:rPr>
          <w:rFonts w:ascii="Times New Roman" w:hAnsi="Times New Roman" w:cs="Times New Roman"/>
          <w:sz w:val="24"/>
          <w:szCs w:val="24"/>
        </w:rPr>
        <w:t xml:space="preserve"> empirical studies have reported advantages for LSTM-based financial prediction</w:t>
      </w:r>
      <w:r w:rsidR="00667D9C">
        <w:rPr>
          <w:rFonts w:ascii="Times New Roman" w:hAnsi="Times New Roman" w:cs="Times New Roman"/>
          <w:sz w:val="24"/>
          <w:szCs w:val="24"/>
        </w:rPr>
        <w:t xml:space="preserve"> </w:t>
      </w:r>
      <w:r w:rsidR="00667D9C" w:rsidRPr="006A0782">
        <w:rPr>
          <w:rFonts w:ascii="Times New Roman" w:hAnsi="Times New Roman" w:cs="Times New Roman"/>
          <w:sz w:val="24"/>
          <w:szCs w:val="24"/>
        </w:rPr>
        <w:fldChar w:fldCharType="begin"/>
      </w:r>
      <w:r w:rsidR="00667D9C" w:rsidRPr="006A0782">
        <w:rPr>
          <w:rFonts w:ascii="Times New Roman" w:hAnsi="Times New Roman" w:cs="Times New Roman"/>
          <w:sz w:val="24"/>
          <w:szCs w:val="24"/>
        </w:rPr>
        <w:instrText xml:space="preserve"> ADDIN ZOTERO_ITEM CSL_CITATION {"citationID":"Ygk3KwON","properties":{"unsorted":false,"formattedCitation":"(Fischer &amp; Krauss, 2018)","plainCitation":"(Fischer &amp; Krauss, 2018)","noteIndex":0},"citationItems":[{"id":4,"uris":["http://zotero.org/users/local/DPQnJvcs/items/AGMKWFCU"],"itemData":{"id":4,"type":"article-journal","container-title":"European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Predictions","volume":"270","author":[{"family":"Fischer","given":"Thomas"},{"family":"Krauss","given":"Christopher"}],"issued":{"date-parts":[["2018"]]}}}],"schema":"https://github.com/citation-style-language/schema/raw/master/csl-citation.json"} </w:instrText>
      </w:r>
      <w:r w:rsidR="00667D9C" w:rsidRPr="006A0782">
        <w:rPr>
          <w:rFonts w:ascii="Times New Roman" w:hAnsi="Times New Roman" w:cs="Times New Roman"/>
          <w:sz w:val="24"/>
          <w:szCs w:val="24"/>
        </w:rPr>
        <w:fldChar w:fldCharType="separate"/>
      </w:r>
      <w:r w:rsidR="00667D9C" w:rsidRPr="006A0782">
        <w:rPr>
          <w:rFonts w:ascii="Times New Roman" w:hAnsi="Times New Roman" w:cs="Times New Roman"/>
          <w:sz w:val="24"/>
        </w:rPr>
        <w:t>(Fischer &amp; Krauss, 2018)</w:t>
      </w:r>
      <w:r w:rsidR="00667D9C" w:rsidRPr="006A0782">
        <w:rPr>
          <w:rFonts w:ascii="Times New Roman" w:hAnsi="Times New Roman" w:cs="Times New Roman"/>
          <w:sz w:val="24"/>
          <w:szCs w:val="24"/>
        </w:rPr>
        <w:fldChar w:fldCharType="end"/>
      </w:r>
      <w:r w:rsidR="007C0B2E">
        <w:rPr>
          <w:rFonts w:ascii="Times New Roman" w:hAnsi="Times New Roman" w:cs="Times New Roman"/>
          <w:sz w:val="24"/>
          <w:szCs w:val="24"/>
        </w:rPr>
        <w:t xml:space="preserve"> </w:t>
      </w:r>
      <w:r w:rsidR="001B4763" w:rsidRPr="000829A5">
        <w:rPr>
          <w:rFonts w:ascii="Times New Roman" w:hAnsi="Times New Roman" w:cs="Times New Roman"/>
          <w:sz w:val="24"/>
          <w:szCs w:val="24"/>
        </w:rPr>
        <w:t>and CNN-based systems have combined diverse market variables for next-day index direction</w:t>
      </w:r>
      <w:r w:rsidR="001B4763">
        <w:rPr>
          <w:rFonts w:ascii="Times New Roman" w:hAnsi="Times New Roman" w:cs="Times New Roman"/>
          <w:sz w:val="24"/>
          <w:szCs w:val="24"/>
        </w:rPr>
        <w:t xml:space="preserve"> </w:t>
      </w:r>
      <w:r w:rsidR="006A0782">
        <w:rPr>
          <w:rFonts w:ascii="Times New Roman" w:hAnsi="Times New Roman" w:cs="Times New Roman"/>
          <w:b/>
          <w:sz w:val="24"/>
          <w:szCs w:val="24"/>
        </w:rPr>
        <w:fldChar w:fldCharType="begin"/>
      </w:r>
      <w:r w:rsidR="006A0782">
        <w:rPr>
          <w:rFonts w:ascii="Times New Roman" w:hAnsi="Times New Roman" w:cs="Times New Roman"/>
          <w:b/>
          <w:sz w:val="24"/>
          <w:szCs w:val="24"/>
        </w:rPr>
        <w:instrText xml:space="preserve"> ADDIN ZOTERO_ITEM CSL_CITATION {"citationID":"SI39f0Yu","properties":{"unsorted":false,"formattedCitation":"(Hoseinzade &amp; Haratizadeh, 2019)","plainCitation":"(Hoseinzade &amp; Haratizadeh, 2019)","noteIndex":0},"citationItems":[{"id":5,"uris":["http://zotero.org/users/local/DPQnJvcs/items/AY49X3SC"],"itemData":{"id":5,"type":"article-journal","container-title":"Expert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sidR="006A0782">
        <w:rPr>
          <w:rFonts w:ascii="Times New Roman" w:hAnsi="Times New Roman" w:cs="Times New Roman"/>
          <w:b/>
          <w:sz w:val="24"/>
          <w:szCs w:val="24"/>
        </w:rPr>
        <w:fldChar w:fldCharType="separate"/>
      </w:r>
      <w:r w:rsidR="006A0782" w:rsidRPr="006A0782">
        <w:rPr>
          <w:rFonts w:ascii="Times New Roman" w:hAnsi="Times New Roman" w:cs="Times New Roman"/>
          <w:sz w:val="24"/>
        </w:rPr>
        <w:t>(Hoseinzade &amp; Haratizadeh, 2019)</w:t>
      </w:r>
      <w:r w:rsidR="006A078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t>
      </w:r>
      <w:r w:rsidR="00D0143A" w:rsidRPr="00D0143A">
        <w:rPr>
          <w:rFonts w:ascii="Times New Roman" w:hAnsi="Times New Roman" w:cs="Times New Roman"/>
          <w:sz w:val="24"/>
          <w:szCs w:val="24"/>
        </w:rPr>
        <w:lastRenderedPageBreak/>
        <w:t>However</w:t>
      </w:r>
      <w:r w:rsidR="00FE3662" w:rsidRPr="000829A5">
        <w:rPr>
          <w:rFonts w:ascii="Times New Roman" w:hAnsi="Times New Roman" w:cs="Times New Roman"/>
          <w:sz w:val="24"/>
          <w:szCs w:val="24"/>
        </w:rPr>
        <w:t xml:space="preserve">, the existence of a flexible mapping does not imply a stable signal. Market dynamics change across </w:t>
      </w:r>
      <w:proofErr w:type="gramStart"/>
      <w:r w:rsidR="00FE3662" w:rsidRPr="000829A5">
        <w:rPr>
          <w:rFonts w:ascii="Times New Roman" w:hAnsi="Times New Roman" w:cs="Times New Roman"/>
          <w:sz w:val="24"/>
          <w:szCs w:val="24"/>
        </w:rPr>
        <w:t>years</w:t>
      </w:r>
      <w:proofErr w:type="gramEnd"/>
      <w:r w:rsidR="00FE3662" w:rsidRPr="000829A5">
        <w:rPr>
          <w:rFonts w:ascii="Times New Roman" w:hAnsi="Times New Roman" w:cs="Times New Roman"/>
          <w:sz w:val="24"/>
          <w:szCs w:val="24"/>
        </w:rPr>
        <w:t xml:space="preserve"> and a high-capacity hybrid can magnify optimization variance or collapse to a majority-side decision while retaining superficially acceptable raw accuracy. Recent review evidence likewise treats architecture choice as only one part of a credible, </w:t>
      </w:r>
      <w:proofErr w:type="spellStart"/>
      <w:r w:rsidR="00FE3662" w:rsidRPr="000829A5">
        <w:rPr>
          <w:rFonts w:ascii="Times New Roman" w:hAnsi="Times New Roman" w:cs="Times New Roman"/>
          <w:sz w:val="24"/>
          <w:szCs w:val="24"/>
        </w:rPr>
        <w:t>backtested</w:t>
      </w:r>
      <w:proofErr w:type="spellEnd"/>
      <w:r w:rsidR="00FE3662" w:rsidRPr="000829A5">
        <w:rPr>
          <w:rFonts w:ascii="Times New Roman" w:hAnsi="Times New Roman" w:cs="Times New Roman"/>
          <w:sz w:val="24"/>
          <w:szCs w:val="24"/>
        </w:rPr>
        <w:t>, reproducible financial-learning pipeline</w:t>
      </w:r>
      <w:r w:rsidR="00FE3662">
        <w:rPr>
          <w:rFonts w:ascii="Times New Roman" w:hAnsi="Times New Roman" w:cs="Times New Roman"/>
          <w:sz w:val="24"/>
          <w:szCs w:val="24"/>
        </w:rPr>
        <w:t xml:space="preserve"> </w:t>
      </w:r>
      <w:r w:rsidR="00FE3662">
        <w:rPr>
          <w:rFonts w:ascii="Times New Roman" w:hAnsi="Times New Roman" w:cs="Times New Roman"/>
          <w:sz w:val="24"/>
          <w:szCs w:val="24"/>
        </w:rPr>
        <w:fldChar w:fldCharType="begin"/>
      </w:r>
      <w:r w:rsidR="00FE3662">
        <w:rPr>
          <w:rFonts w:ascii="Times New Roman" w:hAnsi="Times New Roman" w:cs="Times New Roman"/>
          <w:sz w:val="24"/>
          <w:szCs w:val="24"/>
        </w:rPr>
        <w:instrText xml:space="preserve"> ADDIN ZOTERO_ITEM CSL_CITATION {"citationID":"IvRDMJFF","properties":{"unsorted":false,"formattedCitation":"(Olorunnimbe &amp; Viktor, 2023)","plainCitation":"(Olorunnimbe &amp; Viktor, 2023)","noteIndex":0},"citationItems":[{"id":33,"uris":["http://zotero.org/users/local/DPQnJvcs/items/8Z849LRX"],"itemData":{"id":33,"type":"article-journal","container-title":"Artificial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FE3662">
        <w:rPr>
          <w:rFonts w:ascii="Times New Roman" w:hAnsi="Times New Roman" w:cs="Times New Roman"/>
          <w:sz w:val="24"/>
          <w:szCs w:val="24"/>
        </w:rPr>
        <w:fldChar w:fldCharType="separate"/>
      </w:r>
      <w:r w:rsidR="00FE3662" w:rsidRPr="00D0143A">
        <w:rPr>
          <w:rFonts w:ascii="Times New Roman" w:hAnsi="Times New Roman" w:cs="Times New Roman"/>
          <w:b/>
          <w:sz w:val="24"/>
        </w:rPr>
        <w:t>(</w:t>
      </w:r>
      <w:r w:rsidR="00FE3662" w:rsidRPr="006A0782">
        <w:rPr>
          <w:rFonts w:ascii="Times New Roman" w:hAnsi="Times New Roman" w:cs="Times New Roman"/>
          <w:bCs/>
          <w:sz w:val="24"/>
        </w:rPr>
        <w:t>Olorunnimbe &amp; Viktor, 2023)</w:t>
      </w:r>
      <w:r w:rsidR="00FE3662">
        <w:rPr>
          <w:rFonts w:ascii="Times New Roman" w:hAnsi="Times New Roman" w:cs="Times New Roman"/>
          <w:sz w:val="24"/>
          <w:szCs w:val="24"/>
        </w:rPr>
        <w:fldChar w:fldCharType="end"/>
      </w:r>
    </w:p>
    <w:p w14:paraId="67570C73" w14:textId="2C05AE79" w:rsidR="00D0143A" w:rsidRDefault="00E97CD1" w:rsidP="009960B6">
      <w:pPr>
        <w:spacing w:line="360" w:lineRule="auto"/>
        <w:jc w:val="both"/>
        <w:rPr>
          <w:rFonts w:ascii="Times New Roman" w:eastAsia="Times New Roman" w:hAnsi="Times New Roman" w:cs="Times New Roman"/>
          <w:b/>
          <w:bCs/>
          <w:sz w:val="24"/>
          <w:szCs w:val="24"/>
        </w:rPr>
      </w:pPr>
      <w:r w:rsidRPr="000829A5">
        <w:rPr>
          <w:rFonts w:ascii="Times New Roman" w:hAnsi="Times New Roman" w:cs="Times New Roman"/>
          <w:sz w:val="24"/>
          <w:szCs w:val="24"/>
        </w:rPr>
        <w:t>The present benchmark therefore keeps training budgets deliberately compact and constant, repeats each outer cell across five seeds and treats the year</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not the seed</w:t>
      </w:r>
      <w:r w:rsidR="00796B85">
        <w:rPr>
          <w:rFonts w:ascii="Times New Roman" w:hAnsi="Times New Roman" w:cs="Times New Roman"/>
          <w:sz w:val="24"/>
          <w:szCs w:val="24"/>
        </w:rPr>
        <w:t xml:space="preserve"> </w:t>
      </w:r>
      <w:r w:rsidRPr="000829A5">
        <w:rPr>
          <w:rFonts w:ascii="Times New Roman" w:hAnsi="Times New Roman" w:cs="Times New Roman"/>
          <w:sz w:val="24"/>
          <w:szCs w:val="24"/>
        </w:rPr>
        <w:t>as the temporal inferential unit. This design distinguishes stochastic fit variability from independent evidence over time</w:t>
      </w:r>
      <w:r>
        <w:rPr>
          <w:rFonts w:ascii="Times New Roman" w:eastAsia="Times New Roman" w:hAnsi="Times New Roman" w:cs="Times New Roman"/>
          <w:sz w:val="24"/>
          <w:szCs w:val="24"/>
        </w:rPr>
        <w:t xml:space="preserve">. </w:t>
      </w:r>
    </w:p>
    <w:p w14:paraId="110D4CDE" w14:textId="0FCDDAFE" w:rsidR="00F11ACE" w:rsidRPr="00B11EDA" w:rsidRDefault="0057361D"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2.2 Denoising and Multimodal Data</w:t>
      </w:r>
    </w:p>
    <w:p w14:paraId="02273295" w14:textId="26F04D13" w:rsidR="00187B55" w:rsidRDefault="00F11ACE"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Variational mode decomposition separates a signal into band</w:t>
      </w:r>
      <w:r w:rsidR="001273DD">
        <w:rPr>
          <w:rFonts w:ascii="Times New Roman" w:hAnsi="Times New Roman" w:cs="Times New Roman"/>
          <w:sz w:val="24"/>
          <w:szCs w:val="24"/>
        </w:rPr>
        <w:t xml:space="preserve"> </w:t>
      </w:r>
      <w:r w:rsidRPr="000829A5">
        <w:rPr>
          <w:rFonts w:ascii="Times New Roman" w:hAnsi="Times New Roman" w:cs="Times New Roman"/>
          <w:sz w:val="24"/>
          <w:szCs w:val="24"/>
        </w:rPr>
        <w:t xml:space="preserve">limited intrinsic mode functions through a constrained variational formulation </w:t>
      </w:r>
      <w:r w:rsidR="006A0782">
        <w:rPr>
          <w:rFonts w:ascii="Times New Roman" w:eastAsia="Times New Roman" w:hAnsi="Times New Roman" w:cs="Times New Roman"/>
          <w:b/>
          <w:sz w:val="24"/>
          <w:szCs w:val="24"/>
        </w:rPr>
        <w:fldChar w:fldCharType="begin"/>
      </w:r>
      <w:r w:rsidR="006A0782">
        <w:rPr>
          <w:rFonts w:ascii="Times New Roman" w:eastAsia="Times New Roman" w:hAnsi="Times New Roman" w:cs="Times New Roman"/>
          <w:b/>
          <w:sz w:val="24"/>
          <w:szCs w:val="24"/>
        </w:rPr>
        <w:instrText xml:space="preserve"> ADDIN ZOTERO_ITEM CSL_CITATION {"citationID":"wSoTk9Yp","properties":{"unsorted":false,"formattedCitation":"(Dragomiretskiy &amp; Zosso, 2014)","plainCitation":"(Dragomiretskiy &amp; Zosso, 2014)","noteIndex":0},"citationItems":[{"id":8,"uris":["http://zotero.org/users/local/DPQnJvcs/items/B5YAFXST"],"itemData":{"id":8,"type":"article-journal","container-title":"IEEE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Decomposition","volume":"62","author":[{"family":"Dragomiretskiy","given":"Konstantin"},{"family":"Zosso","given":"Dominique"}],"issued":{"date-parts":[["2014"]]}}}],"schema":"https://github.com/citation-style-language/schema/raw/master/csl-citation.json"} </w:instrText>
      </w:r>
      <w:r w:rsidR="006A0782">
        <w:rPr>
          <w:rFonts w:ascii="Times New Roman" w:eastAsia="Times New Roman" w:hAnsi="Times New Roman" w:cs="Times New Roman"/>
          <w:b/>
          <w:sz w:val="24"/>
          <w:szCs w:val="24"/>
        </w:rPr>
        <w:fldChar w:fldCharType="separate"/>
      </w:r>
      <w:r w:rsidR="006A0782" w:rsidRPr="006A0782">
        <w:rPr>
          <w:rFonts w:ascii="Times New Roman" w:hAnsi="Times New Roman" w:cs="Times New Roman"/>
          <w:sz w:val="24"/>
        </w:rPr>
        <w:t>(Dragomiretskiy &amp; Zosso, 2014)</w:t>
      </w:r>
      <w:r w:rsidR="006A0782">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In</w:t>
      </w:r>
      <w:r w:rsidR="003E51E5" w:rsidRPr="000829A5">
        <w:rPr>
          <w:rFonts w:ascii="Times New Roman" w:hAnsi="Times New Roman" w:cs="Times New Roman"/>
          <w:sz w:val="24"/>
          <w:szCs w:val="24"/>
        </w:rPr>
        <w:t xml:space="preserve"> financial applications, decomposition can reduce high-frequency variation or provide additional frequency-domain features and recent stock-forecasting systems have paired VMD with LSTM, meta-learning and attention-based networks</w:t>
      </w:r>
      <w:r w:rsidR="003E51E5">
        <w:rPr>
          <w:rFonts w:ascii="Times New Roman" w:hAnsi="Times New Roman" w:cs="Times New Roman"/>
          <w:sz w:val="24"/>
          <w:szCs w:val="24"/>
        </w:rPr>
        <w:t xml:space="preserve">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{"citationID":"O2GNIphH","properties":{"unsorted":false,"formattedCitation":"(T.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 Y. Liu et al., 2024)</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The</w:t>
      </w:r>
      <w:r w:rsidR="00AC6BAE" w:rsidRPr="000829A5">
        <w:rPr>
          <w:rFonts w:ascii="Times New Roman" w:hAnsi="Times New Roman" w:cs="Times New Roman"/>
          <w:sz w:val="24"/>
          <w:szCs w:val="24"/>
        </w:rPr>
        <w:t xml:space="preserve"> key causal requirement is that decomposition at date (t) must use only observations available through (t). A full-series decomposition, even when followed by a temporal train/test split, can transmit future information into past components; windowed decomposition has been proposed specifically to address this proble</w:t>
      </w:r>
      <w:r w:rsidR="00AC6BAE">
        <w:rPr>
          <w:rFonts w:ascii="Times New Roman" w:hAnsi="Times New Roman" w:cs="Times New Roman"/>
          <w:sz w:val="24"/>
          <w:szCs w:val="24"/>
        </w:rPr>
        <w:t xml:space="preserve">m </w:t>
      </w:r>
      <w:r w:rsidR="006F5802">
        <w:rPr>
          <w:rFonts w:ascii="Times New Roman" w:hAnsi="Times New Roman" w:cs="Times New Roman"/>
          <w:b/>
          <w:sz w:val="24"/>
          <w:szCs w:val="24"/>
        </w:rPr>
        <w:fldChar w:fldCharType="begin"/>
      </w:r>
      <w:r w:rsidR="006F5802">
        <w:rPr>
          <w:rFonts w:ascii="Times New Roman" w:hAnsi="Times New Roman" w:cs="Times New Roman"/>
          <w:b/>
          <w:sz w:val="24"/>
          <w:szCs w:val="24"/>
        </w:rPr>
        <w:instrText xml:space="preserve"> ADDIN ZOTERO_ITEM CSL_CITATION {"citationID":"jUA7uPjc","properties":{"unsorted":false,"formattedCitation":"(T. Liu et al., 2022)","plainCitation":"(T. Liu et al., 2022)","noteIndex":0},"citationItems":[{"id":35,"uris":["http://zotero.org/users/local/DPQnJvcs/items/ZLXIQGMF"],"itemData":{"id":35,"type":"article-journal","container-title":"Knowledge-Based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sidR="006F5802">
        <w:rPr>
          <w:rFonts w:ascii="Times New Roman" w:hAnsi="Times New Roman" w:cs="Times New Roman"/>
          <w:b/>
          <w:sz w:val="24"/>
          <w:szCs w:val="24"/>
        </w:rPr>
        <w:fldChar w:fldCharType="separate"/>
      </w:r>
      <w:r w:rsidR="006F5802" w:rsidRPr="006F5802">
        <w:rPr>
          <w:rFonts w:ascii="Times New Roman" w:hAnsi="Times New Roman" w:cs="Times New Roman"/>
          <w:sz w:val="24"/>
        </w:rPr>
        <w:t>(T. Liu et al., 2022)</w:t>
      </w:r>
      <w:r w:rsidR="006F5802">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796B85" w:rsidRPr="000829A5">
        <w:rPr>
          <w:rFonts w:ascii="Times New Roman" w:hAnsi="Times New Roman" w:cs="Times New Roman"/>
          <w:sz w:val="24"/>
          <w:szCs w:val="24"/>
        </w:rPr>
        <w:t xml:space="preserve"> therefore use a rolling past-only implementation and test VMD as a feature addition rather than assuming it is beneficial denoising.</w:t>
      </w:r>
    </w:p>
    <w:p w14:paraId="283B2534" w14:textId="4169C9D3" w:rsidR="00187B55" w:rsidRDefault="00FE5BD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Financial text offers a different information channel. Prior work has used social media, analyst or expert opinions and news to enrich stock-movement models</w:t>
      </w:r>
      <w:r w:rsidR="00FC21F1">
        <w:rPr>
          <w:rFonts w:ascii="Times New Roman" w:hAnsi="Times New Roman" w:cs="Times New Roman"/>
          <w:sz w:val="24"/>
          <w:szCs w:val="24"/>
        </w:rPr>
        <w:t xml:space="preserve"> </w:t>
      </w:r>
      <w:r w:rsidR="00F92BCB">
        <w:rPr>
          <w:rFonts w:ascii="Times New Roman" w:eastAsia="Times New Roman" w:hAnsi="Times New Roman" w:cs="Times New Roman"/>
          <w:b/>
          <w:sz w:val="24"/>
          <w:szCs w:val="24"/>
        </w:rPr>
        <w:fldChar w:fldCharType="begin"/>
      </w:r>
      <w:r w:rsidR="00F92BCB">
        <w:rPr>
          <w:rFonts w:ascii="Times New Roman" w:eastAsia="Times New Roman" w:hAnsi="Times New Roman" w:cs="Times New Roman"/>
          <w:b/>
          <w:sz w:val="24"/>
          <w:szCs w:val="24"/>
        </w:rPr>
        <w:instrText xml:space="preserve"> ADDIN ZOTERO_ITEM CSL_CITATION {"citationID":"F4ykloi6","properties":{"unsorted":false,"formattedCitation":"(Luo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F92BCB">
        <w:rPr>
          <w:rFonts w:ascii="Times New Roman" w:eastAsia="Times New Roman" w:hAnsi="Times New Roman" w:cs="Times New Roman"/>
          <w:b/>
          <w:sz w:val="24"/>
          <w:szCs w:val="24"/>
        </w:rPr>
        <w:fldChar w:fldCharType="separate"/>
      </w:r>
      <w:r w:rsidR="00F92BCB" w:rsidRPr="00F92BCB">
        <w:rPr>
          <w:rFonts w:ascii="Times New Roman" w:hAnsi="Times New Roman" w:cs="Times New Roman"/>
          <w:sz w:val="24"/>
        </w:rPr>
        <w:t>(Luo et al., 2023; Sawhney et al., 2020; H. Wang et al., 2020)</w:t>
      </w:r>
      <w:r w:rsidR="00F92BCB">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Recent</w:t>
      </w:r>
      <w:r w:rsidR="00ED15EB" w:rsidRPr="000829A5">
        <w:rPr>
          <w:rFonts w:ascii="Times New Roman" w:hAnsi="Times New Roman" w:cs="Times New Roman"/>
          <w:sz w:val="24"/>
          <w:szCs w:val="24"/>
        </w:rPr>
        <w:t xml:space="preserve"> systems further model interactions among news items or sentiment-attention mechanisms for index prediction</w:t>
      </w:r>
      <w:r w:rsidR="00ED15EB">
        <w:rPr>
          <w:rFonts w:ascii="Times New Roman" w:hAnsi="Times New Roman" w:cs="Times New Roman"/>
          <w:sz w:val="24"/>
          <w:szCs w:val="24"/>
        </w:rPr>
        <w:t xml:space="preserve"> </w:t>
      </w:r>
      <w:r w:rsidR="003B0949">
        <w:rPr>
          <w:rFonts w:ascii="Times New Roman" w:hAnsi="Times New Roman" w:cs="Times New Roman"/>
          <w:b/>
          <w:sz w:val="24"/>
          <w:szCs w:val="24"/>
        </w:rPr>
        <w:fldChar w:fldCharType="begin"/>
      </w:r>
      <w:r w:rsidR="003B0949">
        <w:rPr>
          <w:rFonts w:ascii="Times New Roman" w:hAnsi="Times New Roman" w:cs="Times New Roman"/>
          <w:b/>
          <w:sz w:val="24"/>
          <w:szCs w:val="24"/>
        </w:rPr>
        <w:instrText xml:space="preserve"> ADDIN ZOTERO_ITEM CSL_CITATION {"citationID":"ykPnyAUj","properties":{"unsorted":false,"formattedCitation":"(W.-J.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3B0949">
        <w:rPr>
          <w:rFonts w:ascii="Times New Roman" w:hAnsi="Times New Roman" w:cs="Times New Roman"/>
          <w:b/>
          <w:sz w:val="24"/>
          <w:szCs w:val="24"/>
        </w:rPr>
        <w:fldChar w:fldCharType="separate"/>
      </w:r>
      <w:r w:rsidR="003B0949" w:rsidRPr="003B0949">
        <w:rPr>
          <w:rFonts w:ascii="Times New Roman" w:hAnsi="Times New Roman" w:cs="Times New Roman"/>
          <w:sz w:val="24"/>
        </w:rPr>
        <w:t>(W.-J. Liu et al., 2024; M. Wang et al., 2024)</w:t>
      </w:r>
      <w:r w:rsidR="003B0949">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An</w:t>
      </w:r>
      <w:r w:rsidR="00974FC3" w:rsidRPr="000829A5">
        <w:rPr>
          <w:rFonts w:ascii="Times New Roman" w:hAnsi="Times New Roman" w:cs="Times New Roman"/>
          <w:sz w:val="24"/>
          <w:szCs w:val="24"/>
        </w:rPr>
        <w:t xml:space="preserve"> intrinsic sentiment score and an incremental forecasting signal are nevertheless different </w:t>
      </w:r>
      <w:proofErr w:type="spellStart"/>
      <w:r w:rsidR="00974FC3" w:rsidRPr="000829A5">
        <w:rPr>
          <w:rFonts w:ascii="Times New Roman" w:hAnsi="Times New Roman" w:cs="Times New Roman"/>
          <w:sz w:val="24"/>
          <w:szCs w:val="24"/>
        </w:rPr>
        <w:t>estimands</w:t>
      </w:r>
      <w:proofErr w:type="spellEnd"/>
      <w:r w:rsidR="00974FC3" w:rsidRPr="000829A5">
        <w:rPr>
          <w:rFonts w:ascii="Times New Roman" w:hAnsi="Times New Roman" w:cs="Times New Roman"/>
          <w:sz w:val="24"/>
          <w:szCs w:val="24"/>
        </w:rPr>
        <w:t>. Text may be labelled accurately but arrive too late, be redundant with price adjustment, be diluted during daily aggregation, or exhibit source and length shift. A credible multimodal test therefore needs date-aware prediction of text labels, equal forecasting cohorts and controls that distinguish chronology from generic extra dimensions.</w:t>
      </w:r>
    </w:p>
    <w:p w14:paraId="53DB535B" w14:textId="544FC2DD" w:rsidR="00B11EDA" w:rsidRPr="00B11EDA" w:rsidRDefault="00B11EDA"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2.3 LLM Role Systems</w:t>
      </w:r>
    </w:p>
    <w:p w14:paraId="05CA26A4" w14:textId="26C56A14" w:rsidR="00C17ECC" w:rsidRDefault="00C17ECC" w:rsidP="009960B6">
      <w:pPr>
        <w:spacing w:line="360" w:lineRule="auto"/>
        <w:jc w:val="both"/>
        <w:rPr>
          <w:rFonts w:ascii="Times New Roman" w:eastAsia="Times New Roman" w:hAnsi="Times New Roman"/>
          <w:b/>
          <w:sz w:val="24"/>
          <w:szCs w:val="24"/>
        </w:rPr>
      </w:pPr>
      <w:r w:rsidRPr="000829A5">
        <w:rPr>
          <w:rFonts w:ascii="Times New Roman" w:hAnsi="Times New Roman" w:cs="Times New Roman"/>
          <w:sz w:val="24"/>
          <w:szCs w:val="24"/>
        </w:rPr>
        <w:t>Multi-agent debate and judge-style LLM systems can improve reasoning by eliciting divergent intermediate positions before a final decision</w:t>
      </w:r>
      <w:r w:rsidR="00AB3A50">
        <w:rPr>
          <w:rFonts w:ascii="Times New Roman" w:hAnsi="Times New Roman" w:cs="Times New Roman"/>
          <w:sz w:val="24"/>
          <w:szCs w:val="24"/>
        </w:rPr>
        <w:t xml:space="preserve"> </w:t>
      </w:r>
      <w:r w:rsidR="003E3B67">
        <w:rPr>
          <w:rFonts w:ascii="Times New Roman" w:eastAsia="Times New Roman" w:hAnsi="Times New Roman"/>
          <w:b/>
          <w:sz w:val="24"/>
          <w:szCs w:val="24"/>
          <w:cs/>
        </w:rPr>
        <w:fldChar w:fldCharType="begin"/>
      </w:r>
      <w:r w:rsidR="003E3B67">
        <w:rPr>
          <w:rFonts w:ascii="Times New Roman" w:eastAsia="Times New Roman" w:hAnsi="Times New Roman"/>
          <w:b/>
          <w:sz w:val="24"/>
          <w:szCs w:val="24"/>
        </w:rPr>
        <w:instrText xml:space="preserve"> ADDIN ZOTERO_ITEM CSL_CITATION {"citationID":"Imx5Gar0","properties":{"unsorted":false,"formattedCitation":"(Du et al., 2024; Liang et al., 2024)","plainCitation":"(Du et al., 2024; Liang et al., 2024)","noteIndex":0},"citationItems":[{"id":14,"uris":["http://zotero.org/users/local/DPQnJvcs/items/D3CHYCUL"],"itemData":{"id":14,"type":"paper-conference","collection-title":"Proceedings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sidR="003E3B67">
        <w:rPr>
          <w:rFonts w:ascii="Times New Roman" w:eastAsia="Times New Roman" w:hAnsi="Times New Roman"/>
          <w:b/>
          <w:sz w:val="24"/>
          <w:szCs w:val="24"/>
          <w:cs/>
        </w:rPr>
        <w:fldChar w:fldCharType="separate"/>
      </w:r>
      <w:r w:rsidR="003E3B67" w:rsidRPr="003E3B67">
        <w:rPr>
          <w:rFonts w:ascii="Times New Roman" w:hAnsi="Times New Roman" w:cs="Times New Roman"/>
          <w:sz w:val="24"/>
        </w:rPr>
        <w:t>(Du et al., 2024; Liang et al., 2024)</w:t>
      </w:r>
      <w:r w:rsidR="003E3B67">
        <w:rPr>
          <w:rFonts w:ascii="Times New Roman" w:eastAsia="Times New Roman" w:hAnsi="Times New Roman"/>
          <w:b/>
          <w:sz w:val="24"/>
          <w:szCs w:val="24"/>
          <w:cs/>
        </w:rPr>
        <w:fldChar w:fldCharType="end"/>
      </w:r>
      <w:r w:rsidR="00D0143A" w:rsidRPr="00D0143A">
        <w:rPr>
          <w:rFonts w:ascii="Times New Roman" w:eastAsia="Times New Roman" w:hAnsi="Times New Roman"/>
          <w:sz w:val="24"/>
          <w:szCs w:val="24"/>
          <w:cs/>
        </w:rPr>
        <w:t xml:space="preserve"> </w:t>
      </w:r>
      <w:r w:rsidR="00D0143A" w:rsidRPr="00D0143A">
        <w:rPr>
          <w:rFonts w:ascii="Times New Roman" w:eastAsia="Times New Roman" w:hAnsi="Times New Roman"/>
          <w:sz w:val="24"/>
          <w:szCs w:val="24"/>
        </w:rPr>
        <w:t>Self</w:t>
      </w:r>
      <w:r w:rsidR="00E42D37" w:rsidRPr="000829A5">
        <w:rPr>
          <w:rFonts w:ascii="Times New Roman" w:hAnsi="Times New Roman" w:cs="Times New Roman"/>
          <w:sz w:val="24"/>
          <w:szCs w:val="24"/>
        </w:rPr>
        <w:t>-consistency provides a strong alternative explanation: repeated sampling itself can improve a result by aggregating several reasoning paths</w:t>
      </w:r>
      <w:r w:rsidR="00AB3A50">
        <w:rPr>
          <w:rFonts w:ascii="Times New Roman" w:hAnsi="Times New Roman" w:cs="Times New Roman"/>
          <w:sz w:val="24"/>
          <w:szCs w:val="24"/>
        </w:rPr>
        <w:t xml:space="preserve"> </w:t>
      </w:r>
      <w:r w:rsidR="00AB3A50">
        <w:rPr>
          <w:rFonts w:ascii="Times New Roman" w:hAnsi="Times New Roman" w:cs="Times New Roman"/>
          <w:b/>
          <w:sz w:val="24"/>
          <w:szCs w:val="24"/>
        </w:rPr>
        <w:fldChar w:fldCharType="begin"/>
      </w:r>
      <w:r w:rsidR="00AB3A50">
        <w:rPr>
          <w:rFonts w:ascii="Times New Roman" w:hAnsi="Times New Roman" w:cs="Times New Roman"/>
          <w:b/>
          <w:sz w:val="24"/>
          <w:szCs w:val="24"/>
        </w:rPr>
        <w:instrText xml:space="preserve"> ADDIN ZOTERO_ITEM CSL_CITATION {"citationID":"wEQDytrU","properties":{"unsorted":false,"formattedCitation":"(X. Wang et al., 2023)","plainCitation":"(X. Wang et al., 2023)","noteIndex":0},"citationItems":[{"id":16,"uris":["http://zotero.org/users/local/DPQnJvcs/items/MGSIQEJ4"],"itemData":{"id":16,"type":"paper-conference","container-title":"The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H."},{"family":"Narang","given":"Sharan"},{"family":"Chowdhery","given":"Aakanksha"},{"family":"Zhou","given":"Denny"}],"issued":{"date-parts":[["2023"]]}}}],"schema":"https://github.com/citation-style-language/schema/raw/master/csl-citation.json"} </w:instrText>
      </w:r>
      <w:r w:rsidR="00AB3A50">
        <w:rPr>
          <w:rFonts w:ascii="Times New Roman" w:hAnsi="Times New Roman" w:cs="Times New Roman"/>
          <w:b/>
          <w:sz w:val="24"/>
          <w:szCs w:val="24"/>
        </w:rPr>
        <w:fldChar w:fldCharType="separate"/>
      </w:r>
      <w:r w:rsidR="00AB3A50" w:rsidRPr="00AB3A50">
        <w:rPr>
          <w:rFonts w:ascii="Times New Roman" w:hAnsi="Times New Roman" w:cs="Times New Roman"/>
          <w:sz w:val="24"/>
        </w:rPr>
        <w:t>(X. Wang et al., 2023)</w:t>
      </w:r>
      <w:r w:rsidR="00AB3A50">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Comparing</w:t>
      </w:r>
      <w:r w:rsidR="00FD0A3B" w:rsidRPr="000829A5">
        <w:rPr>
          <w:rFonts w:ascii="Times New Roman" w:hAnsi="Times New Roman" w:cs="Times New Roman"/>
          <w:sz w:val="24"/>
          <w:szCs w:val="24"/>
        </w:rPr>
        <w:t xml:space="preserve"> a three-call role system only with one call therefore confounds role structure with inference budget. Our intrinsic benchmark uses both an equal-call three-pass control and a four-pass near-cost control. Even then, the comparison is system-level: all roles use the same underlying proprietary model, so the result cannot identify abstract “debate reasoning” as the sole causal mechanism. A recent survey of financial LLM agents similarly identifies prompt sensitivity, real-time adaptation and institutional deployment constraints as open evaluation problems</w:t>
      </w:r>
      <w:r w:rsidR="00FD0A3B">
        <w:rPr>
          <w:rFonts w:ascii="Times New Roman" w:hAnsi="Times New Roman" w:cs="Times New Roman"/>
          <w:sz w:val="24"/>
          <w:szCs w:val="24"/>
        </w:rPr>
        <w:t xml:space="preserve"> </w:t>
      </w:r>
      <w:r w:rsidR="00FD0A3B" w:rsidRPr="00AB3A50">
        <w:rPr>
          <w:rFonts w:ascii="Times New Roman" w:hAnsi="Times New Roman" w:cs="Times New Roman"/>
          <w:sz w:val="24"/>
          <w:szCs w:val="24"/>
        </w:rPr>
        <w:fldChar w:fldCharType="begin"/>
      </w:r>
      <w:r w:rsidR="00FD0A3B" w:rsidRPr="00AB3A50">
        <w:rPr>
          <w:rFonts w:ascii="Times New Roman" w:hAnsi="Times New Roman" w:cs="Times New Roman"/>
          <w:sz w:val="24"/>
          <w:szCs w:val="24"/>
        </w:rPr>
        <w:instrText xml:space="preserve"> ADDIN ZOTERO_ITEM CSL_CITATION {"citationID":"5EKDHQHl","properties":{"unsorted":false,"formattedCitation":"(Dong et al., 2025)","plainCitation":"(Dong et al., 2025)","noteIndex":0},"citationItems":[{"id":39,"uris":["http://zotero.org/users/local/DPQnJvcs/items/5X3GYKMQ"],"itemData":{"id":39,"type":"paper-conference","container-title":"Findings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sidR="00FD0A3B" w:rsidRPr="00AB3A50">
        <w:rPr>
          <w:rFonts w:ascii="Times New Roman" w:hAnsi="Times New Roman" w:cs="Times New Roman"/>
          <w:sz w:val="24"/>
          <w:szCs w:val="24"/>
        </w:rPr>
        <w:fldChar w:fldCharType="separate"/>
      </w:r>
      <w:r w:rsidR="00FD0A3B" w:rsidRPr="00AB3A50">
        <w:rPr>
          <w:rFonts w:ascii="Times New Roman" w:hAnsi="Times New Roman" w:cs="Times New Roman"/>
          <w:sz w:val="24"/>
        </w:rPr>
        <w:t>(Dong et al., 2025)</w:t>
      </w:r>
      <w:r w:rsidR="00FD0A3B" w:rsidRPr="00AB3A50">
        <w:rPr>
          <w:rFonts w:ascii="Times New Roman" w:hAnsi="Times New Roman" w:cs="Times New Roman"/>
          <w:sz w:val="24"/>
          <w:szCs w:val="24"/>
        </w:rPr>
        <w:fldChar w:fldCharType="end"/>
      </w:r>
    </w:p>
    <w:p w14:paraId="05F3E485" w14:textId="2FF9F83B" w:rsidR="00FD0A3B" w:rsidRPr="00B11EDA" w:rsidRDefault="00FD0A3B"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2.4 Market Regimes and Explainability</w:t>
      </w:r>
    </w:p>
    <w:p w14:paraId="7FC6880B" w14:textId="0D7BCDFB" w:rsidR="00F756DC" w:rsidRDefault="00F756DC" w:rsidP="009960B6">
      <w:pPr>
        <w:spacing w:line="360" w:lineRule="auto"/>
        <w:jc w:val="both"/>
        <w:rPr>
          <w:rFonts w:ascii="Times New Roman" w:hAnsi="Times New Roman" w:cs="Times New Roman"/>
          <w:sz w:val="24"/>
          <w:szCs w:val="24"/>
        </w:rPr>
      </w:pPr>
      <w:r w:rsidRPr="000829A5">
        <w:rPr>
          <w:rFonts w:ascii="Times New Roman" w:hAnsi="Times New Roman" w:cs="Times New Roman"/>
          <w:sz w:val="24"/>
          <w:szCs w:val="24"/>
        </w:rPr>
        <w:t xml:space="preserve">Bull and bear phases have long been analyses as persistent market states </w:t>
      </w:r>
      <w:r w:rsidR="00823AE8">
        <w:rPr>
          <w:rFonts w:ascii="Times New Roman" w:eastAsia="Times New Roman" w:hAnsi="Times New Roman" w:cs="Times New Roman"/>
          <w:b/>
          <w:sz w:val="24"/>
          <w:szCs w:val="24"/>
        </w:rPr>
        <w:fldChar w:fldCharType="begin"/>
      </w:r>
      <w:r w:rsidR="00823AE8">
        <w:rPr>
          <w:rFonts w:ascii="Times New Roman" w:eastAsia="Times New Roman" w:hAnsi="Times New Roman" w:cs="Times New Roman"/>
          <w:b/>
          <w:sz w:val="24"/>
          <w:szCs w:val="24"/>
        </w:rPr>
        <w:instrText xml:space="preserve"> ADDIN ZOTERO_ITEM CSL_CITATION {"citationID":"S5IvXBMx","properties":{"unsorted":false,"formattedCitation":"(Pagan &amp; Sossounov, 2003)","plainCitation":"(Pagan &amp; Sossounov, 2003)","noteIndex":0},"citationItems":[{"id":20,"uris":["http://zotero.org/users/local/DPQnJvcs/items/RQKMDA85"],"itemData":{"id":20,"type":"article-journal","container-title":"Journal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A."}],"issued":{"date-parts":[["2003"]]}}}],"schema":"https://github.com/citation-style-language/schema/raw/master/csl-citation.json"} </w:instrText>
      </w:r>
      <w:r w:rsidR="00823AE8">
        <w:rPr>
          <w:rFonts w:ascii="Times New Roman" w:eastAsia="Times New Roman" w:hAnsi="Times New Roman" w:cs="Times New Roman"/>
          <w:b/>
          <w:sz w:val="24"/>
          <w:szCs w:val="24"/>
        </w:rPr>
        <w:fldChar w:fldCharType="separate"/>
      </w:r>
      <w:r w:rsidR="00823AE8" w:rsidRPr="00823AE8">
        <w:rPr>
          <w:rFonts w:ascii="Times New Roman" w:hAnsi="Times New Roman" w:cs="Times New Roman"/>
          <w:sz w:val="24"/>
        </w:rPr>
        <w:t>(Pagan &amp; Sossounov, 2003)</w:t>
      </w:r>
      <w:r w:rsidR="00823AE8">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Trend</w:t>
      </w:r>
      <w:r w:rsidR="00575836" w:rsidRPr="000829A5">
        <w:rPr>
          <w:rFonts w:ascii="Times New Roman" w:hAnsi="Times New Roman" w:cs="Times New Roman"/>
          <w:sz w:val="24"/>
          <w:szCs w:val="24"/>
        </w:rPr>
        <w:t>-following evidence motivates using returns across several horizons</w:t>
      </w:r>
      <w:r w:rsidR="00575836">
        <w:rPr>
          <w:rFonts w:ascii="Times New Roman" w:hAnsi="Times New Roman" w:cs="Times New Roman"/>
          <w:sz w:val="24"/>
          <w:szCs w:val="24"/>
        </w:rPr>
        <w:t xml:space="preserve"> </w:t>
      </w:r>
      <w:r w:rsidR="00575836" w:rsidRPr="00823AE8">
        <w:rPr>
          <w:rFonts w:ascii="Times New Roman" w:hAnsi="Times New Roman" w:cs="Times New Roman"/>
          <w:sz w:val="24"/>
          <w:szCs w:val="24"/>
        </w:rPr>
        <w:fldChar w:fldCharType="begin"/>
      </w:r>
      <w:r w:rsidR="00575836" w:rsidRPr="00823AE8">
        <w:rPr>
          <w:rFonts w:ascii="Times New Roman" w:hAnsi="Times New Roman" w:cs="Times New Roman"/>
          <w:sz w:val="24"/>
          <w:szCs w:val="24"/>
        </w:rPr>
        <w:instrText xml:space="preserve"> ADDIN ZOTERO_ITEM CSL_CITATION {"citationID":"ar3akY12","properties":{"unsorted":false,"formattedCitation":"(Moskowitz et al., 2012)","plainCitation":"(Moskowitz et al., 2012)","noteIndex":0},"citationItems":[{"id":21,"uris":["http://zotero.org/users/local/DPQnJvcs/items/9TALPZW5"],"itemData":{"id":21,"type":"article-journal","container-title":"Journal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sidR="00575836" w:rsidRPr="00823AE8">
        <w:rPr>
          <w:rFonts w:ascii="Times New Roman" w:hAnsi="Times New Roman" w:cs="Times New Roman"/>
          <w:sz w:val="24"/>
          <w:szCs w:val="24"/>
        </w:rPr>
        <w:fldChar w:fldCharType="separate"/>
      </w:r>
      <w:r w:rsidR="00575836" w:rsidRPr="00823AE8">
        <w:rPr>
          <w:rFonts w:ascii="Times New Roman" w:hAnsi="Times New Roman" w:cs="Times New Roman"/>
          <w:sz w:val="24"/>
        </w:rPr>
        <w:t>(Moskowitz et al., 2012)</w:t>
      </w:r>
      <w:r w:rsidR="00575836" w:rsidRPr="00823AE8">
        <w:rPr>
          <w:rFonts w:ascii="Times New Roman" w:hAnsi="Times New Roman" w:cs="Times New Roman"/>
          <w:sz w:val="24"/>
          <w:szCs w:val="24"/>
        </w:rPr>
        <w:fldChar w:fldCharType="end"/>
      </w:r>
      <w:r w:rsidR="000B166F">
        <w:rPr>
          <w:rFonts w:ascii="Times New Roman" w:hAnsi="Times New Roman" w:cs="Times New Roman"/>
          <w:sz w:val="24"/>
          <w:szCs w:val="24"/>
        </w:rPr>
        <w:t xml:space="preserve"> </w:t>
      </w:r>
      <w:r w:rsidR="000B166F" w:rsidRPr="000829A5">
        <w:rPr>
          <w:rFonts w:ascii="Times New Roman" w:hAnsi="Times New Roman" w:cs="Times New Roman"/>
          <w:sz w:val="24"/>
          <w:szCs w:val="24"/>
        </w:rPr>
        <w:t>while the Average Directional Index (ADX) provides a conventional measure of trend strength</w:t>
      </w:r>
      <w:r w:rsidR="000B166F">
        <w:rPr>
          <w:rFonts w:ascii="Times New Roman" w:hAnsi="Times New Roman" w:cs="Times New Roman"/>
          <w:sz w:val="24"/>
          <w:szCs w:val="24"/>
        </w:rPr>
        <w:t xml:space="preserve"> </w:t>
      </w:r>
      <w:r w:rsidR="000B166F" w:rsidRPr="00823AE8">
        <w:rPr>
          <w:rFonts w:ascii="Times New Roman" w:hAnsi="Times New Roman" w:cs="Times New Roman"/>
          <w:sz w:val="24"/>
          <w:szCs w:val="24"/>
        </w:rPr>
        <w:fldChar w:fldCharType="begin"/>
      </w:r>
      <w:r w:rsidR="000B166F" w:rsidRPr="00823AE8">
        <w:rPr>
          <w:rFonts w:ascii="Times New Roman" w:hAnsi="Times New Roman" w:cs="Times New Roman"/>
          <w:sz w:val="24"/>
          <w:szCs w:val="24"/>
        </w:rPr>
        <w:instrText xml:space="preserve"> ADDIN ZOTERO_ITEM CSL_CITATION {"citationID":"Wr0d6thP","properties":{"unsorted":false,"formattedCitation":"(Wilder, 1978)","plainCitation":"(Wilder, 1978)","noteIndex":0},"citationItems":[{"id":22,"uris":["http://zotero.org/users/local/DPQnJvcs/items/HCF6V88D"],"itemData":{"id":22,"type":"book","publisher":"Trend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sidR="000B166F" w:rsidRPr="00823AE8">
        <w:rPr>
          <w:rFonts w:ascii="Times New Roman" w:hAnsi="Times New Roman" w:cs="Times New Roman"/>
          <w:sz w:val="24"/>
          <w:szCs w:val="24"/>
        </w:rPr>
        <w:fldChar w:fldCharType="separate"/>
      </w:r>
      <w:r w:rsidR="000B166F" w:rsidRPr="00823AE8">
        <w:rPr>
          <w:rFonts w:ascii="Times New Roman" w:hAnsi="Times New Roman" w:cs="Times New Roman"/>
          <w:sz w:val="24"/>
        </w:rPr>
        <w:t>(Wilder, 1978)</w:t>
      </w:r>
      <w:r w:rsidR="000B166F" w:rsidRPr="00823AE8">
        <w:rPr>
          <w:rFonts w:ascii="Times New Roman" w:hAnsi="Times New Roman" w:cs="Times New Roman"/>
          <w:sz w:val="24"/>
          <w:szCs w:val="24"/>
        </w:rPr>
        <w:fldChar w:fldCharType="end"/>
      </w:r>
      <w:r w:rsidR="00E340C7">
        <w:rPr>
          <w:rFonts w:ascii="Times New Roman" w:eastAsia="Times New Roman" w:hAnsi="Times New Roman" w:cs="Times New Roman"/>
          <w:b/>
          <w:sz w:val="24"/>
          <w:szCs w:val="24"/>
        </w:rPr>
        <w:t xml:space="preserve"> </w:t>
      </w:r>
      <w:r w:rsidR="00E340C7" w:rsidRPr="000829A5">
        <w:rPr>
          <w:rFonts w:ascii="Times New Roman" w:hAnsi="Times New Roman" w:cs="Times New Roman"/>
          <w:sz w:val="24"/>
          <w:szCs w:val="24"/>
        </w:rPr>
        <w:t>A regime router used for next-day forecasting must be fitted without future labels and should produce semantically valid states in both training and test periods.</w:t>
      </w:r>
    </w:p>
    <w:p w14:paraId="721F99E2" w14:textId="55799AA5" w:rsidR="00E340C7" w:rsidRDefault="00A63E07"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 xml:space="preserve">SHAP unifies feature attribution through Shapley </w:t>
      </w:r>
      <w:r w:rsidRPr="00823AE8">
        <w:rPr>
          <w:rFonts w:ascii="Times New Roman" w:hAnsi="Times New Roman" w:cs="Times New Roman"/>
          <w:sz w:val="24"/>
          <w:szCs w:val="24"/>
        </w:rPr>
        <w:t xml:space="preserve">values </w:t>
      </w:r>
      <w:r w:rsidRPr="00823AE8">
        <w:rPr>
          <w:rFonts w:ascii="Times New Roman" w:hAnsi="Times New Roman" w:cs="Times New Roman"/>
          <w:sz w:val="24"/>
          <w:szCs w:val="24"/>
        </w:rPr>
        <w:fldChar w:fldCharType="begin"/>
      </w:r>
      <w:r w:rsidRPr="00823AE8">
        <w:rPr>
          <w:rFonts w:ascii="Times New Roman" w:hAnsi="Times New Roman" w:cs="Times New Roman"/>
          <w:sz w:val="24"/>
          <w:szCs w:val="24"/>
        </w:rPr>
        <w:instrText xml:space="preserve"> ADDIN ZOTERO_ITEM CSL_CITATION {"citationID":"reyt82nC","properties":{"unsorted":false,"formattedCitation":"(Lundberg &amp; Lee, 2017)","plainCitation":"(Lundberg &amp;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823AE8">
        <w:rPr>
          <w:rFonts w:ascii="Times New Roman" w:hAnsi="Times New Roman" w:cs="Times New Roman"/>
          <w:sz w:val="24"/>
        </w:rPr>
        <w:t>(Lundberg &amp; Lee, 2017)</w:t>
      </w:r>
      <w:r w:rsidRPr="00823AE8">
        <w:rPr>
          <w:rFonts w:ascii="Times New Roman" w:hAnsi="Times New Roman" w:cs="Times New Roman"/>
          <w:sz w:val="24"/>
          <w:szCs w:val="24"/>
        </w:rPr>
        <w:fldChar w:fldCharType="end"/>
      </w:r>
      <w:r w:rsidR="00D6471E">
        <w:rPr>
          <w:rFonts w:ascii="Times New Roman" w:eastAsia="Times New Roman" w:hAnsi="Times New Roman" w:cs="Times New Roman"/>
          <w:b/>
          <w:sz w:val="24"/>
          <w:szCs w:val="24"/>
        </w:rPr>
        <w:t xml:space="preserve"> </w:t>
      </w:r>
      <w:r w:rsidR="00D6471E" w:rsidRPr="000829A5">
        <w:rPr>
          <w:rFonts w:ascii="Times New Roman" w:hAnsi="Times New Roman" w:cs="Times New Roman"/>
          <w:sz w:val="24"/>
          <w:szCs w:val="24"/>
        </w:rPr>
        <w:t>LIME fits local surrogate explanations around individual predictions</w:t>
      </w:r>
      <w:r w:rsidR="00D6471E">
        <w:rPr>
          <w:rFonts w:ascii="Times New Roman" w:hAnsi="Times New Roman" w:cs="Times New Roman"/>
          <w:sz w:val="24"/>
          <w:szCs w:val="24"/>
        </w:rPr>
        <w:t xml:space="preserve"> </w:t>
      </w:r>
      <w:r w:rsidR="00823AE8">
        <w:rPr>
          <w:rFonts w:ascii="Times New Roman" w:hAnsi="Times New Roman" w:cs="Times New Roman"/>
          <w:b/>
          <w:sz w:val="24"/>
          <w:szCs w:val="24"/>
        </w:rPr>
        <w:fldChar w:fldCharType="begin"/>
      </w:r>
      <w:r w:rsidR="00823AE8">
        <w:rPr>
          <w:rFonts w:ascii="Times New Roman" w:hAnsi="Times New Roman" w:cs="Times New Roman"/>
          <w:b/>
          <w:sz w:val="24"/>
          <w:szCs w:val="24"/>
        </w:rPr>
        <w:instrText xml:space="preserve"> ADDIN ZOTERO_ITEM CSL_CITATION {"citationID":"1FCUssav","properties":{"unsorted":false,"formattedCitation":"(Ribeiro et al., 2016)","plainCitation":"(Ribeiro et al., 2016)","noteIndex":0},"citationItems":[{"id":18,"uris":["http://zotero.org/users/local/DPQnJvcs/items/62AI8BRL"],"itemData":{"id":18,"type":"paper-conference","container-title":"Proceedings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Tulio"},{"family":"Singh","given":"Sameer"},{"family":"Guestrin","given":"Carlos"}],"issued":{"date-parts":[["2016"]]}}}],"schema":"https://github.com/citation-style-language/schema/raw/master/csl-citation.json"} </w:instrText>
      </w:r>
      <w:r w:rsidR="00823AE8">
        <w:rPr>
          <w:rFonts w:ascii="Times New Roman" w:hAnsi="Times New Roman" w:cs="Times New Roman"/>
          <w:b/>
          <w:sz w:val="24"/>
          <w:szCs w:val="24"/>
        </w:rPr>
        <w:fldChar w:fldCharType="separate"/>
      </w:r>
      <w:r w:rsidR="00823AE8" w:rsidRPr="00823AE8">
        <w:rPr>
          <w:rFonts w:ascii="Times New Roman" w:hAnsi="Times New Roman" w:cs="Times New Roman"/>
          <w:sz w:val="24"/>
        </w:rPr>
        <w:t>(Ribeiro et al., 2016)</w:t>
      </w:r>
      <w:r w:rsidR="00823AE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Neither</w:t>
      </w:r>
      <w:r w:rsidR="00854BB5" w:rsidRPr="000829A5">
        <w:rPr>
          <w:rFonts w:ascii="Times New Roman" w:hAnsi="Times New Roman" w:cs="Times New Roman"/>
          <w:sz w:val="24"/>
          <w:szCs w:val="24"/>
        </w:rPr>
        <w:t xml:space="preserve"> method converts model association into causal market evidence and an explanation is useful only if it is sufficiently faithful to the fitted model. Sanity checks are consequently part of the explanation audit rather than an optional visualization exercise</w:t>
      </w:r>
      <w:r w:rsidR="00854BB5">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{"citationID":"eR4E79Ak","properties":{"unsorted":false,"formattedCitation":"(Adebayo et al., 2018)","plainCitation":"(Adebayo et al., 2018)","noteIndex":0},"citationItems":[{"id":19,"uris":["http://zotero.org/users/local/DPQnJvcs/items/UD4RPQRT"],"itemData":{"id":19,"type":"paper-conference","container-title":"Advances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(Adebayo et al., 2018)</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Finance</w:t>
      </w:r>
      <w:r w:rsidR="00D83D8F" w:rsidRPr="000829A5">
        <w:rPr>
          <w:rFonts w:ascii="Times New Roman" w:hAnsi="Times New Roman" w:cs="Times New Roman"/>
          <w:sz w:val="24"/>
          <w:szCs w:val="24"/>
        </w:rPr>
        <w:t>-specific review evidence also emphasizes that explanation methods must be assessed with domain, transparency and adoption constraints in view</w:t>
      </w:r>
      <w:r w:rsidR="00D83D8F">
        <w:rPr>
          <w:rFonts w:ascii="Times New Roman" w:hAnsi="Times New Roman" w:cs="Times New Roman"/>
          <w:sz w:val="24"/>
          <w:szCs w:val="24"/>
        </w:rPr>
        <w:t xml:space="preserve"> </w:t>
      </w:r>
      <w:r w:rsidR="00AE0368">
        <w:rPr>
          <w:rFonts w:ascii="Times New Roman" w:hAnsi="Times New Roman" w:cs="Times New Roman"/>
          <w:b/>
          <w:sz w:val="24"/>
          <w:szCs w:val="24"/>
        </w:rPr>
        <w:fldChar w:fldCharType="begin"/>
      </w:r>
      <w:r w:rsidR="00AE0368">
        <w:rPr>
          <w:rFonts w:ascii="Times New Roman" w:hAnsi="Times New Roman" w:cs="Times New Roman"/>
          <w:b/>
          <w:sz w:val="24"/>
          <w:szCs w:val="24"/>
        </w:rPr>
        <w:instrText xml:space="preserve"> ADDIN ZOTERO_ITEM CSL_CITATION {"citationID":"tmpU4JLt","properties":{"unsorted":false,"formattedCitation":"(Yeo et al., 2025)","plainCitation":"(Yeo et al., 2025)","noteIndex":0},"citationItems":[{"id":40,"uris":["http://zotero.org/users/local/DPQnJvcs/items/CGM5923W"],"itemData":{"id":40,"type":"article-journal","container-title":"Artificial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E0368">
        <w:rPr>
          <w:rFonts w:ascii="Times New Roman" w:hAnsi="Times New Roman" w:cs="Times New Roman"/>
          <w:b/>
          <w:sz w:val="24"/>
          <w:szCs w:val="24"/>
        </w:rPr>
        <w:fldChar w:fldCharType="separate"/>
      </w:r>
      <w:r w:rsidR="00AE0368" w:rsidRPr="00AE0368">
        <w:rPr>
          <w:rFonts w:ascii="Times New Roman" w:hAnsi="Times New Roman" w:cs="Times New Roman"/>
          <w:sz w:val="24"/>
        </w:rPr>
        <w:t>(Yeo et al., 2025)</w:t>
      </w:r>
      <w:r w:rsidR="00AE0368">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D619F1" w:rsidRPr="000829A5">
        <w:rPr>
          <w:rFonts w:ascii="Times New Roman" w:hAnsi="Times New Roman" w:cs="Times New Roman"/>
          <w:sz w:val="24"/>
          <w:szCs w:val="24"/>
        </w:rPr>
        <w:t xml:space="preserve"> use SHAP for a train-only selector and LIME only as a post-selection diagnostic; LIME never determines a feature subset.</w:t>
      </w:r>
    </w:p>
    <w:p w14:paraId="691BA4C7" w14:textId="38AFBBD4" w:rsidR="00524254" w:rsidRPr="00B11EDA" w:rsidRDefault="00524254" w:rsidP="009960B6">
      <w:pPr>
        <w:pStyle w:val="Heading2"/>
        <w:keepNext/>
        <w:keepLines/>
        <w:spacing w:before="180" w:after="60" w:line="240" w:lineRule="auto"/>
        <w:rPr>
          <w:rFonts w:ascii="Times New Roman" w:eastAsia="Times New Roman" w:hAnsi="Times New Roman" w:cs="Times New Roman"/>
          <w:sz w:val="24"/>
          <w:szCs w:val="24"/>
        </w:rPr>
        <w:jc w:val="left"/>
      </w:pPr>
      <w:r>
        <w:rPr>
          <w:rFonts w:ascii="Times New Roman" w:hAnsi="Times New Roman" w:cs="Times New Roman"/>
          <w:sz w:val="24"/>
          <w:szCs w:val="24"/>
          <w:b/>
          <w:bCs/>
        </w:rPr>
        <w:t>2.5 Evaluation Reliability</w:t>
      </w:r>
    </w:p>
    <w:p w14:paraId="262B8639" w14:textId="170858B2" w:rsidR="00524254" w:rsidRDefault="00143AD0" w:rsidP="009960B6">
      <w:pPr>
        <w:spacing w:line="360" w:lineRule="auto"/>
        <w:jc w:val="both"/>
        <w:rPr>
          <w:rFonts w:ascii="Times New Roman" w:eastAsia="Times New Roman" w:hAnsi="Times New Roman" w:cs="Times New Roman"/>
          <w:b/>
          <w:sz w:val="24"/>
          <w:szCs w:val="24"/>
        </w:rPr>
      </w:pPr>
      <w:r w:rsidRPr="000829A5">
        <w:rPr>
          <w:rFonts w:ascii="Times New Roman" w:hAnsi="Times New Roman" w:cs="Times New Roman"/>
          <w:sz w:val="24"/>
          <w:szCs w:val="24"/>
        </w:rPr>
        <w:t>Time-series evaluation must respect order and dependence</w:t>
      </w:r>
      <w:r>
        <w:rPr>
          <w:rFonts w:ascii="Times New Roman" w:hAnsi="Times New Roman" w:cs="Times New Roman"/>
          <w:sz w:val="24"/>
          <w:szCs w:val="24"/>
        </w:rPr>
        <w:t xml:space="preserve"> </w:t>
      </w:r>
      <w:r w:rsidR="00FF2A0E">
        <w:rPr>
          <w:rFonts w:ascii="Times New Roman" w:hAnsi="Times New Roman" w:cs="Times New Roman"/>
          <w:b/>
          <w:sz w:val="24"/>
          <w:szCs w:val="24"/>
        </w:rPr>
        <w:fldChar w:fldCharType="begin"/>
      </w:r>
      <w:r w:rsidR="00FF2A0E">
        <w:rPr>
          <w:rFonts w:ascii="Times New Roman" w:hAnsi="Times New Roman" w:cs="Times New Roman"/>
          <w:b/>
          <w:sz w:val="24"/>
          <w:szCs w:val="24"/>
        </w:rPr>
        <w:instrText xml:space="preserve"> ADDIN ZOTERO_ITEM CSL_CITATION {"citationID":"w6QwAvfX","properties":{"unsorted":false,"formattedCitation":"(Bergmeir et al., 2018)","plainCitation":"(Bergmeir et al., 2018)","noteIndex":0},"citationItems":[{"id":24,"uris":["http://zotero.org/users/local/DPQnJvcs/items/HFFD8978"],"itemData":{"id":24,"type":"article-journal","container-title":"Computational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J."},{"family":"Koo","given":"Bonsoo"}],"issued":{"date-parts":[["2018"]]}}}],"schema":"https://github.com/citation-style-language/schema/raw/master/csl-citation.json"} </w:instrText>
      </w:r>
      <w:r w:rsidR="00FF2A0E">
        <w:rPr>
          <w:rFonts w:ascii="Times New Roman" w:hAnsi="Times New Roman" w:cs="Times New Roman"/>
          <w:b/>
          <w:sz w:val="24"/>
          <w:szCs w:val="24"/>
        </w:rPr>
        <w:fldChar w:fldCharType="separate"/>
      </w:r>
      <w:r w:rsidR="00FF2A0E" w:rsidRPr="00FF2A0E">
        <w:rPr>
          <w:rFonts w:ascii="Times New Roman" w:hAnsi="Times New Roman" w:cs="Times New Roman"/>
          <w:sz w:val="24"/>
        </w:rPr>
        <w:t>(Bergmeir et al., 2018)</w:t>
      </w:r>
      <w:r w:rsidR="00FF2A0E">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Financial</w:t>
      </w:r>
      <w:r w:rsidR="00063D26" w:rsidRPr="000829A5">
        <w:rPr>
          <w:rFonts w:ascii="Times New Roman" w:hAnsi="Times New Roman" w:cs="Times New Roman"/>
          <w:sz w:val="24"/>
          <w:szCs w:val="24"/>
        </w:rPr>
        <w:t xml:space="preserve"> machine-learning </w:t>
      </w:r>
      <w:r w:rsidR="00B51DC7" w:rsidRPr="000829A5">
        <w:rPr>
          <w:rFonts w:ascii="Times New Roman" w:hAnsi="Times New Roman" w:cs="Times New Roman"/>
          <w:sz w:val="24"/>
          <w:szCs w:val="24"/>
        </w:rPr>
        <w:t>back tests</w:t>
      </w:r>
      <w:r w:rsidR="00063D26" w:rsidRPr="000829A5">
        <w:rPr>
          <w:rFonts w:ascii="Times New Roman" w:hAnsi="Times New Roman" w:cs="Times New Roman"/>
          <w:sz w:val="24"/>
          <w:szCs w:val="24"/>
        </w:rPr>
        <w:t xml:space="preserve"> additionally require explicit information boundaries, pre-specified choices and separation of development from evaluation</w:t>
      </w:r>
      <w:r w:rsidR="00063D26">
        <w:rPr>
          <w:rFonts w:ascii="Times New Roman" w:hAnsi="Times New Roman" w:cs="Times New Roman"/>
          <w:sz w:val="24"/>
          <w:szCs w:val="24"/>
        </w:rPr>
        <w:t xml:space="preserve"> </w:t>
      </w:r>
      <w:r w:rsidR="00B061D5">
        <w:rPr>
          <w:rFonts w:ascii="Times New Roman" w:hAnsi="Times New Roman" w:cs="Times New Roman"/>
          <w:b/>
          <w:sz w:val="24"/>
          <w:szCs w:val="24"/>
        </w:rPr>
        <w:fldChar w:fldCharType="begin"/>
      </w:r>
      <w:r w:rsidR="00B061D5">
        <w:rPr>
          <w:rFonts w:ascii="Times New Roman" w:hAnsi="Times New Roman" w:cs="Times New Roman"/>
          <w:b/>
          <w:sz w:val="24"/>
          <w:szCs w:val="24"/>
        </w:rPr>
        <w:instrText xml:space="preserve"> ADDIN ZOTERO_ITEM CSL_CITATION {"citationID":"7xQkUQXm","properties":{"unsorted":false,"formattedCitation":"(Arnott et al., 2019; Olorunnimbe &amp; Viktor, 2023)","plainCitation":"(Arnott et al., 2019; Olorunnimbe &amp;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sidR="00B061D5">
        <w:rPr>
          <w:rFonts w:ascii="Times New Roman" w:hAnsi="Times New Roman" w:cs="Times New Roman"/>
          <w:b/>
          <w:sz w:val="24"/>
          <w:szCs w:val="24"/>
        </w:rPr>
        <w:fldChar w:fldCharType="separate"/>
      </w:r>
      <w:r w:rsidR="00B061D5" w:rsidRPr="00B061D5">
        <w:rPr>
          <w:rFonts w:ascii="Times New Roman" w:hAnsi="Times New Roman" w:cs="Times New Roman"/>
          <w:sz w:val="24"/>
        </w:rPr>
        <w:t xml:space="preserve">(Arnott et al., 2019; Olorunnimbe &amp; </w:t>
      </w:r>
      <w:r w:rsidR="00B061D5" w:rsidRPr="00B061D5">
        <w:rPr>
          <w:rFonts w:ascii="Times New Roman" w:hAnsi="Times New Roman" w:cs="Times New Roman"/>
          <w:sz w:val="24"/>
        </w:rPr>
        <w:lastRenderedPageBreak/>
        <w:t>Viktor, 2023)</w:t>
      </w:r>
      <w:r w:rsidR="00B061D5">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We</w:t>
      </w:r>
      <w:r w:rsidR="00483C69" w:rsidRPr="000829A5">
        <w:rPr>
          <w:rFonts w:ascii="Times New Roman" w:hAnsi="Times New Roman" w:cs="Times New Roman"/>
          <w:sz w:val="24"/>
          <w:szCs w:val="24"/>
        </w:rPr>
        <w:t xml:space="preserve"> use expanding annual folds and a label-observation purge instead of random cross-validation. </w:t>
      </w:r>
      <w:r w:rsidR="00D0143A">
        <w:rPr>
          <w:rFonts w:ascii="Times New Roman" w:hAnsi="Times New Roman" w:cs="Times New Roman"/>
          <w:sz w:val="24"/>
          <w:szCs w:val="24"/>
        </w:rPr>
        <w:t>Balanced accuracy, the mean of class-wise recalls, is</w:t>
      </w:r>
      <w:r w:rsidR="00483C69" w:rsidRPr="000829A5">
        <w:rPr>
          <w:rFonts w:ascii="Times New Roman" w:hAnsi="Times New Roman" w:cs="Times New Roman"/>
          <w:sz w:val="24"/>
          <w:szCs w:val="24"/>
        </w:rPr>
        <w:t xml:space="preserve"> the primary directional metric because raw accuracy can reward a one-sided classifier when Up and Down frequencies differ</w:t>
      </w:r>
      <w:r w:rsidR="00483C69">
        <w:rPr>
          <w:rFonts w:ascii="Times New Roman" w:eastAsia="Times New Roman" w:hAnsi="Times New Roman" w:cs="Times New Roman"/>
          <w:b/>
          <w:sz w:val="24"/>
          <w:szCs w:val="24"/>
        </w:rPr>
        <w:t xml:space="preserve"> </w:t>
      </w:r>
      <w:r w:rsidR="000E0A6C">
        <w:rPr>
          <w:rFonts w:ascii="Times New Roman" w:eastAsia="Times New Roman" w:hAnsi="Times New Roman" w:cs="Times New Roman"/>
          <w:b/>
          <w:sz w:val="24"/>
          <w:szCs w:val="24"/>
        </w:rPr>
        <w:fldChar w:fldCharType="begin"/>
      </w:r>
      <w:r w:rsidR="000E0A6C">
        <w:rPr>
          <w:rFonts w:ascii="Times New Roman" w:eastAsia="Times New Roman" w:hAnsi="Times New Roman" w:cs="Times New Roman"/>
          <w:b/>
          <w:sz w:val="24"/>
          <w:szCs w:val="24"/>
        </w:rPr>
        <w:instrText xml:space="preserve"> ADDIN ZOTERO_ITEM CSL_CITATION {"citationID":"rKs4aVYN","properties":{"unsorted":false,"formattedCitation":"(Brodersen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0E0A6C">
        <w:rPr>
          <w:rFonts w:ascii="Times New Roman" w:eastAsia="Times New Roman" w:hAnsi="Times New Roman" w:cs="Times New Roman"/>
          <w:b/>
          <w:sz w:val="24"/>
          <w:szCs w:val="24"/>
        </w:rPr>
        <w:fldChar w:fldCharType="separate"/>
      </w:r>
      <w:r w:rsidR="000E0A6C" w:rsidRPr="000E0A6C">
        <w:rPr>
          <w:rFonts w:ascii="Times New Roman" w:hAnsi="Times New Roman" w:cs="Times New Roman"/>
          <w:sz w:val="24"/>
        </w:rPr>
        <w:t>(Brodersen et al., 2010)</w:t>
      </w:r>
      <w:r w:rsidR="000E0A6C">
        <w:rPr>
          <w:rFonts w:ascii="Times New Roman" w:eastAsia="Times New Roman" w:hAnsi="Times New Roman" w:cs="Times New Roman"/>
          <w:b/>
          <w:sz w:val="24"/>
          <w:szCs w:val="24"/>
        </w:rPr>
        <w:fldChar w:fldCharType="end"/>
      </w:r>
      <w:r w:rsidR="00D0143A" w:rsidRPr="00D0143A">
        <w:rPr>
          <w:rFonts w:ascii="Times New Roman" w:eastAsia="Times New Roman" w:hAnsi="Times New Roman" w:cs="Times New Roman"/>
          <w:sz w:val="24"/>
          <w:szCs w:val="24"/>
        </w:rPr>
        <w:t xml:space="preserve"> Families</w:t>
      </w:r>
      <w:r w:rsidR="00324B8B" w:rsidRPr="000829A5">
        <w:rPr>
          <w:rFonts w:ascii="Times New Roman" w:hAnsi="Times New Roman" w:cs="Times New Roman"/>
          <w:sz w:val="24"/>
          <w:szCs w:val="24"/>
        </w:rPr>
        <w:t xml:space="preserve"> of related comparisons are adjusted by the Holm procedure</w:t>
      </w:r>
      <w:r w:rsidR="00324B8B">
        <w:rPr>
          <w:rFonts w:ascii="Times New Roman" w:hAnsi="Times New Roman" w:cs="Times New Roman"/>
          <w:sz w:val="24"/>
          <w:szCs w:val="24"/>
        </w:rPr>
        <w:t xml:space="preserve"> </w:t>
      </w:r>
      <w:r w:rsidR="00EE13EB">
        <w:rPr>
          <w:rFonts w:ascii="Times New Roman" w:hAnsi="Times New Roman" w:cs="Times New Roman"/>
          <w:b/>
          <w:sz w:val="24"/>
          <w:szCs w:val="24"/>
        </w:rPr>
        <w:fldChar w:fldCharType="begin"/>
      </w:r>
      <w:r w:rsidR="00EE13EB">
        <w:rPr>
          <w:rFonts w:ascii="Times New Roman" w:hAnsi="Times New Roman" w:cs="Times New Roman"/>
          <w:b/>
          <w:sz w:val="24"/>
          <w:szCs w:val="24"/>
        </w:rPr>
        <w:instrText xml:space="preserve"> ADDIN ZOTERO_ITEM CSL_CITATION {"citationID":"br3uhIrR","properties":{"unsorted":false,"formattedCitation":"(Holm, 1979)","plainCitation":"(Holm, 1979)","noteIndex":0},"citationItems":[{"id":25,"uris":["http://zotero.org/users/local/DPQnJvcs/items/YPBXTXIH"],"itemData":{"id":25,"type":"article-journal","container-title":"Scandinavian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Procedure","volume":"6","author":[{"family":"Holm","given":"Sture"}],"issued":{"date-parts":[["1979"]]}}}],"schema":"https://github.com/citation-style-language/schema/raw/master/csl-citation.json"} </w:instrText>
      </w:r>
      <w:r w:rsidR="00EE13EB">
        <w:rPr>
          <w:rFonts w:ascii="Times New Roman" w:hAnsi="Times New Roman" w:cs="Times New Roman"/>
          <w:b/>
          <w:sz w:val="24"/>
          <w:szCs w:val="24"/>
        </w:rPr>
        <w:fldChar w:fldCharType="separate"/>
      </w:r>
      <w:r w:rsidR="00EE13EB" w:rsidRPr="00EE13EB">
        <w:rPr>
          <w:rFonts w:ascii="Times New Roman" w:hAnsi="Times New Roman" w:cs="Times New Roman"/>
          <w:sz w:val="24"/>
        </w:rPr>
        <w:t>(Holm, 1979)</w:t>
      </w:r>
      <w:r w:rsidR="00EE13EB">
        <w:rPr>
          <w:rFonts w:ascii="Times New Roman" w:hAnsi="Times New Roman" w:cs="Times New Roman"/>
          <w:b/>
          <w:sz w:val="24"/>
          <w:szCs w:val="24"/>
        </w:rPr>
        <w:fldChar w:fldCharType="end"/>
      </w:r>
      <w:r w:rsidR="00D0143A" w:rsidRPr="00D0143A">
        <w:rPr>
          <w:rFonts w:ascii="Times New Roman" w:hAnsi="Times New Roman" w:cs="Times New Roman"/>
          <w:sz w:val="24"/>
          <w:szCs w:val="24"/>
        </w:rPr>
        <w:t xml:space="preserve"> Economic</w:t>
      </w:r>
      <w:r w:rsidR="000D08AF" w:rsidRPr="000829A5">
        <w:rPr>
          <w:rFonts w:ascii="Times New Roman" w:hAnsi="Times New Roman" w:cs="Times New Roman"/>
          <w:sz w:val="24"/>
          <w:szCs w:val="24"/>
        </w:rPr>
        <w:t xml:space="preserve"> summaries are explicitly exploratory; the Deflated Sharpe Ratio is retained to reveal selection and short-sample risk rather than to certify deployment</w:t>
      </w:r>
      <w:r w:rsidR="000D08AF">
        <w:rPr>
          <w:rFonts w:ascii="Times New Roman" w:hAnsi="Times New Roman" w:cs="Times New Roman"/>
          <w:sz w:val="24"/>
          <w:szCs w:val="24"/>
        </w:rPr>
        <w:t xml:space="preserve"> </w:t>
      </w:r>
      <w:r w:rsidR="000D08AF" w:rsidRPr="00EE13EB">
        <w:rPr>
          <w:rFonts w:ascii="Times New Roman" w:hAnsi="Times New Roman" w:cs="Times New Roman"/>
          <w:sz w:val="24"/>
          <w:szCs w:val="24"/>
        </w:rPr>
        <w:fldChar w:fldCharType="begin"/>
      </w:r>
      <w:r w:rsidR="000D08AF" w:rsidRPr="00EE13EB">
        <w:rPr>
          <w:rFonts w:ascii="Times New Roman" w:hAnsi="Times New Roman" w:cs="Times New Roman"/>
          <w:sz w:val="24"/>
          <w:szCs w:val="24"/>
        </w:rPr>
        <w:instrText xml:space="preserve"> ADDIN ZOTERO_ITEM CSL_CITATION {"citationID":"vYseuG2Y","properties":{"unsorted":false,"formattedCitation":"(Bailey &amp; L\\uc0\\u243{}pez de Prado, 2014)","plainCitation":"(Bailey &amp; López de Prado, 2014)","noteIndex":0},"citationItems":[{"id":26,"uris":["http://zotero.org/users/local/DPQnJvcs/items/9Q3W9XPN"],"itemData":{"id":26,"type":"article-journal","container-title":"The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sidR="000D08AF" w:rsidRPr="00EE13EB">
        <w:rPr>
          <w:rFonts w:ascii="Times New Roman" w:hAnsi="Times New Roman" w:cs="Times New Roman"/>
          <w:sz w:val="24"/>
          <w:szCs w:val="24"/>
        </w:rPr>
        <w:fldChar w:fldCharType="separate"/>
      </w:r>
      <w:r w:rsidR="000D08AF" w:rsidRPr="00EE13EB">
        <w:rPr>
          <w:rFonts w:ascii="Times New Roman" w:hAnsi="Times New Roman" w:cs="Times New Roman"/>
          <w:sz w:val="24"/>
          <w:szCs w:val="24"/>
        </w:rPr>
        <w:t>(Bailey &amp; López de Prado, 2014)</w:t>
      </w:r>
      <w:r w:rsidR="000D08AF" w:rsidRPr="00EE13EB">
        <w:rPr>
          <w:rFonts w:ascii="Times New Roman" w:hAnsi="Times New Roman" w:cs="Times New Roman"/>
          <w:sz w:val="24"/>
          <w:szCs w:val="24"/>
        </w:rPr>
        <w:fldChar w:fldCharType="end"/>
      </w:r>
    </w:p>
    <w:p w14:paraId="37D3A737" w14:textId="3181DC58" w:rsidR="007D771C" w:rsidRDefault="00D0143A" w:rsidP="009960B6">
      <w:pPr>
        <w:pStyle w:val="Heading1"/>
        <w:keepNext/>
        <w:keepLines/>
        <w:spacing w:before="240" w:line="240" w:lineRule="auto" w:after="120"/>
        <w:rPr>
          <w:rFonts w:ascii="Times New Roman" w:eastAsia="Times New Roman" w:hAnsi="Times New Roman" w:cs="Times New Roman"/>
          <w:b/>
          <w:bCs/>
          <w:sz w:val="24"/>
          <w:szCs w:val="24"/>
        </w:rPr>
        <w:jc w:val="left"/>
      </w:pPr>
      <w:r>
        <w:rPr>
          <w:rFonts w:ascii="Times New Roman" w:hAnsi="Times New Roman" w:cs="Times New Roman"/>
          <w:sz w:val="24"/>
          <w:szCs w:val="24"/>
          <w:b/>
          <w:bCs/>
        </w:rPr>
        <w:t>3. Methods</w:t>
      </w:r>
    </w:p>
    <w:p w14:paraId="7F4572BA" w14:textId="3223A5E4"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3.1 Study Design and Data Governance</w:t>
      </w:r>
    </w:p>
    <w:p w14:paraId="690ACF16" w14:textId="14466D7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Figure 1 summarizes a five-pillar reliability audit in which point-in-time market-data governance supports numerical denoising, multimodal news, regime-aware explanation and later robustness tests. The numerical stream spans the full historical period; news enters only on dates with defensible out-of-sample sentiment estimates; and causal regime labels and train-only explanation rankings act only on the numerical feature pool. The corrected numerical ablation is the primary architecture-paired experiment. Multimodal negative controls are frozen retrospective falsification tests, the integrated regime-news and explanation analyses are post-hoc robustness evidence, the partial-2026 module is source-contingent forward evidence and SET100 is a frozen same-exchange transfer audit rather than independent-market replication.</w:t>
      </w:r>
    </w:p>
    <w:p w14:paraId="5164A23B" w14:textId="03C310E5" w:rsidR="00916F49" w:rsidRPr="00916F49" w:rsidRDefault="009A018C" w:rsidP="009960B6">
      <w:pPr>
        <w:keepNext/>
        <w:spacing w:before="120" w:after="60" w:line="240" w:lineRule="auto"/>
        <w:jc w:val="center"/>
        <w:rPr>
          <w:rFonts w:ascii="Times New Roman" w:hAnsi="Times New Roman"/>
          <w:bCs/>
          <w:sz w:val="24"/>
          <w:szCs w:val="24"/>
        </w:rPr>
      </w:pPr>
      <w:r>
        <w:rPr>
          <w:rFonts w:ascii="Times New Roman" w:hAnsi="Times New Roman"/>
          <w:bCs/>
          <w:noProof/>
          <w:sz w:val="24"/>
          <w:szCs w:val="24"/>
        </w:rPr>
        <w:lastRenderedPageBreak/>
        <w:drawing>
          <wp:inline distT="0" distB="0" distL="0" distR="0" wp14:anchorId="39AB9A2E" wp14:editId="46A44D20">
            <wp:extent cx="4728794" cy="3278928"/>
            <wp:effectExtent l="0" t="0" r="0" b="0"/>
            <wp:docPr id="355499331" name="Figure 1" title="Figure 1" descr="Five-pillar point-in-time reliability-audit pipeline for SET50 foreca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5055" cy="3283270"/>
                    </a:xfrm>
                    <a:prstGeom prst="rect">
                      <a:avLst/>
                    </a:prstGeom>
                    <a:noFill/>
                    <a:ln>
                      <a:noFill/>
                    </a:ln>
                  </pic:spPr>
                </pic:pic>
              </a:graphicData>
            </a:graphic>
          </wp:inline>
        </w:drawing>
      </w:r>
    </w:p>
    <w:p w14:paraId="78400C80" w14:textId="792A804A" w:rsidR="00916F49" w:rsidRPr="00916F49" w:rsidRDefault="00916F49" w:rsidP="009960B6">
      <w:pPr>
        <w:pStyle w:val="Caption"/>
        <w:keepLines/>
        <w:spacing w:before="60" w:after="120" w:line="240" w:lineRule="auto"/>
        <w:jc w:val="center"/>
        <w:rPr>
          <w:rFonts w:ascii="Times New Roman" w:hAnsi="Times New Roman"/>
          <w:bCs/>
          <w:sz w:val="24"/>
          <w:szCs w:val="24"/>
        </w:rPr>
      </w:pPr>
      <w:r>
        <w:rPr>
          <w:rFonts w:ascii="Times New Roman" w:hAnsi="Times New Roman" w:cs="Times New Roman"/>
          <w:sz w:val="20"/>
          <w:szCs w:val="20"/>
          <w:b/>
          <w:bCs/>
        </w:rPr>
        <w:t>Figure 1.</w:t>
      </w:r>
      <w:r>
        <w:rPr>
          <w:rFonts w:ascii="Times New Roman" w:hAnsi="Times New Roman" w:cs="Times New Roman"/>
          <w:sz w:val="20"/>
          <w:szCs w:val="20"/>
        </w:rPr>
        <w:t xml:space="preserve"> Five-pillar reliability-audit pipeline. Market-data governance and point-in-time reconstruction support the causal VMD, out-of-sample Local-NLP forecasting and intrinsic Bull/Bear/Leader evaluation, causal Bull/Sideway/Bear routing with train-only SHAP, partial-2026 and frozen SET100 modules. Solid arrows denote data or forecasting flow; evaluation-only links are shown separately.</w:t>
      </w:r>
    </w:p>
    <w:p w14:paraId="7EDD7C84" w14:textId="08948C07"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Daily, weekly and monthly SET50 and SET100 price-index observations were manually downloaded from the publicly accessible Investing.com historical-data pages </w:t>
      </w:r>
      <w:r w:rsidR="00EE13EB">
        <w:rPr>
          <w:rFonts w:ascii="Times New Roman" w:hAnsi="Times New Roman"/>
          <w:b/>
          <w:bCs/>
          <w:sz w:val="24"/>
          <w:szCs w:val="24"/>
        </w:rPr>
        <w:fldChar w:fldCharType="begin"/>
      </w:r>
      <w:r w:rsidR="00EE13EB">
        <w:rPr>
          <w:rFonts w:ascii="Times New Roman" w:hAnsi="Times New Roman"/>
          <w:b/>
          <w:bCs/>
          <w:sz w:val="24"/>
          <w:szCs w:val="24"/>
        </w:rPr>
        <w:instrText xml:space="preserve"> ADDIN ZOTERO_ITEM CSL_CITATION {"citationID":"fMXRcjUw","properties":{"unsorted":false,"formattedCitation":"(Investing.com, n.d.-a, n.d.-b)","plainCitation":"(Investing.com, n.d.-a, n.d.-b)","noteIndex":0},"citationItems":[{"id":27,"uris":["http://zotero.org/users/local/DPQnJvcs/items/A35S5ZEG"],"itemData":{"id":27,"type":"document","note":"Published: Historical-data webpage","title":"SET 50 Historical Data","URL":"https://th.investing.com/indices/set-50-historical-data","author":[{"literal":"Investing.com"}]}},{"id":29,"uris":["http://zotero.org/users/local/DPQnJvcs/items/WCWFTBUM"],"itemData":{"id":29,"type":"document","note":"Published: Historical-data webpage","title":"SET 100 Historical Data","URL":"https://www.investing.com/indices/set-100-historical-data","author":[{"literal":"Investing.com"}]}}],"schema":"https://github.com/citation-style-language/schema/raw/master/csl-citation.json"} </w:instrText>
      </w:r>
      <w:r w:rsidR="00EE13EB">
        <w:rPr>
          <w:rFonts w:ascii="Times New Roman" w:hAnsi="Times New Roman"/>
          <w:b/>
          <w:bCs/>
          <w:sz w:val="24"/>
          <w:szCs w:val="24"/>
        </w:rPr>
        <w:fldChar w:fldCharType="separate"/>
      </w:r>
      <w:r w:rsidR="00EE13EB" w:rsidRPr="00EE13EB">
        <w:rPr>
          <w:rFonts w:ascii="Times New Roman" w:hAnsi="Times New Roman" w:cs="Times New Roman"/>
          <w:sz w:val="24"/>
        </w:rPr>
        <w:t>(Investing.com, n.d.-a, n.d.-b)</w:t>
      </w:r>
      <w:r w:rsidR="00EE13EB">
        <w:rPr>
          <w:rFonts w:ascii="Times New Roman" w:hAnsi="Times New Roman"/>
          <w:b/>
          <w:bCs/>
          <w:sz w:val="24"/>
          <w:szCs w:val="24"/>
        </w:rPr>
        <w:fldChar w:fldCharType="end"/>
      </w:r>
      <w:r w:rsidR="00D0143A" w:rsidRPr="00D0143A">
        <w:rPr>
          <w:rFonts w:ascii="Times New Roman" w:hAnsi="Times New Roman"/>
          <w:bCs/>
          <w:sz w:val="24"/>
          <w:szCs w:val="24"/>
        </w:rPr>
        <w:t xml:space="preserve"> The</w:t>
      </w:r>
      <w:r w:rsidRPr="00916F49">
        <w:rPr>
          <w:rFonts w:ascii="Times New Roman" w:hAnsi="Times New Roman"/>
          <w:bCs/>
          <w:sz w:val="24"/>
          <w:szCs w:val="24"/>
        </w:rPr>
        <w:t xml:space="preserve"> provenance manifest records source URLs, acquisition evidence, file sizes, SHA-256 digests, row counts, date ranges and processing method. Public accessibility is not treated as an open-data license, provider terms continue to </w:t>
      </w:r>
      <w:proofErr w:type="gramStart"/>
      <w:r w:rsidRPr="00916F49">
        <w:rPr>
          <w:rFonts w:ascii="Times New Roman" w:hAnsi="Times New Roman"/>
          <w:bCs/>
          <w:sz w:val="24"/>
          <w:szCs w:val="24"/>
        </w:rPr>
        <w:t>apply</w:t>
      </w:r>
      <w:proofErr w:type="gramEnd"/>
      <w:r w:rsidRPr="00916F49">
        <w:rPr>
          <w:rFonts w:ascii="Times New Roman" w:hAnsi="Times New Roman"/>
          <w:bCs/>
          <w:sz w:val="24"/>
          <w:szCs w:val="24"/>
        </w:rPr>
        <w:t xml:space="preserve"> and raw rows are not redistributed. Date-only observations were interpreted as Stock Exchange of Thailand sessions in Asia/Bangkok, with features available at 17:00 after the normal close. Weekly and monthly bars were shifted by one completed period before forward filling. The study uses provider-published price-index levels and applies no researcher-side split, dividend, constituent, or corporate-action adjustment.</w:t>
      </w:r>
    </w:p>
    <w:p w14:paraId="504D5AE3" w14:textId="77836F55"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Forty of 42 raw-file integrity checks passed. Two OHLC-containment warnings on 11 December 2025, present in both daily index files, were retained and disclosed; no critical check failed. The aligned SET100 cohort contained 3,360 of 3,381 required SET50 reference dates (99.3789%); 21 leading dates were excluded rather than backfilled. After the 60-day indicator warm-up, SET50 </w:t>
      </w:r>
      <w:r w:rsidRPr="00916F49">
        <w:rPr>
          <w:rFonts w:ascii="Times New Roman" w:hAnsi="Times New Roman"/>
          <w:bCs/>
          <w:sz w:val="24"/>
          <w:szCs w:val="24"/>
        </w:rPr>
        <w:lastRenderedPageBreak/>
        <w:t>features begin on 3 May 2012. The four outer SET50 tests end on 18 December 2025 and contain 241, 243, 244 and 234 rows for 2022-2025.</w:t>
      </w:r>
    </w:p>
    <w:p w14:paraId="142E7104" w14:textId="77777777"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3.2 News and Sentiment Data</w:t>
      </w:r>
    </w:p>
    <w:p w14:paraId="2E6211C8" w14:textId="0EAE43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labelled Bilingual </w:t>
      </w:r>
      <w:proofErr w:type="spellStart"/>
      <w:r w:rsidRPr="00916F49">
        <w:rPr>
          <w:rFonts w:ascii="Times New Roman" w:hAnsi="Times New Roman"/>
          <w:bCs/>
          <w:sz w:val="24"/>
          <w:szCs w:val="24"/>
        </w:rPr>
        <w:t>StockTBSA</w:t>
      </w:r>
      <w:proofErr w:type="spellEnd"/>
      <w:r w:rsidRPr="00916F49">
        <w:rPr>
          <w:rFonts w:ascii="Times New Roman" w:hAnsi="Times New Roman"/>
          <w:bCs/>
          <w:sz w:val="24"/>
          <w:szCs w:val="24"/>
        </w:rPr>
        <w:t xml:space="preserve"> snapshot spans 3 January 2018 to 28 December 2023 and contains 10,295 articles, 15,949 article-ticker labels and 12,706 valid positive, neutral, or negative pairs </w:t>
      </w:r>
      <w:r w:rsidR="00FB2C35">
        <w:rPr>
          <w:rFonts w:ascii="Times New Roman" w:hAnsi="Times New Roman"/>
          <w:b/>
          <w:bCs/>
          <w:sz w:val="24"/>
          <w:szCs w:val="24"/>
        </w:rPr>
        <w:fldChar w:fldCharType="begin"/>
      </w:r>
      <w:r w:rsidR="00FB2C35">
        <w:rPr>
          <w:rFonts w:ascii="Times New Roman" w:hAnsi="Times New Roman"/>
          <w:b/>
          <w:bCs/>
          <w:sz w:val="24"/>
          <w:szCs w:val="24"/>
        </w:rPr>
        <w:instrText xml:space="preserve"> ADDIN ZOTERO_ITEM CSL_CITATION {"citationID":"HUhoQqEs","properties":{"unsorted":false,"formattedCitation":"(Uthayopas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FB2C35">
        <w:rPr>
          <w:rFonts w:ascii="Times New Roman" w:hAnsi="Times New Roman"/>
          <w:b/>
          <w:bCs/>
          <w:sz w:val="24"/>
          <w:szCs w:val="24"/>
        </w:rPr>
        <w:fldChar w:fldCharType="separate"/>
      </w:r>
      <w:r w:rsidR="00FB2C35" w:rsidRPr="00FB2C35">
        <w:rPr>
          <w:rFonts w:ascii="Times New Roman" w:hAnsi="Times New Roman" w:cs="Times New Roman"/>
          <w:sz w:val="24"/>
        </w:rPr>
        <w:t>(Uthayopas et al., 2025)</w:t>
      </w:r>
      <w:r w:rsidR="00FB2C35">
        <w:rPr>
          <w:rFonts w:ascii="Times New Roman" w:hAnsi="Times New Roman"/>
          <w:b/>
          <w:bCs/>
          <w:sz w:val="24"/>
          <w:szCs w:val="24"/>
        </w:rPr>
        <w:fldChar w:fldCharType="end"/>
      </w:r>
      <w:r w:rsidR="00D0143A" w:rsidRPr="00D0143A">
        <w:rPr>
          <w:rFonts w:ascii="Times New Roman" w:hAnsi="Times New Roman"/>
          <w:bCs/>
          <w:sz w:val="24"/>
          <w:szCs w:val="24"/>
        </w:rPr>
        <w:t xml:space="preserve"> Exclude</w:t>
      </w:r>
      <w:r w:rsidRPr="00916F49">
        <w:rPr>
          <w:rFonts w:ascii="Times New Roman" w:hAnsi="Times New Roman"/>
          <w:bCs/>
          <w:sz w:val="24"/>
          <w:szCs w:val="24"/>
        </w:rPr>
        <w:t xml:space="preserve">, not-stock and ambiguous labels were not </w:t>
      </w:r>
      <w:r w:rsidR="000B323C" w:rsidRPr="00916F49">
        <w:rPr>
          <w:rFonts w:ascii="Times New Roman" w:hAnsi="Times New Roman"/>
          <w:bCs/>
          <w:sz w:val="24"/>
          <w:szCs w:val="24"/>
        </w:rPr>
        <w:t>relabeled</w:t>
      </w:r>
      <w:r w:rsidRPr="00916F49">
        <w:rPr>
          <w:rFonts w:ascii="Times New Roman" w:hAnsi="Times New Roman"/>
          <w:bCs/>
          <w:sz w:val="24"/>
          <w:szCs w:val="24"/>
        </w:rPr>
        <w:t xml:space="preserve"> as neutral. The locked 2023 intrinsic cohort contains 1,333 pairs from 738 articles: 92 negative, 585 neutral and 656 </w:t>
      </w:r>
      <w:r w:rsidR="000B323C" w:rsidRPr="00916F49">
        <w:rPr>
          <w:rFonts w:ascii="Times New Roman" w:hAnsi="Times New Roman"/>
          <w:bCs/>
          <w:sz w:val="24"/>
          <w:szCs w:val="24"/>
        </w:rPr>
        <w:t>positives</w:t>
      </w:r>
      <w:r w:rsidRPr="00916F49">
        <w:rPr>
          <w:rFonts w:ascii="Times New Roman" w:hAnsi="Times New Roman"/>
          <w:bCs/>
          <w:sz w:val="24"/>
          <w:szCs w:val="24"/>
        </w:rPr>
        <w:t xml:space="preserve">. For 2024-2025, 69,824 deduplicated official SET headlines yielded 4,619 point-in-time article-symbol pairs under six non-overlapping SET50 membership versions, including the March-April 2025 transition. These headlines are </w:t>
      </w:r>
      <w:r w:rsidR="000B323C" w:rsidRPr="00916F49">
        <w:rPr>
          <w:rFonts w:ascii="Times New Roman" w:hAnsi="Times New Roman"/>
          <w:bCs/>
          <w:sz w:val="24"/>
          <w:szCs w:val="24"/>
        </w:rPr>
        <w:t>unlabeled</w:t>
      </w:r>
      <w:r w:rsidRPr="00916F49">
        <w:rPr>
          <w:rFonts w:ascii="Times New Roman" w:hAnsi="Times New Roman"/>
          <w:bCs/>
          <w:sz w:val="24"/>
          <w:szCs w:val="24"/>
        </w:rPr>
        <w:t xml:space="preserve"> and are evaluated only through downstream forecasting. The 2015-2017 corpus lacked comparable ticker and sentiment labels and no defensible free 2012-2014 source was identified; homogeneous news coverage over 2012-2025 is therefore not claimed.</w:t>
      </w:r>
    </w:p>
    <w:p w14:paraId="472CCD3B" w14:textId="1C8C787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operational sentiment model is balanced logistic regression over character TF-IDF features with the target </w:t>
      </w:r>
      <w:proofErr w:type="gramStart"/>
      <w:r w:rsidRPr="00916F49">
        <w:rPr>
          <w:rFonts w:ascii="Times New Roman" w:hAnsi="Times New Roman"/>
          <w:bCs/>
          <w:sz w:val="24"/>
          <w:szCs w:val="24"/>
        </w:rPr>
        <w:t>ticker prepended</w:t>
      </w:r>
      <w:proofErr w:type="gramEnd"/>
      <w:r w:rsidRPr="00916F49">
        <w:rPr>
          <w:rFonts w:ascii="Times New Roman" w:hAnsi="Times New Roman"/>
          <w:bCs/>
          <w:sz w:val="24"/>
          <w:szCs w:val="24"/>
        </w:rPr>
        <w:t xml:space="preserve">. Annual expanding predictions trained on 2018 to predict 2019 and then expanded one year at a time through a 2018-2022 fit predicting 2023. For 2024-2025, the model was fitted once on labelled 2018-2023 data and frozen; pseudo-label retraining and </w:t>
      </w:r>
      <w:proofErr w:type="spellStart"/>
      <w:r w:rsidRPr="00916F49">
        <w:rPr>
          <w:rFonts w:ascii="Times New Roman" w:hAnsi="Times New Roman"/>
          <w:bCs/>
          <w:sz w:val="24"/>
          <w:szCs w:val="24"/>
        </w:rPr>
        <w:t>Optuna</w:t>
      </w:r>
      <w:proofErr w:type="spellEnd"/>
      <w:r w:rsidRPr="00916F49">
        <w:rPr>
          <w:rFonts w:ascii="Times New Roman" w:hAnsi="Times New Roman"/>
          <w:bCs/>
          <w:sz w:val="24"/>
          <w:szCs w:val="24"/>
        </w:rPr>
        <w:t xml:space="preserve"> tuning were not used. Because reliable intraday timestamps were unavailable in the labelled source, each item dated d was assigned conservatively to the first trading session strictly after d. Eight daily variables were constructed: sentiment mean and standard deviation; positive, negative and neutral ratios; article count; ticker-mention count; and news availability. The forecasting cohort begins in 2019, the first year with out-of-sample sentiment predictions.</w:t>
      </w:r>
      <w:r w:rsidR="004A3C24" w:rsidRPr="004A3C24">
        <w:rPr>
          <w:rFonts w:ascii="Times New Roman" w:hAnsi="Times New Roman" w:cs="Times New Roman"/>
          <w:bCs/>
          <w:sz w:val="24"/>
          <w:szCs w:val="24"/>
        </w:rPr>
        <w:t xml:space="preserve"> The complete news-to-session construction is summarized in Figure 2.</w:t>
      </w:r>
    </w:p>
    <w:p w14:paraId="66D9767A" w14:textId="1DAE19B2" w:rsidR="009960B6" w:rsidRPr="0034462D" w:rsidRDefault="0034462D" w:rsidP="0034462D">
      <w:pPr>
        <w:spacing w:line="360" w:lineRule="auto"/>
        <w:jc w:val="both"/>
        <w:rPr>
          <w:rFonts w:ascii="Times New Roman" w:hAnsi="Times New Roman" w:cs="Times New Roman"/>
          <w:color w:val="000000"/>
          <w:sz w:val="24"/>
          <w:cs/>
        </w:rPr>
      </w:pPr>
      <w:r w:rsidRPr="0034462D">
        <w:rPr>
          <w:rFonts w:ascii="Times New Roman" w:hAnsi="Times New Roman" w:cs="Times New Roman"/>
          <w:color w:val="000000"/>
          <w:sz w:val="24"/>
        </w:rPr>
        <w:t xml:space="preserve">For each article-ticker pair, the scalar sentiment score and its session-level aggregation are defined in Eq. (1). Here,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szCs w:val="24"/>
        </w:rPr>
        <w:t xml:space="preserve"> is the set of pairs assigned to session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is its </w:t>
      </w:r>
      <w:proofErr w:type="gramStart"/>
      <w:r w:rsidRPr="0034462D">
        <w:rPr>
          <w:rFonts w:ascii="Times New Roman" w:hAnsi="Times New Roman" w:cs="Times New Roman"/>
          <w:color w:val="000000"/>
          <w:sz w:val="24"/>
        </w:rPr>
        <w:t>size</w:t>
      </w:r>
      <w:proofErr w:type="gramEnd"/>
      <w:r w:rsidRPr="0034462D">
        <w:rPr>
          <w:rFonts w:ascii="Times New Roman" w:hAnsi="Times New Roman" w:cs="Times New Roman"/>
          <w:color w:val="000000"/>
          <w:sz w:val="24"/>
          <w:szCs w:val="24"/>
        </w:rPr>
        <w:t xml:space="preserve"> and </w:t>
      </w:r>
      <w:r w:rsidRPr="0034462D">
        <w:rPr>
          <w:rFonts w:ascii="Times New Roman" w:hAnsi="Times New Roman" w:cs="Times New Roman"/>
          <w:color w:val="000000"/>
          <w:sz w:val="24"/>
          <w:szCs w:val="24"/>
          <w:i/>
          <w:iCs/>
        </w:rPr>
        <w:t>c</w:t>
      </w:r>
      <w:r w:rsidRPr="0034462D">
        <w:rPr>
          <w:rFonts w:ascii="Times New Roman" w:hAnsi="Times New Roman" w:cs="Times New Roman"/>
          <w:color w:val="000000"/>
          <w:sz w:val="24"/>
          <w:szCs w:val="24"/>
        </w:rPr>
        <w:t xml:space="preserve"> denotes the positive, neutral, or negative class. Article count, ticker-mention count and news availability follow directly from </w:t>
      </w:r>
      <w:proofErr w:type="spellStart"/>
      <w:r w:rsidRPr="0034462D">
        <w:rPr>
          <w:rFonts w:ascii="Times New Roman" w:hAnsi="Times New Roman" w:cs="Times New Roman"/>
          <w:color w:val="000000"/>
          <w:sz w:val="24"/>
          <w:szCs w:val="24"/>
          <w:i/>
          <w:iCs/>
        </w:rPr>
        <w:t>N</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This signed target-based construction is consistent with the labelled financial-sentiment task used to train the local classifier </w:t>
      </w:r>
      <w:r>
        <w:rPr>
          <w:rFonts w:ascii="Times New Roman" w:hAnsi="Times New Roman"/>
          <w:b/>
          <w:bCs/>
          <w:sz w:val="24"/>
          <w:szCs w:val="24"/>
        </w:rPr>
        <w:fldChar w:fldCharType="begin"/>
      </w:r>
      <w:r>
        <w:rPr>
          <w:rFonts w:ascii="Times New Roman" w:hAnsi="Times New Roman"/>
          <w:b/>
          <w:bCs/>
          <w:sz w:val="24"/>
          <w:szCs w:val="24"/>
        </w:rPr>
        <w:instrText xml:space="preserve"> ADDIN ZOTERO_ITEM CSL_CITATION {"citationID":"412c920a","properties":{"unsorted":false,"formattedCitation":"(Uthayopas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Pr>
          <w:rFonts w:ascii="Times New Roman" w:hAnsi="Times New Roman"/>
          <w:b/>
          <w:bCs/>
          <w:sz w:val="24"/>
          <w:szCs w:val="24"/>
        </w:rPr>
        <w:fldChar w:fldCharType="separate"/>
      </w:r>
      <w:r w:rsidRPr="0034462D">
        <w:rPr>
          <w:rFonts w:ascii="Times New Roman" w:hAnsi="Times New Roman" w:cs="Times New Roman"/>
          <w:sz w:val="24"/>
        </w:rPr>
        <w:t>(Uthayopas et al., 2025)</w:t>
      </w:r>
      <w:r>
        <w:rPr>
          <w:rFonts w:ascii="Times New Roman" w:hAnsi="Times New Roman"/>
          <w:b/>
          <w:bCs/>
          <w:sz w:val="24"/>
          <w:szCs w:val="24"/>
        </w:rPr>
        <w:fldChar w:fldCharType="end"/>
      </w:r>
    </w:p>
    <w:p w14:paraId="28D99ECE" w14:textId="5A12DAB2"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21"/>
          <w:cs/>
        </w:rPr>
      </w:pPr>
      <w:r w:rsidRPr="009960B6">
        <w:rPr>
          <w:rFonts w:ascii="Times New Roman" w:hAnsi="Times New Roman" w:cs="Times New Roman"/>
          <w:sz w:val="21"/>
          <w:cs/>
        </w:rPr>
        <w:lastRenderedPageBreak/>
        <w:tab/>
      </w:r>
      <m:oMath>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m:t>
        </m:r>
        <m:sSubSup>
          <m:sSubSupPr>
            <m:ctrlPr>
              <w:rPr>
                <w:rFonts w:ascii="Cambria Math" w:hAnsi="Cambria Math" w:cs="Times New Roman"/>
                <w:i/>
                <w:sz w:val="21"/>
              </w:rPr>
            </m:ctrlPr>
          </m:sSubSupPr>
          <m:e>
            <m:r>
              <w:rPr>
                <w:rFonts w:ascii="Cambria Math" w:hAnsi="Cambria Math" w:cs="Times New Roman"/>
                <w:sz w:val="21"/>
              </w:rPr>
              <m:t>p</m:t>
            </m:r>
          </m:e>
          <m:sub>
            <m:r>
              <w:rPr>
                <w:rFonts w:ascii="Cambria Math" w:hAnsi="Cambria Math" w:cs="Times New Roman"/>
                <w:sz w:val="21"/>
              </w:rPr>
              <m:t>i</m:t>
            </m:r>
          </m:sub>
          <m:sup>
            <m:r>
              <w:rPr>
                <w:rFonts w:ascii="Cambria Math" w:hAnsi="Cambria Math" w:cs="Times New Roman"/>
                <w:sz w:val="21"/>
              </w:rPr>
              <m:t>-</m:t>
            </m:r>
          </m:sup>
        </m:sSubSup>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μ</m:t>
            </m:r>
          </m:e>
          <m:sub>
            <m:r>
              <w:rPr>
                <w:rFonts w:ascii="Cambria Math" w:hAnsi="Cambria Math" w:cs="Times New Roman"/>
                <w:sz w:val="21"/>
              </w:rPr>
              <m:t>s,t</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sSub>
                  <m:sSubPr>
                    <m:ctrlPr>
                      <w:rPr>
                        <w:rFonts w:ascii="Cambria Math" w:hAnsi="Cambria Math" w:cs="Times New Roman"/>
                        <w:i/>
                        <w:sz w:val="21"/>
                      </w:rPr>
                    </m:ctrlPr>
                  </m:sSubPr>
                  <m:e>
                    <m:r>
                      <w:rPr>
                        <w:rFonts w:ascii="Cambria Math" w:hAnsi="Cambria Math" w:cs="Times New Roman"/>
                        <w:sz w:val="21"/>
                      </w:rPr>
                      <m:t>s</m:t>
                    </m:r>
                  </m:e>
                  <m:sub>
                    <m:r>
                      <w:rPr>
                        <w:rFonts w:ascii="Cambria Math" w:hAnsi="Cambria Math" w:cs="Times New Roman"/>
                        <w:sz w:val="21"/>
                      </w:rPr>
                      <m:t>i</m:t>
                    </m:r>
                  </m:sub>
                </m:sSub>
              </m:sub>
              <m:sup/>
              <m:e/>
            </m:nary>
          </m:den>
        </m:f>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q</m:t>
            </m:r>
          </m:e>
          <m:sub>
            <m:r>
              <w:rPr>
                <w:rFonts w:ascii="Cambria Math" w:hAnsi="Cambria Math" w:cs="Times New Roman"/>
                <w:sz w:val="21"/>
              </w:rPr>
              <m:t>t,c</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cs/>
              </w:rPr>
              <m:t>1</m:t>
            </m:r>
          </m:num>
          <m:den>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i</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sz w:val="21"/>
                          </w:rPr>
                          <m:t>N</m:t>
                        </m:r>
                      </m:e>
                      <m:sub>
                        <m:r>
                          <w:rPr>
                            <w:rFonts w:ascii="Cambria Math" w:hAnsi="Cambria Math" w:cs="Times New Roman"/>
                            <w:sz w:val="21"/>
                          </w:rPr>
                          <m:t>t</m:t>
                        </m:r>
                      </m:sub>
                    </m:sSub>
                  </m:e>
                </m:d>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i</m:t>
                        </m:r>
                      </m:sub>
                    </m:sSub>
                    <m:r>
                      <w:rPr>
                        <w:rFonts w:ascii="Cambria Math" w:hAnsi="Cambria Math" w:cs="Times New Roman"/>
                        <w:sz w:val="21"/>
                      </w:rPr>
                      <m:t>=c</m:t>
                    </m:r>
                  </m:e>
                </m:d>
              </m:sub>
              <m:sup/>
              <m:e/>
            </m:nary>
          </m:den>
        </m:f>
      </m:oMath>
      <w:r w:rsidRPr="009960B6">
        <w:rPr>
          <w:rFonts w:ascii="Times New Roman" w:hAnsi="Times New Roman" w:cs="Times New Roman"/>
          <w:sz w:val="21"/>
        </w:rPr>
        <w:tab/>
      </w:r>
      <w:r w:rsidR="0034462D">
        <w:rPr>
          <w:rFonts w:ascii="Times New Roman" w:hAnsi="Times New Roman" w:cs="Times New Roman"/>
          <w:sz w:val="21"/>
        </w:rPr>
        <w:t>(1)</w:t>
      </w:r>
    </w:p>
    <w:p w14:paraId="119CA8E3" w14:textId="2070F7A8" w:rsidR="004A3C24" w:rsidRPr="0000017E" w:rsidRDefault="0000017E" w:rsidP="009960B6">
      <w:pPr>
        <w:keepNext/>
        <w:spacing w:before="120" w:after="60" w:line="240" w:lineRule="auto"/>
        <w:jc w:val="center"/>
        <w:rPr>
          <w:rFonts w:ascii="Times New Roman" w:hAnsi="Times New Roman" w:cs="Times New Roman"/>
          <w:b/>
          <w:bCs/>
          <w:sz w:val="24"/>
          <w:szCs w:val="24"/>
        </w:rPr>
      </w:pPr>
      <w:r w:rsidRPr="0000017E">
        <w:rPr>
          <w:rFonts w:ascii="Times New Roman" w:hAnsi="Times New Roman" w:cs="Times New Roman"/>
          <w:b/>
          <w:bCs/>
          <w:noProof/>
          <w:sz w:val="24"/>
          <w:szCs w:val="24"/>
        </w:rPr>
        <w:drawing>
          <wp:inline distT="0" distB="0" distL="0" distR="0" wp14:anchorId="0C444ABA" wp14:editId="10A79B02">
            <wp:extent cx="4273498" cy="2548467"/>
            <wp:effectExtent l="0" t="0" r="0" b="4445"/>
            <wp:docPr id="1399279416" name="Figure 2" title="Figure 2" descr="Point-in-time financial-news normalization, filtering, sentiment prediction and session 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99747" cy="2564120"/>
                    </a:xfrm>
                    <a:prstGeom prst="rect">
                      <a:avLst/>
                    </a:prstGeom>
                    <a:noFill/>
                    <a:ln>
                      <a:noFill/>
                    </a:ln>
                  </pic:spPr>
                </pic:pic>
              </a:graphicData>
            </a:graphic>
          </wp:inline>
        </w:drawing>
      </w:r>
    </w:p>
    <w:p w14:paraId="79D440B8" w14:textId="77777777"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2.</w:t>
      </w:r>
      <w:r>
        <w:rPr>
          <w:rFonts w:ascii="Times New Roman" w:hAnsi="Times New Roman" w:cs="Times New Roman"/>
          <w:sz w:val="20"/>
          <w:szCs w:val="20"/>
        </w:rPr>
        <w:t xml:space="preserve"> Point-in-time financial-news and sentiment construction. Dated StockTBSA labels from 2018-2023 and forward news from 2024-2025 are normalized, filtered for SET50 relevance and processed using only previously observed labels. Predicted sentiment is mapped from publication time to the next tradable session before daily aggregation.</w:t>
      </w:r>
    </w:p>
    <w:p w14:paraId="0D237FD2" w14:textId="3E165554"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3.3 Point-in-Time Evaluation</w:t>
      </w:r>
    </w:p>
    <w:p w14:paraId="03C0466B" w14:textId="4B63747A" w:rsidR="00916F49"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For feature date </w:t>
      </w:r>
      <w:r w:rsidRPr="0034462D">
        <w:rPr>
          <w:rFonts w:ascii="Times New Roman" w:hAnsi="Times New Roman" w:cs="Times New Roman"/>
          <w:bCs/>
          <w:color w:val="000000"/>
          <w:sz w:val="24"/>
          <w:szCs w:val="24"/>
          <w:i/>
          <w:iCs/>
        </w:rPr>
        <w:t>t</w:t>
      </w:r>
      <w:r w:rsidRPr="0034462D">
        <w:rPr>
          <w:rFonts w:ascii="Times New Roman" w:hAnsi="Times New Roman" w:cs="Times New Roman"/>
          <w:bCs/>
          <w:color w:val="000000"/>
          <w:sz w:val="24"/>
          <w:szCs w:val="24"/>
        </w:rPr>
        <w:t xml:space="preserve">, market variables use only information available through the close at </w:t>
      </w:r>
      <w:r w:rsidRPr="0034462D">
        <w:rPr>
          <w:rFonts w:ascii="Times New Roman" w:hAnsi="Times New Roman" w:cs="Times New Roman"/>
          <w:bCs/>
          <w:color w:val="000000"/>
          <w:sz w:val="24"/>
          <w:szCs w:val="24"/>
          <w:i/>
          <w:iCs/>
        </w:rPr>
        <w:t>t</w:t>
      </w:r>
      <w:r w:rsidRPr="0034462D">
        <w:rPr>
          <w:rFonts w:ascii="Times New Roman" w:hAnsi="Times New Roman" w:cs="Times New Roman"/>
          <w:bCs/>
          <w:color w:val="000000"/>
          <w:sz w:val="24"/>
          <w:szCs w:val="24"/>
        </w:rPr>
        <w:t xml:space="preserve">. The point-in-time regression target and the realized and predicted directions are defined in Eq. (2), following established next-period financial direction-classification formulations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{"citationID":"39228123","properties":{"unsorted":false,"formattedCitation":"(Fischer \u0026 Krauss, 2018; Hoseinzade \u0026 Haratizadeh, 2019)","plainCitation":"(Fischer \u0026 Krauss, 2018; Hoseinzade \u0026 Haratizadeh, 2019)","noteIndex":0},"citationItems":[{"id":4,"uris":["http://zotero.org/users/local/DPQnJvcs/items/AGMKWFCU"],"itemData":{"id":4,"type":"article-journal","container-title":"European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(Fischer &amp; Krauss, 2018; Hoseinzade &amp; Haratizadeh, 2019)</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Each row records both its feature Date and the next-session </w:t>
      </w:r>
      <w:proofErr w:type="spellStart"/>
      <w:r w:rsidRPr="0034462D">
        <w:rPr>
          <w:rFonts w:ascii="Times New Roman" w:hAnsi="Times New Roman" w:cs="Times New Roman"/>
          <w:bCs/>
          <w:color w:val="000000"/>
          <w:sz w:val="24"/>
          <w:szCs w:val="24"/>
        </w:rPr>
        <w:t>LabelDate</w:t>
      </w:r>
      <w:proofErr w:type="spellEnd"/>
      <w:r w:rsidRPr="0034462D">
        <w:rPr>
          <w:rFonts w:ascii="Times New Roman" w:hAnsi="Times New Roman" w:cs="Times New Roman"/>
          <w:bCs/>
          <w:color w:val="000000"/>
          <w:sz w:val="24"/>
          <w:szCs w:val="24"/>
        </w:rPr>
        <w:t xml:space="preserve"> on which </w:t>
      </w:r>
      <w:r w:rsidRPr="0034462D">
        <w:rPr>
          <w:rFonts w:ascii="Times New Roman" w:hAnsi="Times New Roman" w:cs="Times New Roman"/>
          <w:bCs/>
          <w:color w:val="000000"/>
          <w:sz w:val="24"/>
          <w:szCs w:val="24"/>
          <w:i/>
          <w:iCs/>
        </w:rPr>
        <w:t>C</w:t>
      </w:r>
      <w:r w:rsidRPr="0034462D">
        <w:rPr>
          <w:rFonts w:ascii="Times New Roman" w:hAnsi="Times New Roman" w:cs="Times New Roman"/>
          <w:bCs/>
          <w:color w:val="000000"/>
          <w:sz w:val="24"/>
          <w:szCs w:val="24"/>
          <w:i/>
          <w:iCs/>
          <w:vertAlign w:val="subscript"/>
        </w:rPr>
        <w:t>t</w:t>
      </w:r>
      <w:r w:rsidRPr="0034462D">
        <w:rPr>
          <w:rFonts w:ascii="Times New Roman" w:hAnsi="Times New Roman" w:cs="Times New Roman"/>
          <w:bCs/>
          <w:color w:val="000000"/>
          <w:sz w:val="24"/>
          <w:szCs w:val="24"/>
          <w:vertAlign w:val="subscript"/>
        </w:rPr>
        <w:t>+1</w:t>
      </w:r>
      <w:r w:rsidRPr="0034462D">
        <w:rPr>
          <w:rFonts w:ascii="Times New Roman" w:hAnsi="Times New Roman" w:cs="Times New Roman"/>
          <w:bCs/>
          <w:color w:val="000000"/>
          <w:sz w:val="24"/>
          <w:szCs w:val="24"/>
        </w:rPr>
        <w:t xml:space="preserve"> becomes observable. At every boundary, a supervised training row is retained only when </w:t>
      </w:r>
      <w:proofErr w:type="spellStart"/>
      <w:r w:rsidRPr="0034462D">
        <w:rPr>
          <w:rFonts w:ascii="Times New Roman" w:hAnsi="Times New Roman" w:cs="Times New Roman"/>
          <w:bCs/>
          <w:color w:val="000000"/>
          <w:sz w:val="24"/>
          <w:szCs w:val="24"/>
        </w:rPr>
        <w:t>LabelDate</w:t>
      </w:r>
      <w:r w:rsidRPr="0034462D">
        <w:rPr>
          <w:rFonts w:ascii="Times New Roman" w:hAnsi="Times New Roman" w:cs="Times New Roman"/>
          <w:bCs/>
          <w:color w:val="000000"/>
          <w:sz w:val="24"/>
          <w:szCs w:val="24"/>
          <w:i/>
          <w:iCs/>
          <w:vertAlign w:val="subscript"/>
        </w:rPr>
        <w:t>t</w:t>
      </w:r>
      <w:proofErr w:type="spellEnd"/>
      <w:r w:rsidRPr="0034462D">
        <w:rPr>
          <w:rFonts w:ascii="Times New Roman" w:hAnsi="Times New Roman" w:cs="Times New Roman"/>
          <w:bCs/>
          <w:color w:val="000000"/>
          <w:sz w:val="24"/>
          <w:szCs w:val="24"/>
        </w:rPr>
        <w:t xml:space="preserve"> is earlier than the first Date in the evaluation split. The final pre-evaluation row may supply sequence context, but it is excluded from fitting and scaler estimation, transformed with the training-fitted scaler and never contributes a target. Zero-return observations remain available to price regression but are excluded from binary metrics; a predicted exact-zero move is treated as an abstention and coverage is reported.</w:t>
      </w:r>
    </w:p>
    <w:p w14:paraId="0DD9320A" w14:textId="24D088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 xml:space="preserve">, </m:t>
        </m:r>
        <m:sSub>
          <m:sSubPr>
            <m:ctrlPr>
              <w:rPr>
                <w:rFonts w:ascii="Cambria Math" w:hAnsi="Cambria Math" w:cs="Times New Roman"/>
                <w:i/>
                <w:sz w:val="21"/>
              </w:rPr>
            </m:ctrlPr>
          </m:sSubPr>
          <m:e>
            <m:r>
              <w:rPr>
                <w:rFonts w:ascii="Cambria Math" w:hAnsi="Cambria Math" w:cs="Times New Roman"/>
                <w:sz w:val="21"/>
              </w:rPr>
              <m:t>d</m:t>
            </m:r>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r>
          <w:rPr>
            <w:rFonts w:ascii="Cambria Math" w:hAnsi="Cambria Math" w:cs="Times New Roman"/>
            <w:sz w:val="21"/>
          </w:rPr>
          <m:t xml:space="preserve">, </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d</m:t>
                </m:r>
              </m:e>
            </m:acc>
          </m:e>
          <m:sub>
            <m:r>
              <w:rPr>
                <w:rFonts w:ascii="Cambria Math" w:hAnsi="Cambria Math" w:cs="Times New Roman"/>
                <w:sz w:val="21"/>
              </w:rPr>
              <m:t>t</m:t>
            </m:r>
          </m:sub>
        </m:sSub>
        <m:r>
          <w:rPr>
            <w:rFonts w:ascii="Cambria Math" w:hAnsi="Cambria Math" w:cs="Times New Roman"/>
            <w:sz w:val="21"/>
          </w:rPr>
          <m:t>=I</m:t>
        </m:r>
        <m:d>
          <m:dPr>
            <m:ctrlPr>
              <w:rPr>
                <w:rFonts w:ascii="Cambria Math" w:hAnsi="Cambria Math" w:cs="Times New Roman"/>
                <w:i/>
                <w:sz w:val="21"/>
              </w:rPr>
            </m:ctrlPr>
          </m:dPr>
          <m:e>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t+1</m:t>
                </m:r>
              </m:sub>
            </m:sSub>
            <m:r>
              <w:rPr>
                <w:rFonts w:ascii="Cambria Math" w:hAnsi="Cambria Math" w:cs="Times New Roman"/>
                <w:sz w:val="21"/>
              </w:rPr>
              <m:t>&gt;</m:t>
            </m:r>
            <m:sSub>
              <m:sSubPr>
                <m:ctrlPr>
                  <w:rPr>
                    <w:rFonts w:ascii="Cambria Math" w:hAnsi="Cambria Math" w:cs="Times New Roman"/>
                    <w:i/>
                    <w:sz w:val="21"/>
                  </w:rPr>
                </m:ctrlPr>
              </m:sSubPr>
              <m:e>
                <m:r>
                  <w:rPr>
                    <w:rFonts w:ascii="Cambria Math" w:hAnsi="Cambria Math" w:cs="Times New Roman"/>
                    <w:sz w:val="21"/>
                  </w:rPr>
                  <m:t>C</m:t>
                </m:r>
              </m:e>
              <m:sub>
                <m:r>
                  <w:rPr>
                    <w:rFonts w:ascii="Cambria Math" w:hAnsi="Cambria Math" w:cs="Times New Roman"/>
                    <w:sz w:val="21"/>
                  </w:rPr>
                  <m:t>t</m:t>
                </m:r>
              </m:sub>
            </m:sSub>
          </m:e>
        </m:d>
      </m:oMath>
      <w:r w:rsidRPr="009960B6">
        <w:rPr>
          <w:rFonts w:ascii="Times New Roman" w:hAnsi="Times New Roman" w:cs="Times New Roman"/>
          <w:sz w:val="21"/>
        </w:rPr>
        <w:tab/>
      </w:r>
      <w:r w:rsidR="0034462D">
        <w:rPr>
          <w:rFonts w:ascii="Times New Roman" w:hAnsi="Times New Roman" w:cs="Times New Roman"/>
          <w:sz w:val="21"/>
        </w:rPr>
        <w:t>(2)</w:t>
      </w:r>
    </w:p>
    <w:p w14:paraId="6DB0FF4E" w14:textId="1FD3726B"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Candidate sequence lengths were 1, 3, 5, 10 and 20 trading days. Expanding validation folds trained on 2012-2017, 2012-2018, 2012-2019 and 2012-2020 and validated on 2018-2021. Selection prioritized balanced accuracy, followed by direction accuracy, RMSE and the shorter-window </w:t>
      </w:r>
      <w:r w:rsidR="006F442C" w:rsidRPr="00916F49">
        <w:rPr>
          <w:rFonts w:ascii="Times New Roman" w:hAnsi="Times New Roman"/>
          <w:bCs/>
          <w:sz w:val="24"/>
          <w:szCs w:val="24"/>
        </w:rPr>
        <w:t>tiebreaker</w:t>
      </w:r>
      <w:r w:rsidRPr="00916F49">
        <w:rPr>
          <w:rFonts w:ascii="Times New Roman" w:hAnsi="Times New Roman"/>
          <w:bCs/>
          <w:sz w:val="24"/>
          <w:szCs w:val="24"/>
        </w:rPr>
        <w:t xml:space="preserve"> and was symmetric across Full-TA and Full-TA+VMD. Frozen windows were </w:t>
      </w:r>
      <w:r w:rsidRPr="00916F49">
        <w:rPr>
          <w:rFonts w:ascii="Times New Roman" w:hAnsi="Times New Roman"/>
          <w:bCs/>
          <w:sz w:val="24"/>
          <w:szCs w:val="24"/>
        </w:rPr>
        <w:lastRenderedPageBreak/>
        <w:t xml:space="preserve">5 days for LSTM, 20 for CNN, 20 for LSTM-CNN, 10 for LSTM-Attention and 20 for LSTM-CNN-Attention. Outer folds trained through 2021, 2022, 2023 and 2024 and tested 2022, 2023, 2024 and 2025 using seeds 42, 123, 456, 789 and 2025. All dates </w:t>
      </w:r>
      <w:proofErr w:type="gramStart"/>
      <w:r w:rsidRPr="00916F49">
        <w:rPr>
          <w:rFonts w:ascii="Times New Roman" w:hAnsi="Times New Roman"/>
          <w:bCs/>
          <w:sz w:val="24"/>
          <w:szCs w:val="24"/>
        </w:rPr>
        <w:t>use</w:t>
      </w:r>
      <w:proofErr w:type="gramEnd"/>
      <w:r w:rsidRPr="00916F49">
        <w:rPr>
          <w:rFonts w:ascii="Times New Roman" w:hAnsi="Times New Roman"/>
          <w:bCs/>
          <w:sz w:val="24"/>
          <w:szCs w:val="24"/>
        </w:rPr>
        <w:t xml:space="preserve"> Asia/Bangkok and the 17:00 information cutoff.</w:t>
      </w:r>
      <w:r w:rsidR="004A3C24" w:rsidRPr="004A3C24">
        <w:rPr>
          <w:rFonts w:ascii="Times New Roman" w:hAnsi="Times New Roman" w:cs="Times New Roman"/>
          <w:bCs/>
          <w:sz w:val="24"/>
          <w:szCs w:val="24"/>
        </w:rPr>
        <w:t xml:space="preserve"> Figure 3 illustrates the point-in-time label boundary and expanding outer folds, while Table 1 summarizes the frozen model windows and common evaluation settings.</w:t>
      </w:r>
    </w:p>
    <w:p w14:paraId="0CB55D5E" w14:textId="03B87EC2"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6F930E7C" wp14:editId="479A9735">
            <wp:extent cx="4902200" cy="3085260"/>
            <wp:effectExtent l="0" t="0" r="0" b="1270"/>
            <wp:docPr id="1124098807" name="Figure 3" title="Figure 3" descr="Expanding-window evaluation with purged next-day labels and held-out outer test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3125" cy="3092136"/>
                    </a:xfrm>
                    <a:prstGeom prst="rect">
                      <a:avLst/>
                    </a:prstGeom>
                    <a:noFill/>
                    <a:ln>
                      <a:noFill/>
                    </a:ln>
                  </pic:spPr>
                </pic:pic>
              </a:graphicData>
            </a:graphic>
          </wp:inline>
        </w:drawing>
      </w:r>
    </w:p>
    <w:p w14:paraId="1FF147D8" w14:textId="2A9384C0"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3.</w:t>
      </w:r>
      <w:r>
        <w:rPr>
          <w:rFonts w:ascii="Times New Roman" w:hAnsi="Times New Roman" w:cs="Times New Roman"/>
          <w:sz w:val="20"/>
          <w:szCs w:val="20"/>
        </w:rPr>
        <w:t xml:space="preserve"> Point-in-time target contract and expanding window evaluation. Features known by the close of day t predict the direction of day t+1, whose label is observed only after t+1. Training data expand through time, while 2022, 2023, 2024 and 2025 remain separate held-out outer years. All transforms are fitted on training data only.</w:t>
      </w:r>
    </w:p>
    <w:p w14:paraId="6340A211" w14:textId="77777777" w:rsidR="004A3C24" w:rsidRPr="004A3C24" w:rsidRDefault="004A3C24" w:rsidP="009960B6">
      <w:pPr>
        <w:pStyle w:val="Caption"/>
        <w:keepNext/>
        <w:keepLines/>
        <w:spacing w:before="60" w:after="120" w:line="240" w:lineRule="auto"/>
        <w:rPr>
          <w:rFonts w:ascii="Times New Roman" w:hAnsi="Times New Roman" w:cs="Times New Roman"/>
          <w:bCs/>
          <w:sz w:val="24"/>
          <w:szCs w:val="24"/>
        </w:rPr>
      </w:pPr>
      <w:r>
        <w:rPr>
          <w:rFonts w:ascii="Times New Roman" w:hAnsi="Times New Roman" w:cs="Times New Roman"/>
          <w:sz w:val="20"/>
          <w:szCs w:val="20"/>
          <w:b/>
          <w:bCs/>
        </w:rPr>
        <w:t>Table 1.</w:t>
      </w:r>
      <w:r>
        <w:rPr>
          <w:rFonts w:ascii="Times New Roman" w:hAnsi="Times New Roman" w:cs="Times New Roman"/>
          <w:sz w:val="20"/>
          <w:szCs w:val="20"/>
        </w:rPr>
        <w:t xml:space="preserve"> Frozen architecture windows and common experimental settings. The table reports the registered sequence window for each architecture, five fixed seeds, expanding outer folds, common SET50 cohort and primary evaluation endpoint.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966"/>
        <w:gridCol w:w="655"/>
        <w:gridCol w:w="1030"/>
        <w:gridCol w:w="749"/>
        <w:gridCol w:w="842"/>
        <w:gridCol w:w="1310"/>
        <w:gridCol w:w="1310"/>
        <w:gridCol w:w="1498"/>
      </w:tblGrid>
      <w:tr w:rsidR="000959B0" w14:paraId="232B1693" w14:textId="77777777" w:rsidTr="000959B0">
        <w:trPr>
          <w:cantSplit/>
          <w:tblHeader/>
        </w:trPr>
        <w:tc>
          <w:tcPr>
            <w:tcW w:w="1966" w:type="dxa"/>
            <w:shd w:val="clear" w:color="auto" w:fill="E6E6E6"/>
            <w:vAlign w:val="center"/>
          </w:tcPr>
          <w:p w14:paraId="4FB46891" w14:textId="2B68CA31"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Architecture</w:t>
            </w:r>
          </w:p>
        </w:tc>
        <w:tc>
          <w:tcPr>
            <w:tcW w:w="655" w:type="dxa"/>
            <w:shd w:val="clear" w:color="auto" w:fill="E6E6E6"/>
            <w:vAlign w:val="center"/>
          </w:tcPr>
          <w:p w14:paraId="571C5206" w14:textId="6E2187F3"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Window</w:t>
            </w:r>
          </w:p>
        </w:tc>
        <w:tc>
          <w:tcPr>
            <w:tcW w:w="1030" w:type="dxa"/>
            <w:shd w:val="clear" w:color="auto" w:fill="E6E6E6"/>
            <w:vAlign w:val="center"/>
          </w:tcPr>
          <w:p w14:paraId="748397BA" w14:textId="1769606D"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Test years</w:t>
            </w:r>
          </w:p>
        </w:tc>
        <w:tc>
          <w:tcPr>
            <w:tcW w:w="749" w:type="dxa"/>
            <w:shd w:val="clear" w:color="auto" w:fill="E6E6E6"/>
            <w:vAlign w:val="center"/>
          </w:tcPr>
          <w:p w14:paraId="7760BBD2" w14:textId="40A505D9"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Outer folds</w:t>
            </w:r>
          </w:p>
        </w:tc>
        <w:tc>
          <w:tcPr>
            <w:tcW w:w="842" w:type="dxa"/>
            <w:shd w:val="clear" w:color="auto" w:fill="E6E6E6"/>
            <w:vAlign w:val="center"/>
          </w:tcPr>
          <w:p w14:paraId="55124DDD" w14:textId="15DE1DEA"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Seeds / fold</w:t>
            </w:r>
          </w:p>
        </w:tc>
        <w:tc>
          <w:tcPr>
            <w:tcW w:w="1310" w:type="dxa"/>
            <w:shd w:val="clear" w:color="auto" w:fill="E6E6E6"/>
            <w:vAlign w:val="center"/>
          </w:tcPr>
          <w:p w14:paraId="3A420AC0" w14:textId="052E69CF"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Features Num. / News</w:t>
            </w:r>
          </w:p>
        </w:tc>
        <w:tc>
          <w:tcPr>
            <w:tcW w:w="1310" w:type="dxa"/>
            <w:shd w:val="clear" w:color="auto" w:fill="E6E6E6"/>
            <w:vAlign w:val="center"/>
          </w:tcPr>
          <w:p w14:paraId="12A33E12" w14:textId="609DEED5"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Primary endpoint</w:t>
            </w:r>
          </w:p>
        </w:tc>
        <w:tc>
          <w:tcPr>
            <w:tcW w:w="1498" w:type="dxa"/>
            <w:shd w:val="clear" w:color="auto" w:fill="E6E6E6"/>
            <w:vAlign w:val="center"/>
          </w:tcPr>
          <w:p w14:paraId="1B90F59C" w14:textId="25E049E8" w:rsidR="000959B0" w:rsidRPr="000959B0" w:rsidRDefault="000959B0" w:rsidP="000959B0">
            <w:pPr>
              <w:keepNext/>
              <w:spacing w:after="0" w:line="240" w:lineRule="auto"/>
              <w:jc w:val="center"/>
              <w:rPr>
                <w:rFonts w:ascii="Times New Roman" w:hAnsi="Times New Roman" w:cs="Times New Roman"/>
                <w:b/>
                <w:bCs/>
                <w:sz w:val="14"/>
                <w:szCs w:val="24"/>
              </w:rPr>
            </w:pPr>
            <w:r w:rsidRPr="000959B0">
              <w:rPr>
                <w:rFonts w:ascii="Times New Roman" w:hAnsi="Times New Roman" w:cs="Times New Roman"/>
                <w:b/>
                <w:bCs/>
                <w:sz w:val="14"/>
                <w:szCs w:val="24"/>
              </w:rPr>
              <w:t>Time zone / cutoff</w:t>
            </w:r>
          </w:p>
        </w:tc>
      </w:tr>
      <w:tr w:rsidR="000959B0" w14:paraId="10709257" w14:textId="77777777" w:rsidTr="000959B0">
        <w:trPr>
          <w:cantSplit/>
        </w:trPr>
        <w:tc>
          <w:tcPr>
            <w:tcW w:w="1966" w:type="dxa"/>
            <w:vAlign w:val="center"/>
          </w:tcPr>
          <w:p w14:paraId="470DC205" w14:textId="28800BAB"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w:t>
            </w:r>
          </w:p>
        </w:tc>
        <w:tc>
          <w:tcPr>
            <w:tcW w:w="655" w:type="dxa"/>
            <w:vAlign w:val="center"/>
          </w:tcPr>
          <w:p w14:paraId="75D911A1" w14:textId="534C766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030" w:type="dxa"/>
            <w:vAlign w:val="center"/>
          </w:tcPr>
          <w:p w14:paraId="23864932" w14:textId="37678B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71B2D8CE" w14:textId="1A5D13B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75344846" w14:textId="7FCB2182"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1C5A5EE" w14:textId="2ED16EF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467B8915" w14:textId="339BB601"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0C46BA95" w14:textId="77A212E3"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4AF0C31D" w14:textId="77777777" w:rsidTr="000959B0">
        <w:trPr>
          <w:cantSplit/>
        </w:trPr>
        <w:tc>
          <w:tcPr>
            <w:tcW w:w="1966" w:type="dxa"/>
            <w:vAlign w:val="center"/>
          </w:tcPr>
          <w:p w14:paraId="49AACD86" w14:textId="1FBB7618"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CNN</w:t>
            </w:r>
          </w:p>
        </w:tc>
        <w:tc>
          <w:tcPr>
            <w:tcW w:w="655" w:type="dxa"/>
            <w:vAlign w:val="center"/>
          </w:tcPr>
          <w:p w14:paraId="389B772E" w14:textId="75AE324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F37EFF6" w14:textId="36CC03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FFD7872" w14:textId="4BBD447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1A02A394" w14:textId="36F8B43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724A2966" w14:textId="7E268F2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22231695" w14:textId="284E979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7261497" w14:textId="6A1A868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53B341CA" w14:textId="77777777" w:rsidTr="000959B0">
        <w:trPr>
          <w:cantSplit/>
        </w:trPr>
        <w:tc>
          <w:tcPr>
            <w:tcW w:w="1966" w:type="dxa"/>
            <w:vAlign w:val="center"/>
          </w:tcPr>
          <w:p w14:paraId="117A1CB5" w14:textId="16A88B05"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w:t>
            </w:r>
          </w:p>
        </w:tc>
        <w:tc>
          <w:tcPr>
            <w:tcW w:w="655" w:type="dxa"/>
            <w:vAlign w:val="center"/>
          </w:tcPr>
          <w:p w14:paraId="14AC182F" w14:textId="5AE9F058"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2928810B" w14:textId="5BB63C47"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11EB3ECB" w14:textId="7933679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08D4A347" w14:textId="441A69CB"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608890BD" w14:textId="44596B7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72259A78" w14:textId="357D4C9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7A3D871" w14:textId="22F0F1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6245F9B5" w14:textId="77777777" w:rsidTr="000959B0">
        <w:trPr>
          <w:cantSplit/>
        </w:trPr>
        <w:tc>
          <w:tcPr>
            <w:tcW w:w="1966" w:type="dxa"/>
            <w:vAlign w:val="center"/>
          </w:tcPr>
          <w:p w14:paraId="1EEFBAF3" w14:textId="106742F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LSTM-Attention</w:t>
            </w:r>
          </w:p>
        </w:tc>
        <w:tc>
          <w:tcPr>
            <w:tcW w:w="655" w:type="dxa"/>
            <w:vAlign w:val="center"/>
          </w:tcPr>
          <w:p w14:paraId="6DE3CA93" w14:textId="6480C59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10</w:t>
            </w:r>
          </w:p>
        </w:tc>
        <w:tc>
          <w:tcPr>
            <w:tcW w:w="1030" w:type="dxa"/>
            <w:vAlign w:val="center"/>
          </w:tcPr>
          <w:p w14:paraId="56DF627C" w14:textId="3B28EC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52D21D44" w14:textId="2C0F52C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1B99AF5" w14:textId="62E650C9"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287AA05E" w14:textId="38B62256"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0366F731" w14:textId="3E5005A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2025B964" w14:textId="1EF4907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r w:rsidR="000959B0" w14:paraId="7EE17C41" w14:textId="77777777" w:rsidTr="000959B0">
        <w:trPr>
          <w:cantSplit/>
        </w:trPr>
        <w:tc>
          <w:tcPr>
            <w:tcW w:w="1966" w:type="dxa"/>
            <w:vAlign w:val="center"/>
          </w:tcPr>
          <w:p w14:paraId="3189806D" w14:textId="2755CCD7" w:rsidR="000959B0" w:rsidRPr="000959B0" w:rsidRDefault="000959B0" w:rsidP="000959B0">
            <w:pPr>
              <w:keepNext/>
              <w:spacing w:after="0" w:line="240" w:lineRule="auto"/>
              <w:rPr>
                <w:rFonts w:ascii="Times New Roman" w:hAnsi="Times New Roman" w:cs="Times New Roman"/>
                <w:bCs/>
                <w:sz w:val="14"/>
                <w:szCs w:val="24"/>
              </w:rPr>
            </w:pPr>
            <w:r w:rsidRPr="000959B0">
              <w:rPr>
                <w:rFonts w:ascii="Times New Roman" w:hAnsi="Times New Roman" w:cs="Times New Roman"/>
                <w:bCs/>
                <w:sz w:val="14"/>
                <w:szCs w:val="24"/>
              </w:rPr>
              <w:t>LSTM-CNN-Attention</w:t>
            </w:r>
          </w:p>
        </w:tc>
        <w:tc>
          <w:tcPr>
            <w:tcW w:w="655" w:type="dxa"/>
            <w:vAlign w:val="center"/>
          </w:tcPr>
          <w:p w14:paraId="0310B01D" w14:textId="21A017C5"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w:t>
            </w:r>
          </w:p>
        </w:tc>
        <w:tc>
          <w:tcPr>
            <w:tcW w:w="1030" w:type="dxa"/>
            <w:vAlign w:val="center"/>
          </w:tcPr>
          <w:p w14:paraId="32410C32" w14:textId="15BC94DF"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2022-2025</w:t>
            </w:r>
          </w:p>
        </w:tc>
        <w:tc>
          <w:tcPr>
            <w:tcW w:w="749" w:type="dxa"/>
            <w:vAlign w:val="center"/>
          </w:tcPr>
          <w:p w14:paraId="047DB4D5" w14:textId="7EA7DA3E"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4</w:t>
            </w:r>
          </w:p>
        </w:tc>
        <w:tc>
          <w:tcPr>
            <w:tcW w:w="842" w:type="dxa"/>
            <w:vAlign w:val="center"/>
          </w:tcPr>
          <w:p w14:paraId="658F119D" w14:textId="086C7550"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5</w:t>
            </w:r>
          </w:p>
        </w:tc>
        <w:tc>
          <w:tcPr>
            <w:tcW w:w="1310" w:type="dxa"/>
            <w:vAlign w:val="center"/>
          </w:tcPr>
          <w:p w14:paraId="3CA3A3C1" w14:textId="43DD2A0C"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122 / 8</w:t>
            </w:r>
          </w:p>
        </w:tc>
        <w:tc>
          <w:tcPr>
            <w:tcW w:w="1310" w:type="dxa"/>
            <w:vAlign w:val="center"/>
          </w:tcPr>
          <w:p w14:paraId="6CCDF648" w14:textId="16A2D9BD"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Balanced accuracy</w:t>
            </w:r>
          </w:p>
        </w:tc>
        <w:tc>
          <w:tcPr>
            <w:tcW w:w="1498" w:type="dxa"/>
            <w:vAlign w:val="center"/>
          </w:tcPr>
          <w:p w14:paraId="346E19D3" w14:textId="0087F72A" w:rsidR="000959B0" w:rsidRPr="000959B0" w:rsidRDefault="000959B0" w:rsidP="000959B0">
            <w:pPr>
              <w:keepNext/>
              <w:spacing w:after="0" w:line="240" w:lineRule="auto"/>
              <w:jc w:val="center"/>
              <w:rPr>
                <w:rFonts w:ascii="Times New Roman" w:hAnsi="Times New Roman" w:cs="Times New Roman"/>
                <w:bCs/>
                <w:sz w:val="14"/>
                <w:szCs w:val="24"/>
              </w:rPr>
            </w:pPr>
            <w:r w:rsidRPr="000959B0">
              <w:rPr>
                <w:rFonts w:ascii="Times New Roman" w:hAnsi="Times New Roman" w:cs="Times New Roman"/>
                <w:bCs/>
                <w:sz w:val="14"/>
                <w:szCs w:val="24"/>
              </w:rPr>
              <w:t>Asia/Bangkok / 17:00</w:t>
            </w:r>
          </w:p>
        </w:tc>
      </w:tr>
    </w:tbl>
    <w:p w14:paraId="12DDC31B" w14:textId="3A72DACC"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3.4 Numerical Features and VMD</w:t>
      </w:r>
    </w:p>
    <w:p w14:paraId="5A34A665" w14:textId="5D889B4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The Full-TA control contains 116 variables constructed from daily and previously completed weekly/monthly OHLCV information: price and volume lags; 1-, 3-, 5-, 10-, 20- and 60-day </w:t>
      </w:r>
      <w:r w:rsidRPr="00916F49">
        <w:rPr>
          <w:rFonts w:ascii="Times New Roman" w:hAnsi="Times New Roman"/>
          <w:bCs/>
          <w:sz w:val="24"/>
          <w:szCs w:val="24"/>
        </w:rPr>
        <w:lastRenderedPageBreak/>
        <w:t>returns; moving averages; volatility, momentum, rate-of-change, candlestick, cross-timeframe and volume-ratio features; direction lags; and Stochastic, RSI, MACD, Williams %R, CCI, ADX and directional indicators.</w:t>
      </w:r>
    </w:p>
    <w:p w14:paraId="3CCA36EA" w14:textId="53908121"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cs="Times New Roman"/>
          <w:bCs/>
          <w:sz w:val="24"/>
          <w:szCs w:val="24"/>
        </w:rPr>
        <w:t xml:space="preserve">Causal rolling VMD adds six variables. At each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only the 60 closes from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− 59</w:t>
      </w:r>
      <w:r w:rsidRPr="00916F49">
        <w:rPr>
          <w:rFonts w:ascii="Times New Roman" w:hAnsi="Times New Roman" w:cs="Times New Roman"/>
          <w:bCs/>
          <w:sz w:val="24"/>
          <w:szCs w:val="24"/>
        </w:rPr>
        <w:t xml:space="preserve"> through </w:t>
      </w:r>
      <w:r w:rsidRPr="00916F49">
        <w:rPr>
          <w:rFonts w:ascii="Times New Roman" w:hAnsi="Times New Roman" w:cs="Times New Roman"/>
          <w:bCs/>
          <w:sz w:val="24"/>
          <w:szCs w:val="24"/>
          <w:i/>
          <w:iCs/>
        </w:rPr>
        <w:t>t</w:t>
      </w:r>
      <w:r w:rsidRPr="00916F49">
        <w:rPr>
          <w:rFonts w:ascii="Times New Roman" w:hAnsi="Times New Roman" w:cs="Times New Roman"/>
          <w:bCs/>
          <w:sz w:val="24"/>
          <w:szCs w:val="24"/>
        </w:rPr>
        <w:t xml:space="preserve"> are decomposed using five modes, </w:t>
      </w:r>
      <w:r w:rsidRPr="00916F49">
        <w:rPr>
          <w:rFonts w:ascii="Times New Roman" w:hAnsi="Times New Roman" w:cs="Times New Roman"/>
          <w:bCs/>
          <w:sz w:val="24"/>
          <w:szCs w:val="24"/>
          <w:i/>
          <w:iCs/>
        </w:rPr>
        <w:t>α</w:t>
      </w:r>
      <w:r w:rsidRPr="00916F49">
        <w:rPr>
          <w:rFonts w:ascii="Times New Roman" w:hAnsi="Times New Roman" w:cs="Times New Roman"/>
          <w:bCs/>
          <w:sz w:val="24"/>
          <w:szCs w:val="24"/>
        </w:rPr>
        <w:t xml:space="preserve"> = 1000</w:t>
      </w:r>
      <w:r w:rsidRPr="00916F49">
        <w:rPr>
          <w:rFonts w:ascii="Times New Roman" w:hAnsi="Times New Roman" w:cs="Times New Roman"/>
          <w:bCs/>
          <w:sz w:val="24"/>
          <w:szCs w:val="24"/>
        </w:rPr>
        <w:t xml:space="preserve">, dual-ascent step </w:t>
      </w:r>
      <w:r w:rsidRPr="00916F49">
        <w:rPr>
          <w:rFonts w:ascii="Times New Roman" w:hAnsi="Times New Roman" w:cs="Times New Roman"/>
          <w:bCs/>
          <w:sz w:val="24"/>
          <w:szCs w:val="24"/>
          <w:i/>
          <w:iCs/>
        </w:rPr>
        <w:t>τ</w:t>
      </w:r>
      <w:r w:rsidRPr="00916F49">
        <w:rPr>
          <w:rFonts w:ascii="Times New Roman" w:hAnsi="Times New Roman" w:cs="Times New Roman"/>
          <w:bCs/>
          <w:sz w:val="24"/>
          <w:szCs w:val="24"/>
        </w:rPr>
        <w:t xml:space="preserve"> = 0</w:t>
      </w:r>
      <w:r w:rsidRPr="00916F49">
        <w:rPr>
          <w:rFonts w:ascii="Times New Roman" w:hAnsi="Times New Roman" w:cs="Times New Roman"/>
          <w:bCs/>
          <w:sz w:val="24"/>
          <w:szCs w:val="24"/>
        </w:rPr>
        <w:t xml:space="preserve">, a DC mode, tolerance </w:t>
      </w:r>
      <w:r w:rsidRPr="00916F49">
        <w:rPr>
          <w:rFonts w:ascii="Times New Roman" w:hAnsi="Times New Roman" w:cs="Times New Roman"/>
          <w:bCs/>
          <w:sz w:val="24"/>
          <w:szCs w:val="24"/>
        </w:rPr>
        <w:t>10</w:t>
      </w:r>
      <w:r w:rsidRPr="00916F49">
        <w:rPr>
          <w:rFonts w:ascii="Times New Roman" w:hAnsi="Times New Roman" w:cs="Times New Roman"/>
          <w:bCs/>
          <w:sz w:val="24"/>
          <w:szCs w:val="24"/>
          <w:vertAlign w:val="superscript"/>
        </w:rPr>
        <w:t>−7</w:t>
      </w:r>
      <w:r w:rsidRPr="00916F49">
        <w:rPr>
          <w:rFonts w:ascii="Times New Roman" w:hAnsi="Times New Roman" w:cs="Times New Roman"/>
          <w:bCs/>
          <w:sz w:val="24"/>
          <w:szCs w:val="24"/>
        </w:rPr>
        <w:t xml:space="preserve"> and at most 500 iterations. The mode with the highest final </w:t>
      </w:r>
      <w:proofErr w:type="spellStart"/>
      <w:r w:rsidRPr="00916F49">
        <w:rPr>
          <w:rFonts w:ascii="Times New Roman" w:hAnsi="Times New Roman"/>
          <w:bCs/>
          <w:sz w:val="24"/>
          <w:szCs w:val="24"/>
        </w:rPr>
        <w:t>centre</w:t>
      </w:r>
      <w:proofErr w:type="spellEnd"/>
      <w:r w:rsidRPr="00916F49">
        <w:rPr>
          <w:rFonts w:ascii="Times New Roman" w:hAnsi="Times New Roman"/>
          <w:bCs/>
          <w:sz w:val="24"/>
          <w:szCs w:val="24"/>
        </w:rPr>
        <w:t xml:space="preserve"> frequency is treated as noise. Four retained intrinsic mode functions, the denoised close and removed-mode energy ratio produce 122 numerical inputs. VMD is tested as a causal auxiliary representation rather than assumed to improve direction.</w:t>
      </w:r>
    </w:p>
    <w:p w14:paraId="23757C77" w14:textId="39A27D09"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Equations (3)-(5) formalize the trailing decomposition window, highest-frequency noise-mode rule, denoised close and removed-mode energy ratio. The quantities </w:t>
      </w:r>
      <w:r w:rsidRPr="0034462D">
        <w:rPr>
          <w:rFonts w:ascii="Times New Roman" w:hAnsi="Times New Roman" w:cs="Times New Roman"/>
          <w:color w:val="000000"/>
          <w:sz w:val="24"/>
          <w:szCs w:val="24"/>
          <w:i/>
          <w:iCs/>
        </w:rPr>
        <w:t>u</w:t>
      </w:r>
      <w:r w:rsidRPr="0034462D">
        <w:rPr>
          <w:rFonts w:ascii="Times New Roman" w:hAnsi="Times New Roman" w:cs="Times New Roman"/>
          <w:color w:val="000000"/>
          <w:sz w:val="24"/>
          <w:szCs w:val="24"/>
          <w:i/>
          <w:iCs/>
          <w:vertAlign w:val="subscript"/>
        </w:rPr>
        <w:t>k</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and </w:t>
      </w:r>
      <w:r w:rsidRPr="0034462D">
        <w:rPr>
          <w:rFonts w:ascii="Times New Roman" w:hAnsi="Times New Roman" w:cs="Times New Roman"/>
          <w:color w:val="000000"/>
          <w:sz w:val="24"/>
          <w:szCs w:val="24"/>
          <w:i/>
          <w:iCs/>
        </w:rPr>
        <w:t>ω</w:t>
      </w:r>
      <w:r w:rsidRPr="0034462D">
        <w:rPr>
          <w:rFonts w:ascii="Times New Roman" w:hAnsi="Times New Roman" w:cs="Times New Roman"/>
          <w:color w:val="000000"/>
          <w:sz w:val="24"/>
          <w:szCs w:val="24"/>
          <w:i/>
          <w:iCs/>
          <w:vertAlign w:val="subscript"/>
        </w:rPr>
        <w:t>k</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denote mode </w:t>
      </w:r>
      <w:proofErr w:type="spellStart"/>
      <w:proofErr w:type="gramStart"/>
      <w:proofErr w:type="spellEnd"/>
      <w:proofErr w:type="gramEnd"/>
      <w:proofErr w:type="spellStart"/>
      <w:proofErr w:type="gramStart"/>
      <w:proofErr w:type="spellEnd"/>
      <w:proofErr w:type="gramEnd"/>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 xml:space="preserve"> estimated at date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and its final </w:t>
      </w:r>
      <w:proofErr w:type="spellStart"/>
      <w:r w:rsidRPr="0034462D">
        <w:rPr>
          <w:rFonts w:ascii="Times New Roman" w:hAnsi="Times New Roman" w:cs="Times New Roman"/>
          <w:color w:val="000000"/>
          <w:sz w:val="24"/>
        </w:rPr>
        <w:t>centre</w:t>
      </w:r>
      <w:proofErr w:type="spellEnd"/>
      <w:r w:rsidRPr="0034462D">
        <w:rPr>
          <w:rFonts w:ascii="Times New Roman" w:hAnsi="Times New Roman" w:cs="Times New Roman"/>
          <w:color w:val="000000"/>
          <w:sz w:val="24"/>
        </w:rPr>
        <w:t xml:space="preserve"> frequency, respectively. The decomposition follows the VMD formulation, while the trailing-window implementation follows the leakage-avoiding window principle used in causal financial VMD forecasting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{"citationID":"38987fd8","properties":{"unsorted":false,"formattedCitation":"(Dragomiretskiy \u0026 Zosso, 2014; T. Liu et al., 2022)","plainCitation":"(Dragomiretskiy \u0026 Zosso, 2014; T. Liu et al., 2022)","noteIndex":0},"citationItems":[{"id":8,"uris":["http://zotero.org/users/local/DPQnJvcs/items/B5YAFXST"],"itemData":{"id":8,"type":"article-journal","container-title":"IEEE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w:t>
      </w:r>
      <w:r>
        <w:rPr>
          <w:rFonts w:ascii="Times New Roman" w:eastAsia="Times New Roman" w:hAnsi="Times New Roman" w:cs="Times New Roman"/>
          <w:b/>
          <w:sz w:val="24"/>
          <w:szCs w:val="24"/>
        </w:rPr>
        <w:fldChar w:fldCharType="end"/>
      </w:r>
    </w:p>
    <w:p w14:paraId="26ADA9EC" w14:textId="690F92E0"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Sup>
          <m:sSubSupPr>
            <m:ctrlPr>
              <w:rPr>
                <w:rFonts w:ascii="Cambria Math" w:hAnsi="Cambria Math" w:cs="Times New Roman"/>
                <w:i/>
              </w:rPr>
            </m:ctrlPr>
          </m:sSubSupPr>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u</m:t>
                    </m:r>
                  </m:e>
                  <m:sub>
                    <m:r>
                      <w:rPr>
                        <w:rFonts w:ascii="Cambria Math" w:hAnsi="Cambria Math" w:cs="Times New Roman"/>
                      </w:rPr>
                      <m:t>k,t</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e>
            </m:d>
          </m:e>
          <m:sub>
            <m:r>
              <w:rPr>
                <w:rFonts w:ascii="Cambria Math" w:hAnsi="Cambria Math" w:cs="Times New Roman"/>
              </w:rPr>
              <m:t>k=1</m:t>
            </m:r>
          </m:sub>
          <m:sup>
            <m:r>
              <w:rPr>
                <w:rFonts w:ascii="Cambria Math" w:hAnsi="Cambria Math" w:cs="Times New Roman"/>
              </w:rPr>
              <m:t>5</m:t>
            </m:r>
          </m:sup>
        </m:sSubSup>
        <m:r>
          <w:rPr>
            <w:rFonts w:ascii="Cambria Math" w:hAnsi="Cambria Math" w:cs="Times New Roman"/>
          </w:rPr>
          <m:t>=VMD</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t-59</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t</m:t>
                </m:r>
              </m:sub>
            </m:sSub>
          </m:e>
        </m:d>
        <m:r>
          <w:rPr>
            <w:rFonts w:ascii="Cambria Math" w:hAnsi="Cambria Math" w:cs="Times New Roman"/>
          </w:rPr>
          <m:t xml:space="preserve">, </m:t>
        </m:r>
        <m:sSubSup>
          <m:sSubSupPr>
            <m:ctrlPr>
              <w:rPr>
                <w:rFonts w:ascii="Cambria Math" w:hAnsi="Cambria Math" w:cs="Times New Roman"/>
                <w:i/>
              </w:rPr>
            </m:ctrlPr>
          </m:sSubSupPr>
          <m:e>
            <m:r>
              <w:rPr>
                <w:rFonts w:ascii="Cambria Math" w:hAnsi="Cambria Math" w:cs="Times New Roman"/>
              </w:rPr>
              <m:t>k</m:t>
            </m:r>
          </m:e>
          <m:sub>
            <m:r>
              <w:rPr>
                <w:rFonts w:ascii="Cambria Math" w:hAnsi="Cambria Math" w:cs="Times New Roman"/>
              </w:rPr>
              <m:t>t</m:t>
            </m:r>
          </m:sub>
          <m:sup>
            <m:r>
              <w:rPr>
                <w:rFonts w:ascii="Cambria Math" w:hAnsi="Cambria Math" w:cs="Times New Roman"/>
              </w:rPr>
              <m:t>*</m:t>
            </m:r>
          </m:sup>
        </m:sSubSup>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arg</m:t>
            </m:r>
            <m:ctrlPr>
              <w:rPr>
                <w:rFonts w:ascii="Cambria Math" w:hAnsi="Cambria Math" w:cs="Times New Roman"/>
                <w:i/>
              </w:rPr>
            </m:ctrlPr>
          </m:fName>
          <m:e>
            <m:func>
              <m:funcPr>
                <m:ctrlPr>
                  <w:rPr>
                    <w:rFonts w:ascii="Cambria Math" w:hAnsi="Cambria Math" w:cs="Times New Roman"/>
                  </w:rPr>
                </m:ctrlPr>
              </m:funcPr>
              <m:fName>
                <m:limLow>
                  <m:limLowPr>
                    <m:ctrlPr>
                      <w:rPr>
                        <w:rFonts w:ascii="Cambria Math" w:hAnsi="Cambria Math" w:cs="Times New Roman"/>
                        <w:i/>
                      </w:rPr>
                    </m:ctrlPr>
                  </m:limLowPr>
                  <m:e>
                    <m:r>
                      <m:rPr>
                        <m:sty m:val="p"/>
                      </m:rPr>
                      <w:rPr>
                        <w:rFonts w:ascii="Cambria Math" w:hAnsi="Cambria Math" w:cs="Times New Roman"/>
                      </w:rPr>
                      <m:t>max</m:t>
                    </m:r>
                    <m:ctrlPr>
                      <w:rPr>
                        <w:rFonts w:ascii="Cambria Math" w:hAnsi="Cambria Math" w:cs="Times New Roman"/>
                      </w:rPr>
                    </m:ctrlPr>
                  </m:e>
                  <m:lim>
                    <m:r>
                      <w:rPr>
                        <w:rFonts w:ascii="Cambria Math" w:hAnsi="Cambria Math" w:cs="Times New Roman"/>
                      </w:rPr>
                      <m:t>k</m:t>
                    </m:r>
                    <m:ctrlPr>
                      <w:rPr>
                        <w:rFonts w:ascii="Cambria Math" w:hAnsi="Cambria Math" w:cs="Times New Roman"/>
                      </w:rPr>
                    </m:ctrlPr>
                  </m:lim>
                </m:limLow>
              </m:fName>
              <m:e>
                <m:sSub>
                  <m:sSubPr>
                    <m:ctrlPr>
                      <w:rPr>
                        <w:rFonts w:ascii="Cambria Math" w:hAnsi="Cambria Math" w:cs="Times New Roman"/>
                        <w:i/>
                      </w:rPr>
                    </m:ctrlPr>
                  </m:sSubPr>
                  <m:e>
                    <m:r>
                      <w:rPr>
                        <w:rFonts w:ascii="Cambria Math" w:hAnsi="Cambria Math" w:cs="Times New Roman"/>
                      </w:rPr>
                      <m:t>ω</m:t>
                    </m:r>
                  </m:e>
                  <m:sub>
                    <m:r>
                      <w:rPr>
                        <w:rFonts w:ascii="Cambria Math" w:hAnsi="Cambria Math" w:cs="Times New Roman"/>
                      </w:rPr>
                      <m:t>k,t</m:t>
                    </m:r>
                  </m:sub>
                </m:sSub>
                <m:ctrlPr>
                  <w:rPr>
                    <w:rFonts w:ascii="Cambria Math" w:hAnsi="Cambria Math" w:cs="Times New Roman"/>
                    <w:i/>
                  </w:rPr>
                </m:ctrlPr>
              </m:e>
            </m:func>
          </m:e>
        </m:func>
      </m:oMath>
      <w:r w:rsidRPr="009960B6">
        <w:rPr>
          <w:rFonts w:ascii="Times New Roman" w:hAnsi="Times New Roman" w:cs="Times New Roman"/>
        </w:rPr>
        <w:tab/>
      </w:r>
      <w:r w:rsidR="0034462D">
        <w:rPr>
          <w:rFonts w:ascii="Times New Roman" w:hAnsi="Times New Roman" w:cs="Times New Roman"/>
        </w:rPr>
        <w:t>(3)</w:t>
      </w:r>
    </w:p>
    <w:p w14:paraId="1A09A25F" w14:textId="4A5E7F10"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acc>
              <m:accPr>
                <m:chr m:val="̃"/>
                <m:ctrlPr>
                  <w:rPr>
                    <w:rFonts w:ascii="Cambria Math" w:hAnsi="Cambria Math" w:cs="Times New Roman"/>
                    <w:i/>
                    <w:sz w:val="21"/>
                  </w:rPr>
                </m:ctrlPr>
              </m:accPr>
              <m:e>
                <m:r>
                  <w:rPr>
                    <w:rFonts w:ascii="Cambria Math" w:hAnsi="Cambria Math" w:cs="Times New Roman"/>
                    <w:sz w:val="21"/>
                  </w:rPr>
                  <m:t>C</m:t>
                </m:r>
              </m:e>
            </m:acc>
          </m:e>
          <m:sub>
            <m:r>
              <w:rPr>
                <w:rFonts w:ascii="Cambria Math" w:hAnsi="Cambria Math" w:cs="Times New Roman"/>
                <w:sz w:val="21"/>
              </w:rPr>
              <m:t>t</m:t>
            </m:r>
          </m:sub>
        </m:sSub>
        <m:r>
          <w:rPr>
            <w:rFonts w:ascii="Cambria Math" w:hAnsi="Cambria Math" w:cs="Times New Roman"/>
            <w:sz w:val="21"/>
          </w:rPr>
          <m:t>=</m:t>
        </m:r>
        <m:nary>
          <m:naryPr>
            <m:chr m:val="∑"/>
            <m:supHide m:val="1"/>
            <m:ctrlPr>
              <w:rPr>
                <w:rFonts w:ascii="Cambria Math" w:hAnsi="Cambria Math" w:cs="Times New Roman"/>
                <w:i/>
                <w:sz w:val="21"/>
              </w:rPr>
            </m:ctrlPr>
          </m:naryPr>
          <m:sub>
            <m:d>
              <m:dPr>
                <m:ctrlPr>
                  <w:rPr>
                    <w:rFonts w:ascii="Cambria Math" w:hAnsi="Cambria Math" w:cs="Times New Roman"/>
                    <w:i/>
                    <w:sz w:val="21"/>
                  </w:rPr>
                </m:ctrlPr>
              </m:dPr>
              <m:e>
                <m:r>
                  <w:rPr>
                    <w:rFonts w:ascii="Cambria Math" w:hAnsi="Cambria Math" w:cs="Times New Roman"/>
                    <w:sz w:val="21"/>
                  </w:rPr>
                  <m:t>k</m:t>
                </m:r>
                <m:r>
                  <w:rPr>
                    <w:rFonts w:ascii="Cambria Math" w:hAnsi="Cambria Math" w:cs="Times New Roman" w:hint="eastAsia"/>
                    <w:sz w:val="21"/>
                  </w:rPr>
                  <m:t>≠</m:t>
                </m:r>
                <m:sSubSup>
                  <m:sSubSupPr>
                    <m:ctrlPr>
                      <w:rPr>
                        <w:rFonts w:ascii="Cambria Math" w:hAnsi="Cambria Math" w:cs="Times New Roman"/>
                        <w:i/>
                        <w:sz w:val="21"/>
                      </w:rPr>
                    </m:ctrlPr>
                  </m:sSubSupPr>
                  <m:e>
                    <m:r>
                      <w:rPr>
                        <w:rFonts w:ascii="Cambria Math" w:hAnsi="Cambria Math" w:cs="Times New Roman"/>
                        <w:sz w:val="21"/>
                      </w:rPr>
                      <m:t>k</m:t>
                    </m:r>
                  </m:e>
                  <m:sub>
                    <m:r>
                      <w:rPr>
                        <w:rFonts w:ascii="Cambria Math" w:hAnsi="Cambria Math" w:cs="Times New Roman"/>
                        <w:sz w:val="21"/>
                      </w:rPr>
                      <m:t>t</m:t>
                    </m:r>
                  </m:sub>
                  <m:sup>
                    <m:r>
                      <w:rPr>
                        <w:rFonts w:ascii="Cambria Math" w:hAnsi="Cambria Math" w:cs="Times New Roman"/>
                        <w:sz w:val="21"/>
                      </w:rPr>
                      <m:t>*</m:t>
                    </m:r>
                  </m:sup>
                </m:sSubSup>
              </m:e>
            </m:d>
            <m:sSub>
              <m:sSubPr>
                <m:ctrlPr>
                  <w:rPr>
                    <w:rFonts w:ascii="Cambria Math" w:hAnsi="Cambria Math" w:cs="Times New Roman"/>
                    <w:i/>
                    <w:sz w:val="21"/>
                  </w:rPr>
                </m:ctrlPr>
              </m:sSubPr>
              <m:e>
                <m:r>
                  <w:rPr>
                    <w:rFonts w:ascii="Cambria Math" w:hAnsi="Cambria Math" w:cs="Times New Roman"/>
                    <w:sz w:val="21"/>
                  </w:rPr>
                  <m:t>u</m:t>
                </m:r>
              </m:e>
              <m:sub>
                <m:d>
                  <m:dPr>
                    <m:ctrlPr>
                      <w:rPr>
                        <w:rFonts w:ascii="Cambria Math" w:hAnsi="Cambria Math" w:cs="Times New Roman"/>
                        <w:i/>
                        <w:sz w:val="21"/>
                      </w:rPr>
                    </m:ctrlPr>
                  </m:dPr>
                  <m:e>
                    <m:r>
                      <w:rPr>
                        <w:rFonts w:ascii="Cambria Math" w:hAnsi="Cambria Math" w:cs="Times New Roman"/>
                        <w:sz w:val="21"/>
                      </w:rPr>
                      <m:t>k,t</m:t>
                    </m:r>
                  </m:e>
                </m:d>
                <m:d>
                  <m:dPr>
                    <m:ctrlPr>
                      <w:rPr>
                        <w:rFonts w:ascii="Cambria Math" w:hAnsi="Cambria Math" w:cs="Times New Roman"/>
                        <w:i/>
                        <w:sz w:val="21"/>
                      </w:rPr>
                    </m:ctrlPr>
                  </m:dPr>
                  <m:e>
                    <m:r>
                      <w:rPr>
                        <w:rFonts w:ascii="Cambria Math" w:hAnsi="Cambria Math" w:cs="Times New Roman"/>
                        <w:sz w:val="21"/>
                      </w:rPr>
                      <m:t>60</m:t>
                    </m:r>
                  </m:e>
                </m:d>
              </m:sub>
            </m:sSub>
          </m:sub>
          <m:sup/>
          <m:e/>
        </m:nary>
      </m:oMath>
      <w:r w:rsidRPr="009960B6">
        <w:rPr>
          <w:rFonts w:ascii="Times New Roman" w:hAnsi="Times New Roman" w:cs="Times New Roman"/>
          <w:sz w:val="21"/>
        </w:rPr>
        <w:tab/>
      </w:r>
      <w:r w:rsidR="0034462D">
        <w:rPr>
          <w:rFonts w:ascii="Times New Roman" w:hAnsi="Times New Roman" w:cs="Times New Roman"/>
          <w:sz w:val="21"/>
        </w:rPr>
        <w:t>(4)</w:t>
      </w:r>
    </w:p>
    <w:p w14:paraId="190C1A7C" w14:textId="1E2C1941"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ρ</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m:t>
        </m:r>
        <m:f>
          <m:fPr>
            <m:ctrlPr>
              <w:rPr>
                <w:rFonts w:ascii="Cambria Math" w:hAnsi="Cambria Math" w:cs="Times New Roman"/>
                <w:i/>
              </w:rPr>
            </m:ctrlPr>
          </m:fPr>
          <m:num>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u</m:t>
                    </m:r>
                  </m:e>
                  <m:sub>
                    <m:sSubSup>
                      <m:sSubSupPr>
                        <m:ctrlPr>
                          <w:rPr>
                            <w:rFonts w:ascii="Cambria Math" w:hAnsi="Cambria Math" w:cs="Times New Roman"/>
                            <w:i/>
                          </w:rPr>
                        </m:ctrlPr>
                      </m:sSubSupPr>
                      <m:e>
                        <m:r>
                          <w:rPr>
                            <w:rFonts w:ascii="Cambria Math" w:hAnsi="Cambria Math" w:cs="Times New Roman" w:hint="eastAsia"/>
                          </w:rPr>
                          <m:t>k</m:t>
                        </m:r>
                      </m:e>
                      <m:sub>
                        <m:r>
                          <w:rPr>
                            <w:rFonts w:ascii="Cambria Math" w:hAnsi="Cambria Math" w:cs="Times New Roman" w:hint="eastAsia"/>
                          </w:rPr>
                          <m:t>t</m:t>
                        </m:r>
                      </m:sub>
                      <m:sup>
                        <m:r>
                          <w:rPr>
                            <w:rFonts w:ascii="Cambria Math" w:hAnsi="Cambria Math" w:cs="Cambria Math"/>
                          </w:rPr>
                          <m:t>*</m:t>
                        </m:r>
                      </m:sup>
                    </m:sSubSup>
                    <m:r>
                      <w:rPr>
                        <w:rFonts w:ascii="Cambria Math" w:hAnsi="Cambria Math" w:cs="Times New Roman" w:hint="eastAsia"/>
                      </w:rPr>
                      <m:t>,t</m:t>
                    </m:r>
                  </m:sub>
                  <m:sup>
                    <m:r>
                      <w:rPr>
                        <w:rFonts w:ascii="Cambria Math" w:hAnsi="Cambria Math" w:cs="Times New Roman" w:hint="eastAsia"/>
                      </w:rPr>
                      <m:t>2</m:t>
                    </m:r>
                    <m:d>
                      <m:dPr>
                        <m:ctrlPr>
                          <w:rPr>
                            <w:rFonts w:ascii="Cambria Math" w:hAnsi="Cambria Math" w:cs="Times New Roman"/>
                            <w:i/>
                          </w:rPr>
                        </m:ctrlPr>
                      </m:dPr>
                      <m:e>
                        <m:r>
                          <w:rPr>
                            <w:rFonts w:ascii="Cambria Math" w:hAnsi="Cambria Math" w:cs="Times New Roman" w:hint="eastAsia"/>
                          </w:rPr>
                          <m:t>τ</m:t>
                        </m:r>
                      </m:e>
                    </m:d>
                  </m:sup>
                </m:sSubSup>
              </m:e>
            </m:nary>
          </m:num>
          <m:den>
            <m:nary>
              <m:naryPr>
                <m:chr m:val="∑"/>
                <m:ctrlPr>
                  <w:rPr>
                    <w:rFonts w:ascii="Cambria Math" w:hAnsi="Cambria Math" w:cs="Times New Roman"/>
                    <w:i/>
                  </w:rPr>
                </m:ctrlPr>
              </m:naryPr>
              <m:sub>
                <m:r>
                  <w:rPr>
                    <w:rFonts w:ascii="Cambria Math" w:hAnsi="Cambria Math" w:cs="Times New Roman" w:hint="eastAsia"/>
                  </w:rPr>
                  <m:t>τ=1</m:t>
                </m:r>
              </m:sub>
              <m:sup>
                <m:r>
                  <w:rPr>
                    <w:rFonts w:ascii="Cambria Math" w:hAnsi="Cambria Math" w:cs="Times New Roman" w:hint="eastAsia"/>
                  </w:rPr>
                  <m:t>60</m:t>
                </m:r>
              </m:sup>
              <m:e>
                <m:sSubSup>
                  <m:sSubSupPr>
                    <m:ctrlPr>
                      <w:rPr>
                        <w:rFonts w:ascii="Cambria Math" w:hAnsi="Cambria Math" w:cs="Times New Roman"/>
                        <w:i/>
                      </w:rPr>
                    </m:ctrlPr>
                  </m:sSubSupPr>
                  <m:e>
                    <m:r>
                      <w:rPr>
                        <w:rFonts w:ascii="Cambria Math" w:hAnsi="Cambria Math" w:cs="Times New Roman" w:hint="eastAsia"/>
                      </w:rPr>
                      <m:t>C</m:t>
                    </m:r>
                  </m:e>
                  <m:sub>
                    <m:r>
                      <w:rPr>
                        <w:rFonts w:ascii="Cambria Math" w:hAnsi="Cambria Math" w:cs="Times New Roman" w:hint="eastAsia"/>
                      </w:rPr>
                      <m:t>t</m:t>
                    </m:r>
                    <m:r>
                      <w:rPr>
                        <w:rFonts w:ascii="Cambria Math" w:hAnsi="Cambria Math" w:cs="Cambria Math"/>
                      </w:rPr>
                      <m:t>-</m:t>
                    </m:r>
                    <m:r>
                      <w:rPr>
                        <w:rFonts w:ascii="Cambria Math" w:hAnsi="Cambria Math" w:cs="Times New Roman" w:hint="eastAsia"/>
                      </w:rPr>
                      <m:t>60+τ</m:t>
                    </m:r>
                  </m:sub>
                  <m:sup>
                    <m:r>
                      <w:rPr>
                        <w:rFonts w:ascii="Cambria Math" w:hAnsi="Cambria Math" w:cs="Times New Roman" w:hint="eastAsia"/>
                      </w:rPr>
                      <m:t>2</m:t>
                    </m:r>
                  </m:sup>
                </m:sSubSup>
              </m:e>
            </m:nary>
          </m:den>
        </m:f>
      </m:oMath>
      <w:r w:rsidRPr="009960B6">
        <w:rPr>
          <w:rFonts w:ascii="Times New Roman" w:hAnsi="Times New Roman" w:cs="Times New Roman" w:hint="eastAsia"/>
        </w:rPr>
        <w:tab/>
      </w:r>
      <w:r w:rsidR="0034462D">
        <w:rPr>
          <w:rFonts w:ascii="Times New Roman" w:hAnsi="Times New Roman" w:cs="Times New Roman"/>
        </w:rPr>
        <w:t>(5)</w:t>
      </w:r>
    </w:p>
    <w:p w14:paraId="015EA3AD" w14:textId="4FEED91D"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3.5 Neural Architectures</w:t>
      </w:r>
    </w:p>
    <w:p w14:paraId="6D1B5E2D" w14:textId="25D68496"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numerical, news and regime modules predict the next close and derive direction from predicted next close minus current close. The compact architectures were: LSTM,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CNN, causal Conv1</w:t>
      </w:r>
      <w:proofErr w:type="gramStart"/>
      <w:r w:rsidRPr="00916F49">
        <w:rPr>
          <w:rFonts w:ascii="Times New Roman" w:hAnsi="Times New Roman"/>
          <w:bCs/>
          <w:sz w:val="24"/>
          <w:szCs w:val="24"/>
        </w:rPr>
        <w:t>D(</w:t>
      </w:r>
      <w:proofErr w:type="gramEnd"/>
      <w:r w:rsidRPr="00916F49">
        <w:rPr>
          <w:rFonts w:ascii="Times New Roman" w:hAnsi="Times New Roman"/>
          <w:bCs/>
          <w:sz w:val="24"/>
          <w:szCs w:val="24"/>
        </w:rPr>
        <w:t xml:space="preserve">32, kernel 3) followed by global-average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LSTM-CNN,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the causal convolution and pooling stack; LSTM-Attention, sequence-output </w:t>
      </w:r>
      <w:proofErr w:type="gramStart"/>
      <w:r w:rsidRPr="00916F49">
        <w:rPr>
          <w:rFonts w:ascii="Times New Roman" w:hAnsi="Times New Roman"/>
          <w:bCs/>
          <w:sz w:val="24"/>
          <w:szCs w:val="24"/>
        </w:rPr>
        <w:t>LSTM(</w:t>
      </w:r>
      <w:proofErr w:type="gramEnd"/>
      <w:r w:rsidRPr="00916F49">
        <w:rPr>
          <w:rFonts w:ascii="Times New Roman" w:hAnsi="Times New Roman"/>
          <w:bCs/>
          <w:sz w:val="24"/>
          <w:szCs w:val="24"/>
        </w:rPr>
        <w:t xml:space="preserve">16) followed by causal two-head attention (key dimension 8),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xml:space="preserve">); and LSTM-CNN-Attention, LSTM followed by causal convolution, causal two-head attention, pooling and </w:t>
      </w:r>
      <w:proofErr w:type="gramStart"/>
      <w:r w:rsidRPr="00916F49">
        <w:rPr>
          <w:rFonts w:ascii="Times New Roman" w:hAnsi="Times New Roman"/>
          <w:bCs/>
          <w:sz w:val="24"/>
          <w:szCs w:val="24"/>
        </w:rPr>
        <w:t>Dense(</w:t>
      </w:r>
      <w:proofErr w:type="gramEnd"/>
      <w:r w:rsidRPr="00916F49">
        <w:rPr>
          <w:rFonts w:ascii="Times New Roman" w:hAnsi="Times New Roman"/>
          <w:bCs/>
          <w:sz w:val="24"/>
          <w:szCs w:val="24"/>
        </w:rPr>
        <w:t xml:space="preserve">8, </w:t>
      </w:r>
      <w:proofErr w:type="spellStart"/>
      <w:r w:rsidRPr="00916F49">
        <w:rPr>
          <w:rFonts w:ascii="Times New Roman" w:hAnsi="Times New Roman"/>
          <w:bCs/>
          <w:sz w:val="24"/>
          <w:szCs w:val="24"/>
        </w:rPr>
        <w:t>ReLU</w:t>
      </w:r>
      <w:proofErr w:type="spellEnd"/>
      <w:r w:rsidRPr="00916F49">
        <w:rPr>
          <w:rFonts w:ascii="Times New Roman" w:hAnsi="Times New Roman"/>
          <w:bCs/>
          <w:sz w:val="24"/>
          <w:szCs w:val="24"/>
        </w:rPr>
        <w:t>). Every architecture uses a linear output.</w:t>
      </w:r>
    </w:p>
    <w:p w14:paraId="49EE2873" w14:textId="18CC70C0"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lastRenderedPageBreak/>
        <w:t xml:space="preserve">All five architectures minimize the mean squared error objective in Eq. (6), where n is the number of supervised training sequences. This continuous-price objective is widely used in VMD-based deep stock-series forecasting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{"citationID":"89f9489d","properties":{"unsorted":false,"formattedCitation":"(T.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(T. Liu et al., 2022; Y. Liu et al., 2024)</w:t>
      </w:r>
      <w:r>
        <w:rPr>
          <w:rFonts w:ascii="Times New Roman" w:hAnsi="Times New Roman" w:cs="Times New Roman"/>
          <w:b/>
          <w:sz w:val="24"/>
          <w:szCs w:val="24"/>
        </w:rPr>
        <w:fldChar w:fldCharType="end"/>
      </w:r>
    </w:p>
    <w:p w14:paraId="4170E9C3" w14:textId="74EC2A11"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sSub>
          <m:sSubPr>
            <m:ctrlPr>
              <w:rPr>
                <w:rFonts w:ascii="Cambria Math" w:hAnsi="Cambria Math" w:cs="Times New Roman"/>
                <w:i/>
                <w:sz w:val="21"/>
              </w:rPr>
            </m:ctrlPr>
          </m:sSubPr>
          <m:e>
            <m:r>
              <w:rPr>
                <w:rFonts w:ascii="Cambria Math" w:hAnsi="Cambria Math" w:cs="Times New Roman"/>
                <w:sz w:val="21"/>
              </w:rPr>
              <m:t>L</m:t>
            </m:r>
          </m:e>
          <m:sub>
            <m:r>
              <w:rPr>
                <w:rFonts w:ascii="Cambria Math" w:hAnsi="Cambria Math" w:cs="Times New Roman"/>
                <w:sz w:val="21"/>
              </w:rPr>
              <m:t>MSE</m:t>
            </m:r>
          </m:sub>
        </m:sSub>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n</m:t>
            </m:r>
          </m:den>
        </m:f>
        <m:nary>
          <m:naryPr>
            <m:chr m:val="∑"/>
            <m:ctrlPr>
              <w:rPr>
                <w:rFonts w:ascii="Cambria Math" w:hAnsi="Cambria Math" w:cs="Times New Roman"/>
                <w:i/>
                <w:sz w:val="21"/>
              </w:rPr>
            </m:ctrlPr>
          </m:naryPr>
          <m:sub>
            <m:r>
              <w:rPr>
                <w:rFonts w:ascii="Cambria Math" w:hAnsi="Cambria Math" w:cs="Times New Roman"/>
                <w:sz w:val="21"/>
              </w:rPr>
              <m:t>t=1</m:t>
            </m:r>
          </m:sub>
          <m:sup>
            <m:r>
              <w:rPr>
                <w:rFonts w:ascii="Cambria Math" w:hAnsi="Cambria Math" w:cs="Times New Roman"/>
                <w:sz w:val="21"/>
              </w:rPr>
              <m:t>n</m:t>
            </m:r>
            <m:sSup>
              <m:sSupPr>
                <m:ctrlPr>
                  <w:rPr>
                    <w:rFonts w:ascii="Cambria Math" w:hAnsi="Cambria Math" w:cs="Times New Roman"/>
                    <w:i/>
                    <w:sz w:val="21"/>
                  </w:rPr>
                </m:ctrlPr>
              </m:sSupPr>
              <m:e>
                <m:d>
                  <m:dPr>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sz w:val="21"/>
                          </w:rPr>
                          <m:t>y</m:t>
                        </m:r>
                      </m:e>
                      <m:sub>
                        <m:r>
                          <w:rPr>
                            <w:rFonts w:ascii="Cambria Math" w:hAnsi="Cambria Math" w:cs="Times New Roman"/>
                            <w:sz w:val="21"/>
                          </w:rPr>
                          <m:t>t</m:t>
                        </m:r>
                      </m:sub>
                    </m:sSub>
                    <m:r>
                      <w:rPr>
                        <w:rFonts w:ascii="Cambria Math" w:hAnsi="Cambria Math" w:cs="Times New Roman"/>
                        <w:sz w:val="21"/>
                      </w:rPr>
                      <m:t>-</m:t>
                    </m:r>
                    <m:sSub>
                      <m:sSubPr>
                        <m:ctrlPr>
                          <w:rPr>
                            <w:rFonts w:ascii="Cambria Math" w:hAnsi="Cambria Math" w:cs="Times New Roman"/>
                            <w:i/>
                            <w:sz w:val="21"/>
                          </w:rPr>
                        </m:ctrlPr>
                      </m:sSubPr>
                      <m:e>
                        <m:acc>
                          <m:accPr>
                            <m:ctrlPr>
                              <w:rPr>
                                <w:rFonts w:ascii="Cambria Math" w:hAnsi="Cambria Math" w:cs="Times New Roman"/>
                                <w:i/>
                                <w:sz w:val="21"/>
                              </w:rPr>
                            </m:ctrlPr>
                          </m:accPr>
                          <m:e>
                            <m:r>
                              <w:rPr>
                                <w:rFonts w:ascii="Cambria Math" w:hAnsi="Cambria Math" w:cs="Times New Roman"/>
                                <w:sz w:val="21"/>
                              </w:rPr>
                              <m:t>y</m:t>
                            </m:r>
                          </m:e>
                        </m:acc>
                      </m:e>
                      <m:sub>
                        <m:r>
                          <w:rPr>
                            <w:rFonts w:ascii="Cambria Math" w:hAnsi="Cambria Math" w:cs="Times New Roman"/>
                            <w:sz w:val="21"/>
                          </w:rPr>
                          <m:t>t</m:t>
                        </m:r>
                      </m:sub>
                    </m:sSub>
                  </m:e>
                </m:d>
              </m:e>
              <m:sup>
                <m:r>
                  <w:rPr>
                    <w:rFonts w:ascii="Cambria Math" w:hAnsi="Cambria Math" w:cs="Times New Roman"/>
                    <w:sz w:val="21"/>
                  </w:rPr>
                  <m:t>2</m:t>
                </m:r>
              </m:sup>
            </m:sSup>
          </m:sup>
          <m:e>
            <m:r>
              <w:rPr>
                <w:rFonts w:ascii="Cambria Math" w:hAnsi="Cambria Math" w:cs="Times New Roman"/>
                <w:sz w:val="21"/>
              </w:rPr>
              <m:t xml:space="preserve"> </m:t>
            </m:r>
          </m:e>
        </m:nary>
      </m:oMath>
      <w:r w:rsidRPr="009960B6">
        <w:rPr>
          <w:rFonts w:ascii="Times New Roman" w:hAnsi="Times New Roman" w:cs="Times New Roman"/>
          <w:sz w:val="21"/>
        </w:rPr>
        <w:tab/>
      </w:r>
      <w:r w:rsidR="0034462D">
        <w:rPr>
          <w:rFonts w:ascii="Times New Roman" w:hAnsi="Times New Roman" w:cs="Times New Roman"/>
          <w:sz w:val="21"/>
        </w:rPr>
        <w:t>(6)</w:t>
      </w:r>
    </w:p>
    <w:p w14:paraId="00FE2F70" w14:textId="44D1D8A4"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All fits used Adam, mean squared error, 20 epochs, batch size 32 and shuffle = false. Random states were reset for every cell, deterministic TensorFlow operations were enabled, the </w:t>
      </w:r>
      <w:proofErr w:type="spellStart"/>
      <w:r w:rsidRPr="00916F49">
        <w:rPr>
          <w:rFonts w:ascii="Times New Roman" w:hAnsi="Times New Roman"/>
          <w:bCs/>
          <w:sz w:val="24"/>
          <w:szCs w:val="24"/>
        </w:rPr>
        <w:t>Keras</w:t>
      </w:r>
      <w:proofErr w:type="spellEnd"/>
      <w:r w:rsidRPr="00916F49">
        <w:rPr>
          <w:rFonts w:ascii="Times New Roman" w:hAnsi="Times New Roman"/>
          <w:bCs/>
          <w:sz w:val="24"/>
          <w:szCs w:val="24"/>
        </w:rPr>
        <w:t xml:space="preserve"> session was cleared between fits and min-max scaling was fitted only on the supervised training portion of each fold.</w:t>
      </w:r>
      <w:r w:rsidR="004A3C24" w:rsidRPr="004A3C24">
        <w:rPr>
          <w:rFonts w:ascii="Times New Roman" w:hAnsi="Times New Roman" w:cs="Times New Roman"/>
          <w:bCs/>
          <w:sz w:val="24"/>
          <w:szCs w:val="24"/>
        </w:rPr>
        <w:t xml:space="preserve"> Figure 4 summarizes the numerical feature construction, causal VMD arm and five fixed neural architectures.</w:t>
      </w:r>
    </w:p>
    <w:p w14:paraId="0A846481" w14:textId="63230709" w:rsidR="004A3C24" w:rsidRPr="004A3C24" w:rsidRDefault="0000017E" w:rsidP="009960B6">
      <w:pPr>
        <w:keepNext/>
        <w:spacing w:before="120" w:after="60" w:line="240" w:lineRule="auto"/>
        <w:jc w:val="center"/>
        <w:rPr>
          <w:rFonts w:ascii="Times New Roman" w:hAnsi="Times New Roman" w:cs="Times New Roman"/>
          <w:b/>
          <w:bCs/>
          <w:sz w:val="24"/>
          <w:szCs w:val="24"/>
          <w:highlight w:val="yellow"/>
        </w:rPr>
      </w:pPr>
      <w:r w:rsidRPr="0000017E">
        <w:rPr>
          <w:rFonts w:ascii="Times New Roman" w:hAnsi="Times New Roman" w:cs="Times New Roman"/>
          <w:b/>
          <w:bCs/>
          <w:noProof/>
          <w:sz w:val="24"/>
          <w:szCs w:val="24"/>
        </w:rPr>
        <w:drawing>
          <wp:inline distT="0" distB="0" distL="0" distR="0" wp14:anchorId="29AB1E7A" wp14:editId="0E5AAC8F">
            <wp:extent cx="5384800" cy="3522345"/>
            <wp:effectExtent l="0" t="0" r="6350" b="1905"/>
            <wp:docPr id="22246622" name="Figure 4" title="Figure 4" descr="Numerical feature construction, causal rolling VMD and the five registered neural archite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4800" cy="3522345"/>
                    </a:xfrm>
                    <a:prstGeom prst="rect">
                      <a:avLst/>
                    </a:prstGeom>
                    <a:noFill/>
                    <a:ln>
                      <a:noFill/>
                    </a:ln>
                  </pic:spPr>
                </pic:pic>
              </a:graphicData>
            </a:graphic>
          </wp:inline>
        </w:drawing>
      </w:r>
    </w:p>
    <w:p w14:paraId="022C2D7A" w14:textId="77777777" w:rsidR="004A3C24" w:rsidRPr="004A3C24" w:rsidRDefault="004A3C2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4.</w:t>
      </w:r>
      <w:r>
        <w:rPr>
          <w:rFonts w:ascii="Times New Roman" w:hAnsi="Times New Roman" w:cs="Times New Roman"/>
          <w:sz w:val="20"/>
          <w:szCs w:val="20"/>
        </w:rPr>
        <w:t xml:space="preserve"> Numerical inputs, causal VMD and registered architectures. The 116-feature technical-analysis representation is compared with a 122-feature representation obtained by adding six variables from causal rolling VMD fitted to a trailing 60-day window. Both representations are evaluated through the same five-model panel.</w:t>
      </w:r>
    </w:p>
    <w:p w14:paraId="073EA14E" w14:textId="504F02D3"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3.6 Multimodal and LLM Evaluation</w:t>
      </w:r>
    </w:p>
    <w:p w14:paraId="4D533293" w14:textId="627F2723"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Observed </w:t>
      </w:r>
      <w:r w:rsidR="000B323C" w:rsidRPr="00916F49">
        <w:rPr>
          <w:rFonts w:ascii="Times New Roman" w:hAnsi="Times New Roman"/>
          <w:bCs/>
          <w:sz w:val="24"/>
          <w:szCs w:val="24"/>
        </w:rPr>
        <w:t>predicted news</w:t>
      </w:r>
      <w:r w:rsidRPr="00916F49">
        <w:rPr>
          <w:rFonts w:ascii="Times New Roman" w:hAnsi="Times New Roman"/>
          <w:bCs/>
          <w:sz w:val="24"/>
          <w:szCs w:val="24"/>
        </w:rPr>
        <w:t xml:space="preserve"> features were compared with a date-matched Market-Only arm and four falsification controls: News-Only, date-shuffled news, news lagged by five rows and matched random features. All arms retained the frozen architecture, window, cohort, seeds and training budget. The registered family comprised 100 model-control cells and 400 fits. Primary contrasts </w:t>
      </w:r>
      <w:r w:rsidRPr="00916F49">
        <w:rPr>
          <w:rFonts w:ascii="Times New Roman" w:hAnsi="Times New Roman"/>
          <w:bCs/>
          <w:sz w:val="24"/>
          <w:szCs w:val="24"/>
        </w:rPr>
        <w:lastRenderedPageBreak/>
        <w:t>were Observed-News minus Market-Only and Observed-News minus Shuffled-News; the remaining controls are retained in the complete evidence bundle.</w:t>
      </w:r>
    </w:p>
    <w:p w14:paraId="1A2AED39" w14:textId="3D7F66D8"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Local relevance and sentiment pipelines were evaluated annually on out-of-sample pairs, while the LLM benchmark used a separate locked design. A class-stratified set of 60 pairs from 2022 was used once to validate prompts before the 2023 cohort was opened. The Bull worker, Bear worker and Leader used the same proprietary model under distinct prompts; the Leader returned positive, neutral and negative probabilities and a scalar sentiment score. Controls were one pass, three identical-prompt self-consistency passes matching the role-system call count and four passes within the frozen +/-15% cost band. Accuracy was the primary intrinsic endpoint, Macro-F1 was supporting evidence, uncertainty was clustered by </w:t>
      </w:r>
      <w:proofErr w:type="gramStart"/>
      <w:r w:rsidRPr="00916F49">
        <w:rPr>
          <w:rFonts w:ascii="Times New Roman" w:hAnsi="Times New Roman"/>
          <w:bCs/>
          <w:sz w:val="24"/>
          <w:szCs w:val="24"/>
        </w:rPr>
        <w:t>article</w:t>
      </w:r>
      <w:proofErr w:type="gramEnd"/>
      <w:r w:rsidRPr="00916F49">
        <w:rPr>
          <w:rFonts w:ascii="Times New Roman" w:hAnsi="Times New Roman"/>
          <w:bCs/>
          <w:sz w:val="24"/>
          <w:szCs w:val="24"/>
        </w:rPr>
        <w:t xml:space="preserve"> and the two Leader contrasts were Holm-adjusted.</w:t>
      </w:r>
    </w:p>
    <w:p w14:paraId="73F1535D" w14:textId="1B3631A4" w:rsidR="00916F49" w:rsidRPr="00916F49" w:rsidRDefault="00880654" w:rsidP="009960B6">
      <w:pPr>
        <w:spacing w:line="360" w:lineRule="auto"/>
        <w:jc w:val="both"/>
        <w:rPr>
          <w:rFonts w:ascii="Times New Roman" w:hAnsi="Times New Roman"/>
          <w:bCs/>
          <w:sz w:val="24"/>
          <w:szCs w:val="24"/>
        </w:rPr>
      </w:pPr>
      <w:r>
        <w:rPr>
          <w:rFonts w:ascii="Times New Roman" w:hAnsi="Times New Roman"/>
          <w:bCs/>
          <w:sz w:val="24"/>
          <w:szCs w:val="24"/>
        </w:rPr>
        <w:t xml:space="preserve">The audited downstream forecasting route uses expanding out-of-sample Local-NLP daily features together with the registered Market-Only, News-Only, shuffled-news, lagged-news and random-feature controls. The Bull/Bear/Leader system is evaluated separately on the locked 2023 intrinsic sentiment </w:t>
      </w:r>
      <w:proofErr w:type="gramStart"/>
      <w:r>
        <w:rPr>
          <w:rFonts w:ascii="Times New Roman" w:hAnsi="Times New Roman"/>
          <w:bCs/>
          <w:sz w:val="24"/>
          <w:szCs w:val="24"/>
        </w:rPr>
        <w:t>cohort</w:t>
      </w:r>
      <w:proofErr w:type="gramEnd"/>
      <w:r>
        <w:rPr>
          <w:rFonts w:ascii="Times New Roman" w:hAnsi="Times New Roman"/>
          <w:bCs/>
          <w:sz w:val="24"/>
          <w:szCs w:val="24"/>
        </w:rPr>
        <w:t xml:space="preserve"> and its sentiment accuracy is not interpreted as evidence of downstream forecasting value. Figure 5 summarizes these two distinct audit components.</w:t>
      </w:r>
    </w:p>
    <w:p w14:paraId="115DC18F" w14:textId="6D302617" w:rsidR="004A3C24" w:rsidRPr="004A3C24" w:rsidRDefault="00BE5FE7" w:rsidP="00BE5FE7">
      <w:pPr>
        <w:keepNext/>
        <w:spacing w:before="120" w:after="60" w:line="240" w:lineRule="auto"/>
        <w:jc w:val="center"/>
        <w:rPr>
          <w:rFonts w:ascii="Times New Roman" w:hAnsi="Times New Roman" w:cs="Times New Roman"/>
          <w:b/>
          <w:bCs/>
          <w:sz w:val="24"/>
          <w:szCs w:val="24"/>
          <w:highlight w:val="yellow"/>
        </w:rPr>
      </w:pPr>
      <w:r>
        <w:rPr>
          <w:rFonts w:ascii="Times New Roman" w:hAnsi="Times New Roman" w:cs="Times New Roman"/>
          <w:b/>
          <w:bCs/>
          <w:noProof/>
          <w:sz w:val="24"/>
          <w:szCs w:val="24"/>
        </w:rPr>
        <w:drawing>
          <wp:inline distT="0" distB="0" distL="0" distR="0" wp14:anchorId="6B3228E1" wp14:editId="497A09A4">
            <wp:extent cx="5400000" cy="2621538"/>
            <wp:effectExtent l="0" t="0" r="0" b="7620"/>
            <wp:docPr id="438085888" name="Figure 5" title="Figure 5" descr="Separate downstream SET50 news-forecasting audit and locked intrinsic Bull-Bear-Leader sentiment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85888"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00" cy="2621538"/>
                    </a:xfrm>
                    <a:prstGeom prst="rect">
                      <a:avLst/>
                    </a:prstGeom>
                  </pic:spPr>
                </pic:pic>
              </a:graphicData>
            </a:graphic>
          </wp:inline>
        </w:drawing>
      </w:r>
    </w:p>
    <w:p w14:paraId="1E48F48C" w14:textId="6D2CA1A5" w:rsidR="004A3C24" w:rsidRPr="00814095" w:rsidRDefault="00880654" w:rsidP="009960B6">
      <w:pPr>
        <w:pStyle w:val="Caption"/>
        <w:keepLines/>
        <w:spacing w:before="60" w:after="120" w:line="240" w:lineRule="auto"/>
        <w:jc w:val="center"/>
        <w:rPr>
          <w:rFonts w:ascii="Times New Roman" w:hAnsi="Times New Roman" w:cs="Times New Roman"/>
          <w:sz w:val="24"/>
          <w:szCs w:val="24"/>
        </w:rPr>
      </w:pPr>
      <w:r>
        <w:rPr>
          <w:rFonts w:ascii="Times New Roman" w:hAnsi="Times New Roman" w:cs="Times New Roman"/>
          <w:sz w:val="20"/>
          <w:szCs w:val="20"/>
          <w:b/>
          <w:bCs/>
        </w:rPr>
        <w:t>Figure 5.</w:t>
      </w:r>
      <w:r>
        <w:rPr>
          <w:rFonts w:ascii="Times New Roman" w:hAnsi="Times New Roman" w:cs="Times New Roman"/>
          <w:sz w:val="20"/>
          <w:szCs w:val="20"/>
        </w:rPr>
        <w:t xml:space="preserve"> Separate multimodal forecasting and role-structured sentiment audits. The forecasting experiment compares Market-Only with point-in-time Local-NLP predicted news and its falsification controls. The locked 2023 Bull/Bear/Leader benchmark is evaluated only against compute-matched sentiment controls and is not used as a downstream forecasting arm.</w:t>
      </w:r>
    </w:p>
    <w:p w14:paraId="2C445A47" w14:textId="5EF5FF1D"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3.7 Market Regimes and SHAP</w:t>
      </w:r>
    </w:p>
    <w:p w14:paraId="738C4AA0" w14:textId="7C40348B"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Daily regimes are assigned without future information using the causal trend score in Eq. (7).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contains the six return horizons in Eq. (8); </w:t>
      </w:r>
      <w:r w:rsidRPr="0034462D">
        <w:rPr>
          <w:rFonts w:ascii="Times New Roman" w:hAnsi="Times New Roman" w:cs="Times New Roman"/>
          <w:color w:val="000000"/>
          <w:sz w:val="24"/>
          <w:szCs w:val="24"/>
          <w:i/>
          <w:iCs/>
        </w:rPr>
        <w:t>σ</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v</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i/>
          <w:iCs/>
          <w:vertAlign w:val="subscript"/>
        </w:rPr>
        <w:t>h</w:t>
      </w:r>
      <w:r w:rsidRPr="0034462D">
        <w:rPr>
          <w:rFonts w:ascii="Times New Roman" w:hAnsi="Times New Roman" w:cs="Times New Roman"/>
          <w:color w:val="000000"/>
          <w:sz w:val="24"/>
          <w:szCs w:val="24"/>
          <w:vertAlign w:val="subscript"/>
        </w:rPr>
        <w:t>)</w:t>
      </w:r>
      <w:r w:rsidRPr="0034462D">
        <w:rPr>
          <w:rFonts w:ascii="Times New Roman" w:hAnsi="Times New Roman" w:cs="Times New Roman"/>
          <w:color w:val="000000"/>
          <w:sz w:val="24"/>
          <w:szCs w:val="24"/>
        </w:rPr>
        <w:t xml:space="preserve"> is trailing volatility, with </w:t>
      </w:r>
      <w:proofErr w:type="spellStart"/>
      <w:proofErr w:type="gramStart"/>
      <w:proofErr w:type="spellEnd"/>
      <w:proofErr w:type="gramEnd"/>
      <w:r w:rsidRPr="0034462D">
        <w:rPr>
          <w:rFonts w:ascii="Times New Roman" w:hAnsi="Times New Roman" w:cs="Times New Roman"/>
          <w:color w:val="000000"/>
          <w:sz w:val="24"/>
          <w:szCs w:val="24"/>
          <w:i/>
          <w:iCs/>
        </w:rPr>
        <w:t>v</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 20</w:t>
      </w:r>
      <w:r w:rsidRPr="0034462D">
        <w:rPr>
          <w:rFonts w:ascii="Times New Roman" w:hAnsi="Times New Roman" w:cs="Times New Roman"/>
          <w:color w:val="000000"/>
          <w:sz w:val="24"/>
          <w:szCs w:val="24"/>
        </w:rPr>
        <w:t xml:space="preserve"> sessions for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up to 20 and 60 sessions for </w:t>
      </w:r>
      <w:r w:rsidRPr="0034462D">
        <w:rPr>
          <w:rFonts w:ascii="Times New Roman" w:hAnsi="Times New Roman" w:cs="Times New Roman"/>
          <w:color w:val="000000"/>
          <w:sz w:val="24"/>
          <w:szCs w:val="24"/>
          <w:i/>
          <w:iCs/>
        </w:rPr>
        <w:t>h</w:t>
      </w:r>
      <w:r w:rsidRPr="0034462D">
        <w:rPr>
          <w:rFonts w:ascii="Times New Roman" w:hAnsi="Times New Roman" w:cs="Times New Roman"/>
          <w:color w:val="000000"/>
          <w:sz w:val="24"/>
          <w:szCs w:val="24"/>
        </w:rPr>
        <w:t xml:space="preserve"> = 60</w:t>
      </w:r>
      <w:r w:rsidRPr="0034462D">
        <w:rPr>
          <w:rFonts w:ascii="Times New Roman" w:hAnsi="Times New Roman" w:cs="Times New Roman"/>
          <w:color w:val="000000"/>
          <w:sz w:val="24"/>
          <w:szCs w:val="24"/>
        </w:rPr>
        <w:t xml:space="preserve">. </w:t>
      </w:r>
      <w:r w:rsidRPr="0034462D">
        <w:rPr>
          <w:rFonts w:ascii="Times New Roman" w:hAnsi="Times New Roman" w:cs="Times New Roman"/>
          <w:color w:val="000000"/>
          <w:sz w:val="24"/>
          <w:szCs w:val="24"/>
        </w:rPr>
        <w:t>ADX</w:t>
      </w:r>
      <w:r w:rsidRPr="0034462D">
        <w:rPr>
          <w:rFonts w:ascii="Times New Roman" w:hAnsi="Times New Roman" w:cs="Times New Roman"/>
          <w:color w:val="000000"/>
          <w:sz w:val="24"/>
          <w:szCs w:val="24"/>
          <w:vertAlign w:val="subscript"/>
        </w:rPr>
        <w:t>14,</w:t>
      </w:r>
      <w:r w:rsidRPr="0034462D">
        <w:rPr>
          <w:rFonts w:ascii="Times New Roman" w:hAnsi="Times New Roman" w:cs="Times New Roman"/>
          <w:color w:val="000000"/>
          <w:sz w:val="24"/>
          <w:szCs w:val="24"/>
          <w:i/>
          <w:iCs/>
          <w:vertAlign w:val="subscript"/>
        </w:rPr>
        <w:t>t</w:t>
      </w:r>
      <w:r w:rsidRPr="0034462D">
        <w:rPr>
          <w:rFonts w:ascii="Times New Roman" w:hAnsi="Times New Roman" w:cs="Times New Roman"/>
          <w:color w:val="000000"/>
          <w:sz w:val="24"/>
          <w:szCs w:val="24"/>
        </w:rPr>
        <w:t xml:space="preserve"> scales trend strength and </w:t>
      </w:r>
      <w:proofErr w:type="gramStart"/>
      <w:proofErr w:type="gramEnd"/>
      <w:r w:rsidRPr="0034462D">
        <w:rPr>
          <w:rFonts w:ascii="Times New Roman" w:hAnsi="Times New Roman" w:cs="Times New Roman"/>
          <w:color w:val="000000"/>
          <w:sz w:val="24"/>
          <w:szCs w:val="24"/>
        </w:rPr>
        <w:t>EWMA</w:t>
      </w:r>
      <w:r w:rsidRPr="0034462D">
        <w:rPr>
          <w:rFonts w:ascii="Times New Roman" w:hAnsi="Times New Roman" w:cs="Times New Roman"/>
          <w:color w:val="000000"/>
          <w:sz w:val="24"/>
          <w:szCs w:val="24"/>
          <w:vertAlign w:val="subscript"/>
        </w:rPr>
        <w:t>3</w:t>
      </w:r>
      <w:r w:rsidRPr="0034462D">
        <w:rPr>
          <w:rFonts w:ascii="Times New Roman" w:hAnsi="Times New Roman" w:cs="Times New Roman"/>
          <w:color w:val="000000"/>
          <w:sz w:val="24"/>
          <w:szCs w:val="24"/>
        </w:rPr>
        <w:t xml:space="preserve"> </w:t>
      </w:r>
      <w:proofErr w:type="gramStart"/>
      <w:r w:rsidRPr="0034462D">
        <w:rPr>
          <w:rFonts w:ascii="Times New Roman" w:hAnsi="Times New Roman" w:cs="Times New Roman"/>
          <w:color w:val="000000"/>
          <w:sz w:val="24"/>
        </w:rPr>
        <w:t>smooths</w:t>
      </w:r>
      <w:proofErr w:type="gramEnd"/>
      <w:r w:rsidRPr="0034462D">
        <w:rPr>
          <w:rFonts w:ascii="Times New Roman" w:hAnsi="Times New Roman" w:cs="Times New Roman"/>
          <w:color w:val="000000"/>
          <w:sz w:val="24"/>
        </w:rPr>
        <w:t xml:space="preserve"> the composite score. The construction adapts bull/bear phase analysis, multi-horizon time-series momentum and ADX trend strength to a causal day-level routing rule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{"citationID":"6e9e6216","properties":{"unsorted":false,"formattedCitation":"(Pagan \u0026 Sossounov, 2003; Moskowitz et al., 2012; Wilder, 1978)","plainCitation":"(Pagan \u0026 Sossounov, 2003; Moskowitz et al., 2012; Wilder, 1978)","noteIndex":0},"citationItems":[{"id":20,"uris":["http://zotero.org/users/local/DPQnJvcs/items/RQKMDA85"],"itemData":{"id":20,"type":"article-journal","container-title":"Journal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Heje"}],"issued":{"date-parts":[["2012"]]}}},{"id":22,"uris":["http://zotero.org/users/local/DPQnJvcs/items/HCF6V88D"],"itemData":{"id":22,"type":"book","publisher":"Trend Research","publisher-place":"Greensboro, NC","title":"New Concepts in Technical Trading Systems","author":[{"family":"Wilder","given":"J. Welles Jr."}],"issued":{"date-parts":[["1978"]]}}}],"schema":"https://github.com/citation-style-language/schema/raw/master/csl-citation.json"}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 Wilder, 1978)</w:t>
      </w:r>
      <w:r>
        <w:rPr>
          <w:rFonts w:ascii="Times New Roman" w:eastAsia="Times New Roman" w:hAnsi="Times New Roman" w:cs="Times New Roman"/>
          <w:b/>
          <w:sz w:val="24"/>
          <w:szCs w:val="24"/>
        </w:rPr>
        <w:fldChar w:fldCharType="end"/>
      </w:r>
    </w:p>
    <w:p w14:paraId="13DC64FF" w14:textId="2AA3A176"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hint="eastAsia"/>
        </w:rPr>
        <w:tab/>
      </w:r>
      <m:oMath>
        <m:sSub>
          <m:sSubPr>
            <m:ctrlPr>
              <w:rPr>
                <w:rFonts w:ascii="Cambria Math" w:hAnsi="Cambria Math" w:cs="Times New Roman"/>
                <w:i/>
              </w:rPr>
            </m:ctrlPr>
          </m:sSubPr>
          <m:e>
            <m:r>
              <w:rPr>
                <w:rFonts w:ascii="Cambria Math" w:hAnsi="Cambria Math" w:cs="Times New Roman" w:hint="eastAsia"/>
              </w:rPr>
              <m:t>z</m:t>
            </m:r>
            <m:ctrlPr>
              <w:rPr>
                <w:rFonts w:ascii="Cambria Math" w:hAnsi="Cambria Math" w:cs="Times New Roman" w:hint="eastAsia"/>
                <w:i/>
              </w:rPr>
            </m:ctrlPr>
          </m:e>
          <m:sub>
            <m:r>
              <w:rPr>
                <w:rFonts w:ascii="Cambria Math" w:hAnsi="Cambria Math" w:cs="Times New Roman" w:hint="eastAsia"/>
              </w:rPr>
              <m:t>t</m:t>
            </m:r>
          </m:sub>
        </m:sSub>
        <m:r>
          <w:rPr>
            <w:rFonts w:ascii="Cambria Math" w:hAnsi="Cambria Math" w:cs="Times New Roman" w:hint="eastAsia"/>
          </w:rPr>
          <m:t>=EWM</m:t>
        </m:r>
        <m:sSub>
          <m:sSubPr>
            <m:ctrlPr>
              <w:rPr>
                <w:rFonts w:ascii="Cambria Math" w:hAnsi="Cambria Math" w:cs="Times New Roman"/>
                <w:i/>
              </w:rPr>
            </m:ctrlPr>
          </m:sSubPr>
          <m:e>
            <m:r>
              <w:rPr>
                <w:rFonts w:ascii="Cambria Math" w:hAnsi="Cambria Math" w:cs="Times New Roman" w:hint="eastAsia"/>
              </w:rPr>
              <m:t>A</m:t>
            </m:r>
            <m:ctrlPr>
              <w:rPr>
                <w:rFonts w:ascii="Cambria Math" w:hAnsi="Cambria Math" w:cs="Times New Roman" w:hint="eastAsia"/>
                <w:i/>
              </w:rPr>
            </m:ctrlPr>
          </m:e>
          <m:sub>
            <m:r>
              <w:rPr>
                <w:rFonts w:ascii="Cambria Math" w:hAnsi="Cambria Math" w:cs="Times New Roman" w:hint="eastAsia"/>
              </w:rPr>
              <m:t>3</m:t>
            </m:r>
            <m:d>
              <m:dPr>
                <m:begChr m:val="["/>
                <m:endChr m:val="]"/>
                <m:ctrlPr>
                  <w:rPr>
                    <w:rFonts w:ascii="Cambria Math" w:hAnsi="Cambria Math" w:cs="Times New Roman"/>
                    <w:i/>
                  </w:rPr>
                </m:ctrlPr>
              </m:d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hint="eastAsia"/>
                          </w:rPr>
                          <m:t>AD</m:t>
                        </m:r>
                        <m:sSub>
                          <m:sSubPr>
                            <m:ctrlPr>
                              <w:rPr>
                                <w:rFonts w:ascii="Cambria Math" w:hAnsi="Cambria Math" w:cs="Times New Roman"/>
                                <w:i/>
                              </w:rPr>
                            </m:ctrlPr>
                          </m:sSubPr>
                          <m:e>
                            <m:r>
                              <w:rPr>
                                <w:rFonts w:ascii="Cambria Math" w:hAnsi="Cambria Math" w:cs="Times New Roman" w:hint="eastAsia"/>
                              </w:rPr>
                              <m:t>X</m:t>
                            </m:r>
                            <m:ctrlPr>
                              <w:rPr>
                                <w:rFonts w:ascii="Cambria Math" w:hAnsi="Cambria Math" w:cs="Times New Roman" w:hint="eastAsia"/>
                                <w:i/>
                              </w:rPr>
                            </m:ctrlPr>
                          </m:e>
                          <m:sub>
                            <m:r>
                              <w:rPr>
                                <w:rFonts w:ascii="Cambria Math" w:hAnsi="Cambria Math" w:cs="Times New Roman" w:hint="eastAsia"/>
                              </w:rPr>
                              <m:t>14,t</m:t>
                            </m:r>
                          </m:sub>
                        </m:sSub>
                      </m:num>
                      <m:den>
                        <m:r>
                          <w:rPr>
                            <w:rFonts w:ascii="Cambria Math" w:hAnsi="Cambria Math" w:cs="Times New Roman" w:hint="eastAsia"/>
                          </w:rPr>
                          <m:t>100</m:t>
                        </m:r>
                      </m:den>
                    </m:f>
                  </m:e>
                </m:d>
                <m:nary>
                  <m:naryPr>
                    <m:chr m:val="∑"/>
                    <m:supHide m:val="1"/>
                    <m:ctrlPr>
                      <w:rPr>
                        <w:rFonts w:ascii="Cambria Math" w:hAnsi="Cambria Math" w:cs="Times New Roman"/>
                        <w:i/>
                      </w:rPr>
                    </m:ctrlPr>
                  </m:naryPr>
                  <m:sub>
                    <m:r>
                      <w:rPr>
                        <w:rFonts w:ascii="Cambria Math" w:hAnsi="Cambria Math" w:cs="Cambria Math"/>
                      </w:rPr>
                      <m:t>h</m:t>
                    </m:r>
                    <m:r>
                      <w:rPr>
                        <w:rFonts w:ascii="Cambria Math" w:hAnsi="Cambria Math" w:cs="Times New Roman" w:hint="eastAsia"/>
                      </w:rPr>
                      <m:t>∈</m:t>
                    </m:r>
                    <m:r>
                      <w:rPr>
                        <w:rFonts w:ascii="Cambria Math" w:hAnsi="Cambria Math" w:cs="Times New Roman" w:hint="eastAsia"/>
                      </w:rPr>
                      <m:t>H</m:t>
                    </m:r>
                  </m:sub>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hint="eastAsia"/>
                              </w:rPr>
                              <m:t>w</m:t>
                            </m:r>
                          </m:e>
                          <m:sub>
                            <m:r>
                              <w:rPr>
                                <w:rFonts w:ascii="Cambria Math" w:hAnsi="Cambria Math" w:cs="Cambria Math"/>
                              </w:rPr>
                              <m:t>h</m:t>
                            </m:r>
                          </m:sub>
                        </m:sSub>
                        <m:sSub>
                          <m:sSubPr>
                            <m:ctrlPr>
                              <w:rPr>
                                <w:rFonts w:ascii="Cambria Math" w:hAnsi="Cambria Math" w:cs="Times New Roman"/>
                                <w:i/>
                              </w:rPr>
                            </m:ctrlPr>
                          </m:sSubPr>
                          <m:e>
                            <m:r>
                              <w:rPr>
                                <w:rFonts w:ascii="Cambria Math" w:hAnsi="Cambria Math" w:cs="Times New Roman" w:hint="eastAsia"/>
                              </w:rPr>
                              <m:t>R</m:t>
                            </m:r>
                            <m:ctrlPr>
                              <w:rPr>
                                <w:rFonts w:ascii="Cambria Math" w:hAnsi="Cambria Math" w:cs="Times New Roman" w:hint="eastAsia"/>
                                <w:i/>
                              </w:rPr>
                            </m:ctrlPr>
                          </m:e>
                          <m:sub>
                            <m:r>
                              <w:rPr>
                                <w:rFonts w:ascii="Cambria Math" w:hAnsi="Cambria Math" w:cs="Times New Roman" w:hint="eastAsia"/>
                              </w:rPr>
                              <m:t>t,</m:t>
                            </m:r>
                            <m:r>
                              <w:rPr>
                                <w:rFonts w:ascii="Cambria Math" w:hAnsi="Cambria Math" w:cs="Cambria Math"/>
                              </w:rPr>
                              <m:t>h</m:t>
                            </m:r>
                          </m:sub>
                        </m:sSub>
                      </m:num>
                      <m:den>
                        <m:sSub>
                          <m:sSubPr>
                            <m:ctrlPr>
                              <w:rPr>
                                <w:rFonts w:ascii="Cambria Math" w:hAnsi="Cambria Math" w:cs="Times New Roman"/>
                                <w:i/>
                              </w:rPr>
                            </m:ctrlPr>
                          </m:sSubPr>
                          <m:e>
                            <m:r>
                              <w:rPr>
                                <w:rFonts w:ascii="Cambria Math" w:hAnsi="Cambria Math" w:cs="Times New Roman" w:hint="eastAsia"/>
                              </w:rPr>
                              <m:t>σ</m:t>
                            </m:r>
                          </m:e>
                          <m:sub>
                            <m:r>
                              <w:rPr>
                                <w:rFonts w:ascii="Cambria Math" w:hAnsi="Cambria Math" w:cs="Times New Roman" w:hint="eastAsia"/>
                              </w:rPr>
                              <m:t>t,v</m:t>
                            </m:r>
                            <m:d>
                              <m:dPr>
                                <m:ctrlPr>
                                  <w:rPr>
                                    <w:rFonts w:ascii="Cambria Math" w:hAnsi="Cambria Math" w:cs="Times New Roman"/>
                                    <w:i/>
                                  </w:rPr>
                                </m:ctrlPr>
                              </m:dPr>
                              <m:e>
                                <m:r>
                                  <w:rPr>
                                    <w:rFonts w:ascii="Cambria Math" w:hAnsi="Cambria Math" w:cs="Cambria Math"/>
                                  </w:rPr>
                                  <m:t>h</m:t>
                                </m:r>
                              </m:e>
                            </m:d>
                          </m:sub>
                        </m:sSub>
                        <m:r>
                          <w:rPr>
                            <w:rFonts w:ascii="Cambria Math" w:hAnsi="Cambria Math" w:cs="Times New Roman" w:hint="eastAsia"/>
                          </w:rPr>
                          <m:t>sqrt</m:t>
                        </m:r>
                        <m:d>
                          <m:dPr>
                            <m:ctrlPr>
                              <w:rPr>
                                <w:rFonts w:ascii="Cambria Math" w:hAnsi="Cambria Math" w:cs="Times New Roman"/>
                                <w:i/>
                              </w:rPr>
                            </m:ctrlPr>
                          </m:dPr>
                          <m:e>
                            <m:r>
                              <w:rPr>
                                <w:rFonts w:ascii="Cambria Math" w:hAnsi="Cambria Math" w:cs="Cambria Math"/>
                              </w:rPr>
                              <m:t>h</m:t>
                            </m:r>
                          </m:e>
                        </m:d>
                      </m:den>
                    </m:f>
                  </m:e>
                </m:nary>
              </m:e>
            </m:d>
          </m:sub>
        </m:sSub>
      </m:oMath>
      <w:r w:rsidRPr="009960B6">
        <w:rPr>
          <w:rFonts w:ascii="Times New Roman" w:hAnsi="Times New Roman" w:cs="Times New Roman" w:hint="eastAsia"/>
        </w:rPr>
        <w:tab/>
      </w:r>
      <w:r w:rsidR="0034462D">
        <w:rPr>
          <w:rFonts w:ascii="Times New Roman" w:hAnsi="Times New Roman" w:cs="Times New Roman"/>
        </w:rPr>
        <w:t>(7)</w:t>
      </w:r>
    </w:p>
    <w:p w14:paraId="01C5CB18" w14:textId="62CBD92F"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r>
          <w:rPr>
            <w:rFonts w:ascii="Cambria Math" w:hAnsi="Cambria Math" w:cs="Times New Roman"/>
          </w:rPr>
          <m:t>H=</m:t>
        </m:r>
        <m:d>
          <m:dPr>
            <m:begChr m:val="{"/>
            <m:endChr m:val="}"/>
            <m:ctrlPr>
              <w:rPr>
                <w:rFonts w:ascii="Cambria Math" w:hAnsi="Cambria Math" w:cs="Times New Roman"/>
                <w:i/>
              </w:rPr>
            </m:ctrlPr>
          </m:dPr>
          <m:e>
            <m:r>
              <w:rPr>
                <w:rFonts w:ascii="Cambria Math" w:hAnsi="Cambria Math" w:cs="Times New Roman"/>
              </w:rPr>
              <m:t>1,3,5,10,20,60</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0.05,0.10,0.15,0.20,0.25,0.25</m:t>
            </m:r>
          </m:e>
        </m:d>
      </m:oMath>
      <w:r w:rsidRPr="009960B6">
        <w:rPr>
          <w:rFonts w:ascii="Times New Roman" w:hAnsi="Times New Roman" w:cs="Times New Roman"/>
        </w:rPr>
        <w:tab/>
      </w:r>
      <w:r w:rsidR="0034462D">
        <w:rPr>
          <w:rFonts w:ascii="Times New Roman" w:hAnsi="Times New Roman" w:cs="Times New Roman"/>
        </w:rPr>
        <w:t>(8)</w:t>
      </w:r>
    </w:p>
    <w:p w14:paraId="50CD31E5" w14:textId="39344F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For outer fold </w:t>
      </w:r>
      <w:r w:rsidRPr="0034462D">
        <w:rPr>
          <w:rFonts w:ascii="Times New Roman" w:hAnsi="Times New Roman" w:cs="Times New Roman"/>
          <w:color w:val="000000"/>
          <w:sz w:val="24"/>
          <w:szCs w:val="24"/>
          <w:i/>
          <w:iCs/>
        </w:rPr>
        <w:t>f</w:t>
      </w:r>
      <w:r w:rsidRPr="0034462D">
        <w:rPr>
          <w:rFonts w:ascii="Times New Roman" w:hAnsi="Times New Roman" w:cs="Times New Roman"/>
          <w:color w:val="000000"/>
          <w:sz w:val="24"/>
          <w:szCs w:val="24"/>
        </w:rPr>
        <w:t xml:space="preserve">, the symmetric deadband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szCs w:val="24"/>
        </w:rPr>
        <w:t xml:space="preserve"> in Eq. (9) is the 35th percentile of absolute training-fold scores only. Date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is Bull when </w:t>
      </w:r>
      <w:proofErr w:type="spellStart"/>
      <w:r w:rsidRPr="0034462D">
        <w:rPr>
          <w:rFonts w:ascii="Times New Roman" w:hAnsi="Times New Roman" w:cs="Times New Roman"/>
          <w:color w:val="000000"/>
          <w:sz w:val="24"/>
          <w:szCs w:val="24"/>
          <w:i/>
          <w:iCs/>
        </w:rPr>
        <w:t>z</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exceeds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rPr>
        <w:t xml:space="preserve">, Bear when </w:t>
      </w:r>
      <w:proofErr w:type="spellStart"/>
      <w:r w:rsidRPr="0034462D">
        <w:rPr>
          <w:rFonts w:ascii="Times New Roman" w:hAnsi="Times New Roman" w:cs="Times New Roman"/>
          <w:color w:val="000000"/>
          <w:sz w:val="24"/>
          <w:szCs w:val="24"/>
          <w:i/>
          <w:iCs/>
        </w:rPr>
        <w:t>z</w:t>
      </w:r>
      <w:r w:rsidRPr="0034462D">
        <w:rPr>
          <w:rFonts w:ascii="Times New Roman" w:hAnsi="Times New Roman" w:cs="Times New Roman"/>
          <w:color w:val="000000"/>
          <w:sz w:val="24"/>
          <w:szCs w:val="24"/>
          <w:i/>
          <w:iCs/>
          <w:vertAlign w:val="subscript"/>
        </w:rPr>
        <w:t>t</w:t>
      </w:r>
      <w:proofErr w:type="spellEnd"/>
      <w:r w:rsidRPr="0034462D">
        <w:rPr>
          <w:rFonts w:ascii="Times New Roman" w:hAnsi="Times New Roman" w:cs="Times New Roman"/>
          <w:color w:val="000000"/>
          <w:sz w:val="24"/>
        </w:rPr>
        <w:t xml:space="preserve"> is below -</w:t>
      </w:r>
      <w:proofErr w:type="spellStart"/>
      <w:r w:rsidRPr="0034462D">
        <w:rPr>
          <w:rFonts w:ascii="Times New Roman" w:hAnsi="Times New Roman" w:cs="Times New Roman"/>
          <w:color w:val="000000"/>
          <w:sz w:val="24"/>
          <w:szCs w:val="24"/>
          <w:i/>
          <w:iCs/>
        </w:rPr>
        <w:t>λ</w:t>
      </w:r>
      <w:r w:rsidRPr="0034462D">
        <w:rPr>
          <w:rFonts w:ascii="Times New Roman" w:hAnsi="Times New Roman" w:cs="Times New Roman"/>
          <w:color w:val="000000"/>
          <w:sz w:val="24"/>
          <w:szCs w:val="24"/>
          <w:i/>
          <w:iCs/>
          <w:vertAlign w:val="subscript"/>
        </w:rPr>
        <w:t>f</w:t>
      </w:r>
      <w:proofErr w:type="spellEnd"/>
      <w:r w:rsidRPr="0034462D">
        <w:rPr>
          <w:rFonts w:ascii="Times New Roman" w:hAnsi="Times New Roman" w:cs="Times New Roman"/>
          <w:color w:val="000000"/>
          <w:sz w:val="24"/>
        </w:rPr>
        <w:t xml:space="preserve"> and </w:t>
      </w:r>
      <w:proofErr w:type="gramStart"/>
      <w:r w:rsidRPr="0034462D">
        <w:rPr>
          <w:rFonts w:ascii="Times New Roman" w:hAnsi="Times New Roman" w:cs="Times New Roman"/>
          <w:color w:val="000000"/>
          <w:sz w:val="24"/>
        </w:rPr>
        <w:t>Sideway</w:t>
      </w:r>
      <w:proofErr w:type="gramEnd"/>
      <w:r w:rsidRPr="0034462D">
        <w:rPr>
          <w:rFonts w:ascii="Times New Roman" w:hAnsi="Times New Roman" w:cs="Times New Roman"/>
          <w:color w:val="000000"/>
          <w:sz w:val="24"/>
          <w:szCs w:val="24"/>
        </w:rPr>
        <w:t xml:space="preserve"> otherwise. The state at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routes the prediction for </w:t>
      </w:r>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rPr>
        <w:t xml:space="preserve"> + 1</w:t>
      </w:r>
      <w:r w:rsidRPr="0034462D">
        <w:rPr>
          <w:rFonts w:ascii="Times New Roman" w:hAnsi="Times New Roman" w:cs="Times New Roman"/>
          <w:color w:val="000000"/>
          <w:sz w:val="24"/>
          <w:szCs w:val="24"/>
        </w:rPr>
        <w:t xml:space="preserve">; targets and future columns are never used in regime construction. The train-only deadband is the study-specific causal adaptation of established bull/bear and momentum definitions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{"citationID":"a83b6b3b","properties":{"unsorted":false,"formattedCitation":"(Pagan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p>
    <w:p w14:paraId="0D5E431A" w14:textId="62A89C72"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hint="eastAsia"/>
          <w:sz w:val="21"/>
        </w:rPr>
        <w:tab/>
      </w:r>
      <m:oMath>
        <m:sSub>
          <m:sSubPr>
            <m:ctrlPr>
              <w:rPr>
                <w:rFonts w:ascii="Cambria Math" w:hAnsi="Cambria Math" w:cs="Times New Roman"/>
                <w:i/>
                <w:sz w:val="21"/>
              </w:rPr>
            </m:ctrlPr>
          </m:sSubPr>
          <m:e>
            <m:r>
              <w:rPr>
                <w:rFonts w:ascii="Cambria Math" w:hAnsi="Cambria Math" w:cs="Times New Roman" w:hint="eastAsia"/>
                <w:sz w:val="21"/>
              </w:rPr>
              <m:t>λ</m:t>
            </m:r>
            <m:ctrlPr>
              <w:rPr>
                <w:rFonts w:ascii="Cambria Math" w:hAnsi="Cambria Math" w:cs="Times New Roman" w:hint="eastAsia"/>
                <w:i/>
                <w:sz w:val="21"/>
              </w:rPr>
            </m:ctrlPr>
          </m:e>
          <m:sub>
            <m:r>
              <w:rPr>
                <w:rFonts w:ascii="Cambria Math" w:hAnsi="Cambria Math" w:cs="Times New Roman" w:hint="eastAsia"/>
                <w:sz w:val="21"/>
              </w:rPr>
              <m:t>f</m:t>
            </m:r>
          </m:sub>
        </m:sSub>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Q</m:t>
            </m:r>
          </m:e>
          <m:sub>
            <m:d>
              <m:dPr>
                <m:ctrlPr>
                  <w:rPr>
                    <w:rFonts w:ascii="Cambria Math" w:hAnsi="Cambria Math" w:cs="Times New Roman"/>
                    <w:i/>
                    <w:sz w:val="21"/>
                  </w:rPr>
                </m:ctrlPr>
              </m:dPr>
              <m:e>
                <m:r>
                  <w:rPr>
                    <w:rFonts w:ascii="Cambria Math" w:hAnsi="Cambria Math" w:cs="Times New Roman" w:hint="eastAsia"/>
                    <w:sz w:val="21"/>
                  </w:rPr>
                  <m:t>0.35</m:t>
                </m:r>
              </m:e>
            </m:d>
            <m:d>
              <m:dPr>
                <m:ctrlPr>
                  <w:rPr>
                    <w:rFonts w:ascii="Cambria Math" w:hAnsi="Cambria Math" w:cs="Times New Roman"/>
                    <w:i/>
                    <w:sz w:val="21"/>
                  </w:rPr>
                </m:ctrlPr>
              </m:dPr>
              <m:e>
                <m:d>
                  <m:dPr>
                    <m:begChr m:val="{"/>
                    <m:endChr m:val="}"/>
                    <m:ctrlPr>
                      <w:rPr>
                        <w:rFonts w:ascii="Cambria Math" w:hAnsi="Cambria Math" w:cs="Times New Roman"/>
                        <w:i/>
                        <w:sz w:val="21"/>
                      </w:rPr>
                    </m:ctrlPr>
                  </m:dPr>
                  <m:e>
                    <m:d>
                      <m:dPr>
                        <m:begChr m:val="|"/>
                        <m:endChr m:val="|"/>
                        <m:ctrlPr>
                          <w:rPr>
                            <w:rFonts w:ascii="Cambria Math" w:hAnsi="Cambria Math" w:cs="Times New Roman"/>
                            <w:i/>
                            <w:sz w:val="21"/>
                          </w:rPr>
                        </m:ctrlPr>
                      </m:dPr>
                      <m:e>
                        <m:sSub>
                          <m:sSubPr>
                            <m:ctrlPr>
                              <w:rPr>
                                <w:rFonts w:ascii="Cambria Math" w:hAnsi="Cambria Math" w:cs="Times New Roman"/>
                                <w:i/>
                                <w:sz w:val="21"/>
                              </w:rPr>
                            </m:ctrlPr>
                          </m:sSubPr>
                          <m:e>
                            <m:r>
                              <w:rPr>
                                <w:rFonts w:ascii="Cambria Math" w:hAnsi="Cambria Math" w:cs="Times New Roman" w:hint="eastAsia"/>
                                <w:sz w:val="21"/>
                              </w:rPr>
                              <m:t>z</m:t>
                            </m:r>
                          </m:e>
                          <m:sub>
                            <m:r>
                              <w:rPr>
                                <w:rFonts w:ascii="Cambria Math" w:hAnsi="Cambria Math" w:cs="Times New Roman" w:hint="eastAsia"/>
                                <w:sz w:val="21"/>
                              </w:rPr>
                              <m:t>t</m:t>
                            </m:r>
                          </m:sub>
                        </m:sSub>
                      </m:e>
                    </m:d>
                    <m:r>
                      <w:rPr>
                        <w:rFonts w:ascii="Cambria Math" w:hAnsi="Cambria Math" w:cs="Times New Roman" w:hint="eastAsia"/>
                        <w:sz w:val="21"/>
                      </w:rPr>
                      <m:t>:t</m:t>
                    </m:r>
                    <m:r>
                      <w:rPr>
                        <w:rFonts w:ascii="Cambria Math" w:hAnsi="Cambria Math" w:cs="Times New Roman" w:hint="eastAsia"/>
                        <w:sz w:val="21"/>
                      </w:rPr>
                      <m:t>∈</m:t>
                    </m:r>
                    <m:sSub>
                      <m:sSubPr>
                        <m:ctrlPr>
                          <w:rPr>
                            <w:rFonts w:ascii="Cambria Math" w:hAnsi="Cambria Math" w:cs="Times New Roman"/>
                            <w:i/>
                            <w:sz w:val="21"/>
                          </w:rPr>
                        </m:ctrlPr>
                      </m:sSubPr>
                      <m:e>
                        <m:r>
                          <w:rPr>
                            <w:rFonts w:ascii="Cambria Math" w:hAnsi="Cambria Math" w:cs="Times New Roman" w:hint="eastAsia"/>
                            <w:sz w:val="21"/>
                          </w:rPr>
                          <m:t>T</m:t>
                        </m:r>
                      </m:e>
                      <m:sub>
                        <m:r>
                          <w:rPr>
                            <w:rFonts w:ascii="Cambria Math" w:hAnsi="Cambria Math" w:cs="Times New Roman" w:hint="eastAsia"/>
                            <w:sz w:val="21"/>
                          </w:rPr>
                          <m:t>f</m:t>
                        </m:r>
                      </m:sub>
                    </m:sSub>
                  </m:e>
                </m:d>
              </m:e>
            </m:d>
          </m:sub>
        </m:sSub>
      </m:oMath>
      <w:r w:rsidRPr="009960B6">
        <w:rPr>
          <w:rFonts w:ascii="Times New Roman" w:hAnsi="Times New Roman" w:cs="Times New Roman" w:hint="eastAsia"/>
          <w:sz w:val="21"/>
        </w:rPr>
        <w:tab/>
      </w:r>
      <w:r w:rsidR="0034462D">
        <w:rPr>
          <w:rFonts w:ascii="Times New Roman" w:hAnsi="Times New Roman" w:cs="Times New Roman"/>
          <w:sz w:val="21"/>
        </w:rPr>
        <w:t>(9)</w:t>
      </w:r>
    </w:p>
    <w:p w14:paraId="5A045FF5" w14:textId="34A086C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SHAP rankings used Gradient Explainer with 100 training-only background sequences, at most 128 evenly spaced training ranking sequences, 200 samples, deterministic cell seeds and float32 tensors. Candidate feature counts were 10, 20, 30, 40, 60, 80, 100 and 122. A one-standard-error rule with balanced-accuracy, model-error, RMSE and temporal-Jaccard guardrails selected the smallest stable subset. Frozen counts were 122 globally, 30 for Bull, 122 for Sideway and 80 for Bear; a Spearman selector used the same counts as a size-matched comparator.</w:t>
      </w:r>
    </w:p>
    <w:p w14:paraId="2C4C5AE0" w14:textId="55F5ECC5"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szCs w:val="24"/>
        </w:rPr>
        <w:t xml:space="preserve">Within regime </w:t>
      </w:r>
      <w:r w:rsidRPr="0034462D">
        <w:rPr>
          <w:rFonts w:ascii="Times New Roman" w:hAnsi="Times New Roman" w:cs="Times New Roman"/>
          <w:color w:val="000000"/>
          <w:sz w:val="24"/>
          <w:szCs w:val="24"/>
          <w:i/>
          <w:iCs/>
        </w:rPr>
        <w:t>r</w:t>
      </w:r>
      <w:r w:rsidRPr="0034462D">
        <w:rPr>
          <w:rFonts w:ascii="Times New Roman" w:hAnsi="Times New Roman" w:cs="Times New Roman"/>
          <w:color w:val="000000"/>
          <w:sz w:val="24"/>
          <w:szCs w:val="24"/>
        </w:rPr>
        <w:t xml:space="preserve">, feature </w:t>
      </w:r>
      <w:r w:rsidRPr="0034462D">
        <w:rPr>
          <w:rFonts w:ascii="Times New Roman" w:hAnsi="Times New Roman" w:cs="Times New Roman"/>
          <w:color w:val="000000"/>
          <w:sz w:val="24"/>
          <w:szCs w:val="24"/>
          <w:i/>
          <w:iCs/>
        </w:rPr>
        <w:t>j</w:t>
      </w:r>
      <w:r w:rsidRPr="0034462D">
        <w:rPr>
          <w:rFonts w:ascii="Times New Roman" w:hAnsi="Times New Roman" w:cs="Times New Roman"/>
          <w:color w:val="000000"/>
          <w:sz w:val="24"/>
          <w:szCs w:val="24"/>
        </w:rPr>
        <w:t xml:space="preserve"> is ranked by the mean absolute SHAP value in Eq. (10), computed only from the training ranking set </w:t>
      </w:r>
      <w:proofErr w:type="spellStart"/>
      <w:r w:rsidRPr="0034462D">
        <w:rPr>
          <w:rFonts w:ascii="Times New Roman" w:hAnsi="Times New Roman" w:cs="Times New Roman"/>
          <w:color w:val="000000"/>
          <w:sz w:val="24"/>
          <w:szCs w:val="24"/>
          <w:i/>
          <w:iCs/>
        </w:rPr>
        <w:t>T</w:t>
      </w:r>
      <w:r w:rsidRPr="0034462D">
        <w:rPr>
          <w:rFonts w:ascii="Times New Roman" w:hAnsi="Times New Roman" w:cs="Times New Roman"/>
          <w:color w:val="000000"/>
          <w:sz w:val="24"/>
          <w:szCs w:val="24"/>
          <w:i/>
          <w:iCs/>
          <w:vertAlign w:val="subscript"/>
        </w:rPr>
        <w:t>r</w:t>
      </w:r>
      <w:proofErr w:type="spellEnd"/>
      <w:r w:rsidRPr="0034462D">
        <w:rPr>
          <w:rFonts w:ascii="Times New Roman" w:hAnsi="Times New Roman" w:cs="Times New Roman"/>
          <w:color w:val="000000"/>
          <w:sz w:val="24"/>
        </w:rPr>
        <w:t xml:space="preserve">. The selected set </w:t>
      </w:r>
      <w:proofErr w:type="spellStart"/>
      <w:r w:rsidRPr="0034462D">
        <w:rPr>
          <w:rFonts w:ascii="Times New Roman" w:hAnsi="Times New Roman" w:cs="Times New Roman"/>
          <w:color w:val="000000"/>
          <w:sz w:val="24"/>
          <w:szCs w:val="24"/>
          <w:i/>
          <w:iCs/>
        </w:rPr>
        <w:t>S</w:t>
      </w:r>
      <w:r w:rsidRPr="0034462D">
        <w:rPr>
          <w:rFonts w:ascii="Times New Roman" w:hAnsi="Times New Roman" w:cs="Times New Roman"/>
          <w:color w:val="000000"/>
          <w:sz w:val="24"/>
          <w:szCs w:val="24"/>
          <w:i/>
          <w:iCs/>
          <w:vertAlign w:val="subscript"/>
        </w:rPr>
        <w:t>r</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w:t>
      </w:r>
      <w:r w:rsidRPr="0034462D">
        <w:rPr>
          <w:rFonts w:ascii="Times New Roman" w:hAnsi="Times New Roman" w:cs="Times New Roman"/>
          <w:color w:val="000000"/>
          <w:sz w:val="24"/>
          <w:szCs w:val="24"/>
        </w:rPr>
        <w:t xml:space="preserve"> contains the </w:t>
      </w:r>
      <w:proofErr w:type="spellEnd"/>
      <w:proofErr w:type="gramStart"/>
      <w:r w:rsidRPr="0034462D">
        <w:rPr>
          <w:rFonts w:ascii="Times New Roman" w:hAnsi="Times New Roman" w:cs="Times New Roman"/>
          <w:color w:val="000000"/>
          <w:sz w:val="24"/>
          <w:szCs w:val="24"/>
          <w:i/>
          <w:iCs/>
        </w:rPr>
        <w:t>k</w:t>
      </w:r>
      <w:r w:rsidRPr="0034462D">
        <w:rPr>
          <w:rFonts w:ascii="Times New Roman" w:hAnsi="Times New Roman" w:cs="Times New Roman"/>
          <w:color w:val="000000"/>
          <w:sz w:val="24"/>
          <w:szCs w:val="24"/>
        </w:rPr>
        <w:t xml:space="preserve"> highest-ranked</w:t>
      </w:r>
      <w:proofErr w:type="gramEnd"/>
      <w:r w:rsidRPr="0034462D">
        <w:rPr>
          <w:rFonts w:ascii="Times New Roman" w:hAnsi="Times New Roman" w:cs="Times New Roman"/>
          <w:color w:val="000000"/>
          <w:sz w:val="24"/>
        </w:rPr>
        <w:t xml:space="preserve"> features. SHAP is an additive feature-attribution framework for assigning prediction-specific feature contributions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{"citationID":"6876867d","properties":{"unsorted":false,"formattedCitation":"(Lundberg \u0026 Lee, 2017)","plainCitation":"(Lundberg \u0026 Lee, 2017)","noteIndex":0},"citationItems":[{"id":17,"uris":["http://zotero.org/users/local/DPQnJvcs/items/HGDYW6QX"],"itemData":{"id":17,"type":"paper-conference","container-title":"Advances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w:t>
      </w:r>
      <w:r w:rsidRPr="00823AE8">
        <w:rPr>
          <w:rFonts w:ascii="Times New Roman" w:hAnsi="Times New Roman" w:cs="Times New Roman"/>
          <w:sz w:val="24"/>
          <w:szCs w:val="24"/>
        </w:rPr>
        <w:fldChar w:fldCharType="end"/>
      </w:r>
    </w:p>
    <w:p w14:paraId="40D5DD75" w14:textId="40882A0A" w:rsidR="009960B6" w:rsidRPr="009960B6" w:rsidRDefault="009960B6" w:rsidP="009960B6">
      <w:pPr>
        <w:keepLines/>
        <w:tabs>
          <w:tab w:val="center" w:pos="4680"/>
          <w:tab w:val="right" w:pos="9360"/>
        </w:tabs>
        <w:spacing w:before="80" w:after="80" w:line="240" w:lineRule="auto"/>
        <w:rPr>
          <w:rFonts w:ascii="Times New Roman" w:hAnsi="Times New Roman" w:cs="Times New Roman"/>
        </w:rPr>
      </w:pPr>
      <w:r w:rsidRPr="009960B6">
        <w:rPr>
          <w:rFonts w:ascii="Times New Roman" w:hAnsi="Times New Roman" w:cs="Times New Roman"/>
        </w:rPr>
        <w:tab/>
      </w: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e>
            </m:d>
            <m:nary>
              <m:naryPr>
                <m:chr m:val="∑"/>
                <m:supHide m:val="1"/>
                <m:ctrlPr>
                  <w:rPr>
                    <w:rFonts w:ascii="Cambria Math" w:hAnsi="Cambria Math" w:cs="Times New Roman"/>
                    <w:i/>
                  </w:rPr>
                </m:ctrlPr>
              </m:naryPr>
              <m:sub>
                <m:r>
                  <w:rPr>
                    <w:rFonts w:ascii="Cambria Math" w:hAnsi="Cambria Math" w:cs="Times New Roman"/>
                  </w:rPr>
                  <m:t>i</m:t>
                </m:r>
                <m:r>
                  <w:rPr>
                    <w:rFonts w:ascii="Cambria Math" w:hAnsi="Cambria Math" w:cs="Times New Roman" w:hint="eastAsia"/>
                  </w:rPr>
                  <m:t>∈</m:t>
                </m:r>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r</m:t>
                    </m:r>
                  </m:sub>
                </m:sSub>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ϕ</m:t>
                        </m:r>
                      </m:e>
                      <m:sub>
                        <m:r>
                          <w:rPr>
                            <w:rFonts w:ascii="Cambria Math" w:hAnsi="Cambria Math" w:cs="Times New Roman"/>
                          </w:rPr>
                          <m:t>i,j</m:t>
                        </m:r>
                      </m:sub>
                    </m:sSub>
                  </m:e>
                </m:d>
              </m:sub>
              <m:sup/>
              <m:e/>
            </m:nary>
          </m:den>
        </m:f>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m:t>
            </m:r>
            <m:d>
              <m:dPr>
                <m:ctrlPr>
                  <w:rPr>
                    <w:rFonts w:ascii="Cambria Math" w:hAnsi="Cambria Math" w:cs="Times New Roman"/>
                    <w:i/>
                  </w:rPr>
                </m:ctrlPr>
              </m:dPr>
              <m:e>
                <m:r>
                  <w:rPr>
                    <w:rFonts w:ascii="Cambria Math" w:hAnsi="Cambria Math" w:cs="Times New Roman"/>
                  </w:rPr>
                  <m:t>k</m:t>
                </m:r>
              </m:e>
            </m:d>
          </m:sub>
        </m:sSub>
        <m:r>
          <w:rPr>
            <w:rFonts w:ascii="Cambria Math" w:hAnsi="Cambria Math" w:cs="Times New Roman"/>
          </w:rPr>
          <m:t>=Top</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j</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r,j</m:t>
                    </m:r>
                  </m:sub>
                </m:sSub>
              </m:e>
            </m:d>
          </m:sub>
        </m:sSub>
      </m:oMath>
      <w:r w:rsidRPr="009960B6">
        <w:rPr>
          <w:rFonts w:ascii="Times New Roman" w:hAnsi="Times New Roman" w:cs="Times New Roman"/>
        </w:rPr>
        <w:tab/>
      </w:r>
      <w:r w:rsidR="0034462D">
        <w:rPr>
          <w:rFonts w:ascii="Times New Roman" w:hAnsi="Times New Roman" w:cs="Times New Roman"/>
        </w:rPr>
        <w:t>(10)</w:t>
      </w:r>
    </w:p>
    <w:p w14:paraId="7647B77D" w14:textId="3F267150"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Seven outer arms separated routing, capacity and selector effects: Global-All, Global3-All, Global-SHAP, Global-Spearman, Regime-All, Regime-SHAP and Regime-Spearman. Because the global </w:t>
      </w:r>
      <w:r w:rsidRPr="00916F49">
        <w:rPr>
          <w:rFonts w:ascii="Times New Roman" w:hAnsi="Times New Roman" w:cs="Times New Roman"/>
          <w:bCs/>
          <w:sz w:val="24"/>
          <w:szCs w:val="24"/>
        </w:rPr>
        <w:t xml:space="preserve">selector retained all 122 features, Global-SHAP and Global-Spearman are identity controls; the primary selector contrast is Regime-SHAP minus Regime-All. LIME was an explanation-fidelity diagnostic only: 1,800 instance-repeat explanations used an </w:t>
      </w:r>
      <w:r w:rsidRPr="00916F49">
        <w:rPr>
          <w:rFonts w:ascii="Times New Roman" w:hAnsi="Times New Roman" w:cs="Times New Roman"/>
          <w:bCs/>
          <w:sz w:val="24"/>
          <w:szCs w:val="24"/>
          <w:i/>
          <w:iCs/>
        </w:rPr>
        <w:t>R</w:t>
      </w:r>
      <w:r w:rsidRPr="00916F49">
        <w:rPr>
          <w:rFonts w:ascii="Times New Roman" w:hAnsi="Times New Roman" w:cs="Times New Roman"/>
          <w:bCs/>
          <w:sz w:val="24"/>
          <w:szCs w:val="24"/>
          <w:vertAlign w:val="superscript"/>
        </w:rPr>
        <w:t>2</w:t>
      </w:r>
      <w:r w:rsidRPr="00916F49">
        <w:rPr>
          <w:rFonts w:ascii="Times New Roman" w:hAnsi="Times New Roman" w:cs="Times New Roman"/>
          <w:bCs/>
          <w:sz w:val="24"/>
          <w:szCs w:val="24"/>
        </w:rPr>
        <w:t xml:space="preserve"> &lt; 0.70 threshold for low fidelity, failed repeats remained in the denominator and LIME did not affect training or selection.</w:t>
      </w:r>
    </w:p>
    <w:p w14:paraId="2FB754C1" w14:textId="77777777" w:rsidR="00916F49" w:rsidRPr="00916F49" w:rsidRDefault="00916F49"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3.8 Metrics and Inference</w:t>
      </w:r>
    </w:p>
    <w:p w14:paraId="1CE8E9DF" w14:textId="6EDDE5DE"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Balanced accuracy is the primary forecasting endpoint. Direction accuracy, MCC, coverage, RMSE and MAE are secondary where applicable; AUC and Brier score are reported for probabilistic 2026 objectives. Seeds are averaged within each model-year cell before temporal inference and are not treated as independent market samples.</w:t>
      </w:r>
    </w:p>
    <w:p w14:paraId="101BAC7B" w14:textId="1C4210D8" w:rsidR="009960B6" w:rsidRPr="0034462D" w:rsidRDefault="0034462D" w:rsidP="0034462D">
      <w:pPr>
        <w:spacing w:line="360" w:lineRule="auto"/>
        <w:jc w:val="both"/>
        <w:rPr>
          <w:rFonts w:ascii="Times New Roman" w:hAnsi="Times New Roman" w:cs="Times New Roman"/>
          <w:color w:val="000000"/>
          <w:sz w:val="24"/>
        </w:rPr>
      </w:pPr>
      <w:r w:rsidRPr="0034462D">
        <w:rPr>
          <w:rFonts w:ascii="Times New Roman" w:hAnsi="Times New Roman" w:cs="Times New Roman"/>
          <w:color w:val="000000"/>
          <w:sz w:val="24"/>
        </w:rPr>
        <w:t xml:space="preserve">Balanced accuracy is defined in Eq. (11), giving equal weight to sensitivity and specificity and therefore avoiding inflation from the majority class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{"citationID":"eb78c28a","properties":{"unsorted":false,"formattedCitation":"(Brodersen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p>
    <w:p w14:paraId="3F1DC001" w14:textId="16205D88"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21"/>
        </w:rPr>
      </w:pPr>
      <w:r w:rsidRPr="009960B6">
        <w:rPr>
          <w:rFonts w:ascii="Times New Roman" w:hAnsi="Times New Roman" w:cs="Times New Roman"/>
          <w:sz w:val="21"/>
        </w:rPr>
        <w:tab/>
      </w:r>
      <m:oMath>
        <m:r>
          <w:rPr>
            <w:rFonts w:ascii="Cambria Math" w:hAnsi="Cambria Math" w:cs="Times New Roman"/>
            <w:sz w:val="21"/>
          </w:rPr>
          <m:t>BAcc=</m:t>
        </m:r>
        <m:f>
          <m:fPr>
            <m:ctrlPr>
              <w:rPr>
                <w:rFonts w:ascii="Cambria Math" w:hAnsi="Cambria Math" w:cs="Times New Roman"/>
                <w:i/>
                <w:sz w:val="21"/>
              </w:rPr>
            </m:ctrlPr>
          </m:fPr>
          <m:num>
            <m:r>
              <w:rPr>
                <w:rFonts w:ascii="Cambria Math" w:hAnsi="Cambria Math" w:cs="Times New Roman"/>
                <w:sz w:val="21"/>
              </w:rPr>
              <m:t>1</m:t>
            </m:r>
          </m:num>
          <m:den>
            <m:r>
              <w:rPr>
                <w:rFonts w:ascii="Cambria Math" w:hAnsi="Cambria Math" w:cs="Times New Roman"/>
                <w:sz w:val="21"/>
              </w:rPr>
              <m:t>2</m:t>
            </m:r>
            <m:d>
              <m:dPr>
                <m:ctrlPr>
                  <w:rPr>
                    <w:rFonts w:ascii="Cambria Math" w:hAnsi="Cambria Math" w:cs="Times New Roman"/>
                    <w:i/>
                    <w:sz w:val="21"/>
                  </w:rPr>
                </m:ctrlPr>
              </m:dPr>
              <m:e>
                <m:f>
                  <m:fPr>
                    <m:ctrlPr>
                      <w:rPr>
                        <w:rFonts w:ascii="Cambria Math" w:hAnsi="Cambria Math" w:cs="Times New Roman"/>
                        <w:i/>
                        <w:sz w:val="21"/>
                      </w:rPr>
                    </m:ctrlPr>
                  </m:fPr>
                  <m:num>
                    <m:r>
                      <w:rPr>
                        <w:rFonts w:ascii="Cambria Math" w:hAnsi="Cambria Math" w:cs="Times New Roman"/>
                        <w:sz w:val="21"/>
                      </w:rPr>
                      <m:t>TP</m:t>
                    </m:r>
                  </m:num>
                  <m:den>
                    <m:r>
                      <w:rPr>
                        <w:rFonts w:ascii="Cambria Math" w:hAnsi="Cambria Math" w:cs="Times New Roman"/>
                        <w:sz w:val="21"/>
                      </w:rPr>
                      <m:t>TP+FN</m:t>
                    </m:r>
                  </m:den>
                </m:f>
                <m:r>
                  <w:rPr>
                    <w:rFonts w:ascii="Cambria Math" w:hAnsi="Cambria Math" w:cs="Times New Roman"/>
                    <w:sz w:val="21"/>
                  </w:rPr>
                  <m:t>+</m:t>
                </m:r>
                <m:f>
                  <m:fPr>
                    <m:ctrlPr>
                      <w:rPr>
                        <w:rFonts w:ascii="Cambria Math" w:hAnsi="Cambria Math" w:cs="Times New Roman"/>
                        <w:i/>
                        <w:sz w:val="21"/>
                      </w:rPr>
                    </m:ctrlPr>
                  </m:fPr>
                  <m:num>
                    <m:r>
                      <w:rPr>
                        <w:rFonts w:ascii="Cambria Math" w:hAnsi="Cambria Math" w:cs="Times New Roman"/>
                        <w:sz w:val="21"/>
                      </w:rPr>
                      <m:t>TN</m:t>
                    </m:r>
                  </m:num>
                  <m:den>
                    <m:r>
                      <w:rPr>
                        <w:rFonts w:ascii="Cambria Math" w:hAnsi="Cambria Math" w:cs="Times New Roman"/>
                        <w:sz w:val="21"/>
                      </w:rPr>
                      <m:t>TN+FP</m:t>
                    </m:r>
                  </m:den>
                </m:f>
              </m:e>
            </m:d>
          </m:den>
        </m:f>
      </m:oMath>
      <w:r w:rsidRPr="009960B6">
        <w:rPr>
          <w:rFonts w:ascii="Times New Roman" w:hAnsi="Times New Roman" w:cs="Times New Roman"/>
          <w:sz w:val="21"/>
        </w:rPr>
        <w:tab/>
      </w:r>
      <w:r w:rsidR="0034462D">
        <w:rPr>
          <w:rFonts w:ascii="Times New Roman" w:hAnsi="Times New Roman" w:cs="Times New Roman"/>
          <w:sz w:val="21"/>
        </w:rPr>
        <w:t>(11)</w:t>
      </w:r>
    </w:p>
    <w:p w14:paraId="04B02F8E" w14:textId="2DD0D23A" w:rsidR="00916F49" w:rsidRPr="00916F49" w:rsidRDefault="00916F49" w:rsidP="009960B6">
      <w:pPr>
        <w:spacing w:line="360" w:lineRule="auto"/>
        <w:jc w:val="both"/>
        <w:rPr>
          <w:rFonts w:ascii="Times New Roman" w:hAnsi="Times New Roman"/>
          <w:bCs/>
          <w:sz w:val="24"/>
          <w:szCs w:val="24"/>
        </w:rPr>
      </w:pPr>
      <w:r w:rsidRPr="00916F49">
        <w:rPr>
          <w:rFonts w:ascii="Times New Roman" w:hAnsi="Times New Roman"/>
          <w:bCs/>
          <w:sz w:val="24"/>
          <w:szCs w:val="24"/>
        </w:rPr>
        <w:t xml:space="preserve">Historical paired contrasts use exact two-sided sign-flip tests over four outer-year effects; the minimum attainable two-sided p-value is 0.125. Descriptive t intervals communicate uncertainty but do not override the exact test and Holm adjustment controls the registered familywise error rate. A 10-day circular moving-block bootstrap provides a serial-dependence sensitivity </w:t>
      </w:r>
      <w:r w:rsidR="005F26F7">
        <w:rPr>
          <w:rFonts w:ascii="Times New Roman" w:hAnsi="Times New Roman"/>
          <w:b/>
          <w:bCs/>
          <w:sz w:val="24"/>
          <w:szCs w:val="24"/>
        </w:rPr>
        <w:fldChar w:fldCharType="begin"/>
      </w:r>
      <w:r w:rsidR="005F26F7">
        <w:rPr>
          <w:rFonts w:ascii="Times New Roman" w:hAnsi="Times New Roman"/>
          <w:b/>
          <w:bCs/>
          <w:sz w:val="24"/>
          <w:szCs w:val="24"/>
        </w:rPr>
        <w:instrText xml:space="preserve"> ADDIN ZOTERO_ITEM CSL_CITATION {"citationID":"0PYDXFyR","properties":{"unsorted":false,"formattedCitation":"(Politis &amp; Romano, 1992)","plainCitation":"(Politis &amp; Romano, 1992)","noteIndex":0},"citationItems":[{"id":43,"uris":["http://zotero.org/users/local/DPQnJvcs/items/8ZXYSTZP"],"itemData":{"id":43,"type":"chapter","container-title":"Exploring the Limits of Bootstrap","page":"263–270","publisher":"John Wiley &amp;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sidR="005F26F7">
        <w:rPr>
          <w:rFonts w:ascii="Times New Roman" w:hAnsi="Times New Roman"/>
          <w:b/>
          <w:bCs/>
          <w:sz w:val="24"/>
          <w:szCs w:val="24"/>
        </w:rPr>
        <w:fldChar w:fldCharType="separate"/>
      </w:r>
      <w:r w:rsidR="005F26F7" w:rsidRPr="005F26F7">
        <w:rPr>
          <w:rFonts w:ascii="Times New Roman" w:hAnsi="Times New Roman" w:cs="Times New Roman"/>
          <w:sz w:val="24"/>
        </w:rPr>
        <w:t>(Politis &amp; Romano, 1992)</w:t>
      </w:r>
      <w:r w:rsidR="005F26F7">
        <w:rPr>
          <w:rFonts w:ascii="Times New Roman" w:hAnsi="Times New Roman"/>
          <w:b/>
          <w:bCs/>
          <w:sz w:val="24"/>
          <w:szCs w:val="24"/>
        </w:rPr>
        <w:fldChar w:fldCharType="end"/>
      </w:r>
      <w:r w:rsidRPr="00916F49">
        <w:rPr>
          <w:rFonts w:ascii="Times New Roman" w:hAnsi="Times New Roman"/>
          <w:bCs/>
          <w:sz w:val="24"/>
          <w:szCs w:val="24"/>
        </w:rPr>
        <w:t xml:space="preserve"> Intrinsic LLM intervals use 5,000 article-cluster bootstrap replicates, article-cluster sign-flip sensitivity and Holm adjustment across the two accuracy contrasts. Economic summaries are exploratory and are not used to certify deployment.</w:t>
      </w:r>
      <w:r w:rsidR="004A3C24" w:rsidRPr="004A3C24">
        <w:rPr>
          <w:rFonts w:ascii="Times New Roman" w:hAnsi="Times New Roman" w:cs="Times New Roman"/>
          <w:bCs/>
          <w:sz w:val="24"/>
          <w:szCs w:val="24"/>
        </w:rPr>
        <w:t xml:space="preserve"> Figure 6 summarizes causal regime routing, train-only SHAP selection and the temporal inference hierarchy.</w:t>
      </w:r>
    </w:p>
    <w:p w14:paraId="19897F00" w14:textId="0EEDC707" w:rsidR="009960B6" w:rsidRPr="0034462D" w:rsidRDefault="0034462D" w:rsidP="0034462D">
      <w:pPr>
        <w:spacing w:line="360" w:lineRule="auto"/>
        <w:jc w:val="both"/>
        <w:rPr>
          <w:rFonts w:ascii="Times New Roman" w:hAnsi="Times New Roman" w:cs="Times New Roman"/>
          <w:color w:val="000000"/>
          <w:sz w:val="24"/>
          <w:cs/>
        </w:rPr>
      </w:pPr>
      <w:bookmarkStart w:id="0" w:name="_Hlk127275562"/>
      <w:r w:rsidRPr="0034462D">
        <w:rPr>
          <w:rFonts w:ascii="Times New Roman" w:hAnsi="Times New Roman" w:cs="Times New Roman"/>
          <w:color w:val="000000"/>
          <w:sz w:val="24"/>
        </w:rPr>
        <w:t xml:space="preserve">For paired arms A and B, Eq. (12) first averages the five seed-level balanced-accuracy differences within each architecture m and outer year y and then averages the </w:t>
      </w:r>
      <w:proofErr w:type="gramStart"/>
      <w:r w:rsidRPr="0034462D">
        <w:rPr>
          <w:rFonts w:ascii="Times New Roman" w:hAnsi="Times New Roman" w:cs="Times New Roman"/>
          <w:color w:val="000000"/>
          <w:sz w:val="24"/>
        </w:rPr>
        <w:t>four year</w:t>
      </w:r>
      <w:proofErr w:type="gramEnd"/>
      <w:r w:rsidRPr="0034462D">
        <w:rPr>
          <w:rFonts w:ascii="Times New Roman" w:hAnsi="Times New Roman" w:cs="Times New Roman"/>
          <w:color w:val="000000"/>
          <w:sz w:val="24"/>
        </w:rPr>
        <w:t xml:space="preserve"> effects. Equations (13)-(14) define the 16 sign-flipped test statistics and their exact two-sided probability. The finite randomization distribution and familywise interpretation are paired with Holm adjustment, while serial dependence is checked separately using block resampling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{"citationID":"cf15f4f1","properties":{"unsorted":false,"formattedCitation":"(Holm, 1979; Politis \u0026 Romano, 1992)","plainCitation":"(Holm, 1979; Politis \u0026 Romano, 1992)","noteIndex":0},"citationItems":[{"id":25,"uris":["http://zotero.org/users/local/DPQnJvcs/items/YPBXTXIH"],"itemData":{"id":25,"type":"article-journal","container-title":"Scandinavian Journal of Statistics","DOI":"10.2307/4615733","issue":"2","page":"65–70","title":"A Simple Sequentially Rejective Multiple Test Procedure","volume":"6","author":[{"family":"Holm","given":"Sture"}],"issued":{"date-parts":[["1979"]]}}},{"id":43,"uris":["http://zotero.org/users/local/DPQnJvcs/items/8ZXYSTZP"],"itemData":{"id":43,"type":"chapter","container-title":"Exploring the Limits of Bootstrap","page":"263–270","publisher":"John Wiley \u0026 Sons","publisher-place":"New York","title":"A Circular Block-Resampling Procedure for Stationary Data","author":[{"family":"Politis","given":"Dimitris N."},{"family":"Romano","given":"Joseph P."}],"editor":[{"family":"LePage","given":"Raoul"},{"family":"Billard","given":"Lynne"}],"issued":{"date-parts":[["1992"]]}}}],"schema":"https://github.com/citation-style-language/schema/raw/master/csl-citation.json"}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(Holm, 1979; Politis &amp; Romano, 1992)</w:t>
      </w:r>
      <w:r>
        <w:rPr>
          <w:rFonts w:ascii="Times New Roman" w:hAnsi="Times New Roman" w:cs="Times New Roman"/>
          <w:b/>
          <w:sz w:val="24"/>
          <w:szCs w:val="24"/>
        </w:rPr>
        <w:fldChar w:fldCharType="end"/>
      </w:r>
    </w:p>
    <w:p w14:paraId="58B3E7B6" w14:textId="0825A2C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5</m:t>
            </m:r>
          </m:den>
        </m:f>
        <m:nary>
          <m:naryPr>
            <m:chr m:val="∑"/>
            <m:ctrlPr>
              <w:rPr>
                <w:rFonts w:ascii="Cambria Math" w:hAnsi="Cambria Math" w:cs="Times New Roman"/>
                <w:i/>
                <w:sz w:val="19"/>
              </w:rPr>
            </m:ctrlPr>
          </m:naryPr>
          <m:sub>
            <m:r>
              <w:rPr>
                <w:rFonts w:ascii="Cambria Math" w:hAnsi="Cambria Math" w:cs="Times New Roman" w:hint="eastAsia"/>
                <w:sz w:val="19"/>
              </w:rPr>
              <m:t>s=</m:t>
            </m:r>
            <m:r>
              <w:rPr>
                <w:rFonts w:ascii="Cambria Math" w:hAnsi="Cambria Math" w:cs="Times New Roman" w:hint="eastAsia"/>
                <w:sz w:val="19"/>
                <w:cs/>
              </w:rPr>
              <m:t>1</m:t>
            </m:r>
          </m:sub>
          <m:sup>
            <m:r>
              <w:rPr>
                <w:rFonts w:ascii="Cambria Math" w:hAnsi="Cambria Math" w:cs="Times New Roman" w:hint="eastAsia"/>
                <w:sz w:val="19"/>
                <w:cs/>
              </w:rPr>
              <m:t>5</m:t>
            </m:r>
            <m:d>
              <m:dPr>
                <m:ctrlPr>
                  <w:rPr>
                    <w:rFonts w:ascii="Cambria Math" w:hAnsi="Cambria Math" w:cs="Times New Roman"/>
                    <w:i/>
                    <w:sz w:val="19"/>
                  </w:rPr>
                </m:ctrlPr>
              </m:dPr>
              <m:e>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A</m:t>
                    </m:r>
                  </m:sup>
                </m:sSubSup>
                <m:r>
                  <w:rPr>
                    <w:rFonts w:ascii="Cambria Math" w:hAnsi="Cambria Math" w:cs="Cambria Math"/>
                    <w:sz w:val="19"/>
                  </w:rPr>
                  <m:t>-</m:t>
                </m:r>
                <m:r>
                  <w:rPr>
                    <w:rFonts w:ascii="Cambria Math" w:hAnsi="Cambria Math" w:cs="Times New Roman" w:hint="eastAsia"/>
                    <w:sz w:val="19"/>
                  </w:rPr>
                  <m:t>BAc</m:t>
                </m:r>
                <m:sSubSup>
                  <m:sSubSupPr>
                    <m:ctrlPr>
                      <w:rPr>
                        <w:rFonts w:ascii="Cambria Math" w:hAnsi="Cambria Math" w:cs="Times New Roman"/>
                        <w:i/>
                        <w:sz w:val="19"/>
                      </w:rPr>
                    </m:ctrlPr>
                  </m:sSubSupPr>
                  <m:e>
                    <m:r>
                      <w:rPr>
                        <w:rFonts w:ascii="Cambria Math" w:hAnsi="Cambria Math" w:cs="Times New Roman" w:hint="eastAsia"/>
                        <w:sz w:val="19"/>
                      </w:rPr>
                      <m:t>c</m:t>
                    </m:r>
                    <m:ctrlPr>
                      <w:rPr>
                        <w:rFonts w:ascii="Cambria Math" w:hAnsi="Cambria Math" w:cs="Times New Roman" w:hint="eastAsia"/>
                        <w:i/>
                        <w:sz w:val="19"/>
                      </w:rPr>
                    </m:ctrlPr>
                  </m:e>
                  <m:sub>
                    <m:r>
                      <w:rPr>
                        <w:rFonts w:ascii="Cambria Math" w:hAnsi="Cambria Math" w:cs="Times New Roman" w:hint="eastAsia"/>
                        <w:sz w:val="19"/>
                      </w:rPr>
                      <m:t>m,y,s</m:t>
                    </m:r>
                  </m:sub>
                  <m:sup>
                    <m:r>
                      <w:rPr>
                        <w:rFonts w:ascii="Cambria Math" w:hAnsi="Cambria Math" w:cs="Times New Roman" w:hint="eastAsia"/>
                        <w:sz w:val="19"/>
                      </w:rPr>
                      <m:t>B</m:t>
                    </m:r>
                  </m:sup>
                </m:sSubSup>
              </m:e>
            </m:d>
          </m:sup>
          <m:e/>
        </m:nary>
        <m:r>
          <w:rPr>
            <w:rFonts w:ascii="Cambria Math" w:hAnsi="Cambria Math" w:cs="Times New Roman" w:hint="eastAsia"/>
            <w:sz w:val="19"/>
          </w:rPr>
          <m:t>, 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2022</m:t>
            </m:r>
          </m:sub>
          <m:sup>
            <m:r>
              <w:rPr>
                <w:rFonts w:ascii="Cambria Math" w:hAnsi="Cambria Math" w:cs="Times New Roman" w:hint="eastAsia"/>
                <w:sz w:val="19"/>
                <w:cs/>
              </w:rPr>
              <m:t>2025</m:t>
            </m:r>
          </m:sup>
          <m:e>
            <m:sSub>
              <m:sSubPr>
                <m:ctrlPr>
                  <w:rPr>
                    <w:rFonts w:ascii="Cambria Math" w:hAnsi="Cambria Math" w:cs="Times New Roman"/>
                    <w:i/>
                    <w:sz w:val="19"/>
                  </w:rPr>
                </m:ctrlPr>
              </m:sSubPr>
              <m:e>
                <m:r>
                  <w:rPr>
                    <w:rFonts w:ascii="Cambria Math" w:hAnsi="Cambria Math" w:cs="Times New Roman" w:hint="eastAsia"/>
                    <w:sz w:val="19"/>
                  </w:rPr>
                  <m:t>Δ</m:t>
                </m:r>
              </m:e>
              <m:sub>
                <m:r>
                  <w:rPr>
                    <w:rFonts w:ascii="Cambria Math" w:hAnsi="Cambria Math" w:cs="Times New Roman" w:hint="eastAsia"/>
                    <w:sz w:val="19"/>
                  </w:rPr>
                  <m:t>m,y</m:t>
                </m:r>
              </m:sub>
            </m:sSub>
          </m:e>
        </m:nary>
      </m:oMath>
      <w:r w:rsidRPr="009960B6">
        <w:rPr>
          <w:rFonts w:ascii="Times New Roman" w:hAnsi="Times New Roman" w:cs="Times New Roman" w:hint="eastAsia"/>
          <w:sz w:val="19"/>
        </w:rPr>
        <w:tab/>
      </w:r>
      <w:r w:rsidR="0034462D">
        <w:rPr>
          <w:rFonts w:ascii="Times New Roman" w:hAnsi="Times New Roman" w:cs="Times New Roman"/>
          <w:sz w:val="19"/>
        </w:rPr>
        <w:t>(12)</w:t>
      </w:r>
    </w:p>
    <w:p w14:paraId="50089B7E" w14:textId="6AED637B" w:rsidR="009960B6" w:rsidRPr="009960B6" w:rsidRDefault="009960B6" w:rsidP="009960B6">
      <w:pPr>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tab/>
      </w:r>
      <m:oMath>
        <m:sSub>
          <m:sSubPr>
            <m:ctrlPr>
              <w:rPr>
                <w:rFonts w:ascii="Cambria Math" w:hAnsi="Cambria Math" w:cs="Times New Roman"/>
                <w:i/>
                <w:sz w:val="19"/>
              </w:rPr>
            </m:ctrlPr>
          </m:sSubPr>
          <m:e>
            <m:r>
              <w:rPr>
                <w:rFonts w:ascii="Cambria Math" w:hAnsi="Cambria Math" w:cs="Times New Roman" w:hint="eastAsia"/>
                <w:sz w:val="19"/>
              </w:rPr>
              <m:t>T</m:t>
            </m:r>
            <m:ctrlPr>
              <w:rPr>
                <w:rFonts w:ascii="Cambria Math" w:hAnsi="Cambria Math" w:cs="Times New Roman" w:hint="eastAsia"/>
                <w:i/>
                <w:sz w:val="19"/>
              </w:rPr>
            </m:ctrlPr>
          </m:e>
          <m:sub>
            <m:r>
              <w:rPr>
                <w:rFonts w:ascii="Cambria Math" w:hAnsi="Cambria Math" w:cs="Times New Roman" w:hint="eastAsia"/>
                <w:sz w:val="19"/>
              </w:rPr>
              <m:t>j</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4</m:t>
            </m:r>
          </m:den>
        </m:f>
        <m:nary>
          <m:naryPr>
            <m:chr m:val="∑"/>
            <m:ctrlPr>
              <w:rPr>
                <w:rFonts w:ascii="Cambria Math" w:hAnsi="Cambria Math" w:cs="Times New Roman"/>
                <w:i/>
                <w:sz w:val="19"/>
              </w:rPr>
            </m:ctrlPr>
          </m:naryPr>
          <m:sub>
            <m:r>
              <w:rPr>
                <w:rFonts w:ascii="Cambria Math" w:hAnsi="Cambria Math" w:cs="Times New Roman" w:hint="eastAsia"/>
                <w:sz w:val="19"/>
              </w:rPr>
              <m:t>y=</m:t>
            </m:r>
            <m:r>
              <w:rPr>
                <w:rFonts w:ascii="Cambria Math" w:hAnsi="Cambria Math" w:cs="Times New Roman" w:hint="eastAsia"/>
                <w:sz w:val="19"/>
                <w:cs/>
              </w:rPr>
              <m:t>1</m:t>
            </m:r>
          </m:sub>
          <m:sup>
            <m:r>
              <w:rPr>
                <w:rFonts w:ascii="Cambria Math" w:hAnsi="Cambria Math" w:cs="Times New Roman" w:hint="eastAsia"/>
                <w:sz w:val="19"/>
                <w:cs/>
              </w:rPr>
              <m:t>4</m:t>
            </m:r>
          </m:sup>
          <m:e>
            <m:sSub>
              <m:sSubPr>
                <m:ctrlPr>
                  <w:rPr>
                    <w:rFonts w:ascii="Cambria Math" w:hAnsi="Cambria Math" w:cs="Times New Roman"/>
                    <w:i/>
                    <w:sz w:val="19"/>
                  </w:rPr>
                </m:ctrlPr>
              </m:sSubPr>
              <m:e>
                <m:r>
                  <w:rPr>
                    <w:rFonts w:ascii="Cambria Math" w:hAnsi="Cambria Math" w:cs="Times New Roman" w:hint="eastAsia"/>
                    <w:sz w:val="19"/>
                  </w:rPr>
                  <m:t>ε</m:t>
                </m:r>
              </m:e>
              <m:sub>
                <m:d>
                  <m:dPr>
                    <m:ctrlPr>
                      <w:rPr>
                        <w:rFonts w:ascii="Cambria Math" w:hAnsi="Cambria Math" w:cs="Times New Roman"/>
                        <w:i/>
                        <w:sz w:val="19"/>
                      </w:rPr>
                    </m:ctrlPr>
                  </m:dPr>
                  <m:e>
                    <m:r>
                      <w:rPr>
                        <w:rFonts w:ascii="Cambria Math" w:hAnsi="Cambria Math" w:cs="Times New Roman" w:hint="eastAsia"/>
                        <w:sz w:val="19"/>
                      </w:rPr>
                      <m:t>j,y</m:t>
                    </m:r>
                  </m:e>
                </m:d>
                <m:sSub>
                  <m:sSubPr>
                    <m:ctrlPr>
                      <w:rPr>
                        <w:rFonts w:ascii="Cambria Math" w:hAnsi="Cambria Math" w:cs="Times New Roman"/>
                        <w:i/>
                        <w:sz w:val="19"/>
                      </w:rPr>
                    </m:ctrlPr>
                  </m:sSubPr>
                  <m:e>
                    <m:r>
                      <w:rPr>
                        <w:rFonts w:ascii="Cambria Math" w:hAnsi="Cambria Math" w:cs="Times New Roman" w:hint="eastAsia"/>
                        <w:sz w:val="19"/>
                      </w:rPr>
                      <m:t>Δ</m:t>
                    </m:r>
                    <m:ctrlPr>
                      <w:rPr>
                        <w:rFonts w:ascii="Cambria Math" w:hAnsi="Cambria Math" w:cs="Times New Roman" w:hint="eastAsia"/>
                        <w:i/>
                        <w:sz w:val="19"/>
                      </w:rPr>
                    </m:ctrlPr>
                  </m:e>
                  <m:sub>
                    <m:r>
                      <w:rPr>
                        <w:rFonts w:ascii="Cambria Math" w:hAnsi="Cambria Math" w:cs="Times New Roman" w:hint="eastAsia"/>
                        <w:sz w:val="19"/>
                      </w:rPr>
                      <m:t>m,y</m:t>
                    </m:r>
                  </m:sub>
                </m:sSub>
              </m:sub>
            </m:sSub>
          </m:e>
        </m:nary>
        <m:r>
          <w:rPr>
            <w:rFonts w:ascii="Cambria Math" w:hAnsi="Cambria Math" w:cs="Times New Roman" w:hint="eastAsia"/>
            <w:sz w:val="19"/>
          </w:rPr>
          <m:t xml:space="preserve">, </m:t>
        </m:r>
        <m:sSub>
          <m:sSubPr>
            <m:ctrlPr>
              <w:rPr>
                <w:rFonts w:ascii="Cambria Math" w:hAnsi="Cambria Math" w:cs="Times New Roman"/>
                <w:i/>
                <w:sz w:val="19"/>
              </w:rPr>
            </m:ctrlPr>
          </m:sSubPr>
          <m:e>
            <m:r>
              <w:rPr>
                <w:rFonts w:ascii="Cambria Math" w:hAnsi="Cambria Math" w:cs="Times New Roman" w:hint="eastAsia"/>
                <w:sz w:val="19"/>
              </w:rPr>
              <m:t>ε</m:t>
            </m:r>
          </m:e>
          <m:sub>
            <m:r>
              <w:rPr>
                <w:rFonts w:ascii="Cambria Math" w:hAnsi="Cambria Math" w:cs="Times New Roman" w:hint="eastAsia"/>
                <w:sz w:val="19"/>
              </w:rPr>
              <m:t>j,y</m:t>
            </m:r>
          </m:sub>
        </m:sSub>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Cambria Math"/>
                <w:sz w:val="19"/>
              </w:rPr>
              <m:t>-</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cs/>
              </w:rPr>
              <m:t>1</m:t>
            </m:r>
          </m:e>
        </m:d>
        <m:r>
          <w:rPr>
            <w:rFonts w:ascii="Cambria Math" w:hAnsi="Cambria Math" w:cs="Times New Roman" w:hint="eastAsia"/>
            <w:sz w:val="19"/>
          </w:rPr>
          <m:t>, j=</m:t>
        </m:r>
        <m:r>
          <w:rPr>
            <w:rFonts w:ascii="Cambria Math" w:hAnsi="Cambria Math" w:cs="Times New Roman" w:hint="eastAsia"/>
            <w:sz w:val="19"/>
            <w:cs/>
          </w:rPr>
          <m:t>1</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rPr>
          <m:t>,</m:t>
        </m:r>
        <m:r>
          <w:rPr>
            <w:rFonts w:ascii="Cambria Math" w:hAnsi="Cambria Math" w:cs="Times New Roman" w:hint="eastAsia"/>
            <w:sz w:val="19"/>
            <w:cs/>
          </w:rPr>
          <m:t>16</m:t>
        </m:r>
      </m:oMath>
      <w:r w:rsidRPr="009960B6">
        <w:rPr>
          <w:rFonts w:ascii="Times New Roman" w:hAnsi="Times New Roman" w:cs="Times New Roman" w:hint="eastAsia"/>
          <w:sz w:val="19"/>
          <w:cs/>
        </w:rPr>
        <w:tab/>
      </w:r>
      <w:r w:rsidR="0034462D">
        <w:rPr>
          <w:rFonts w:ascii="Times New Roman" w:hAnsi="Times New Roman" w:cs="Angsana New"/>
          <w:sz w:val="19"/>
          <w:cs/>
        </w:rPr>
        <w:t>(13)</w:t>
      </w:r>
    </w:p>
    <w:p w14:paraId="7C554421" w14:textId="338FC567" w:rsidR="009960B6" w:rsidRPr="009960B6" w:rsidRDefault="009960B6" w:rsidP="009960B6">
      <w:pPr>
        <w:keepNext/>
        <w:keepLines/>
        <w:tabs>
          <w:tab w:val="center" w:pos="4680"/>
          <w:tab w:val="right" w:pos="9360"/>
        </w:tabs>
        <w:spacing w:before="80" w:after="80" w:line="240" w:lineRule="auto"/>
        <w:rPr>
          <w:rFonts w:ascii="Times New Roman" w:hAnsi="Times New Roman" w:cs="Times New Roman"/>
          <w:sz w:val="19"/>
          <w:cs/>
        </w:rPr>
      </w:pPr>
      <w:r w:rsidRPr="009960B6">
        <w:rPr>
          <w:rFonts w:ascii="Times New Roman" w:hAnsi="Times New Roman" w:cs="Times New Roman" w:hint="eastAsia"/>
          <w:sz w:val="19"/>
          <w:cs/>
        </w:rPr>
        <w:lastRenderedPageBreak/>
        <w:tab/>
      </w:r>
      <m:oMath>
        <m:sSub>
          <m:sSubPr>
            <m:ctrlPr>
              <w:rPr>
                <w:rFonts w:ascii="Cambria Math" w:hAnsi="Cambria Math" w:cs="Times New Roman"/>
                <w:i/>
                <w:sz w:val="19"/>
              </w:rPr>
            </m:ctrlPr>
          </m:sSubPr>
          <m:e>
            <m:r>
              <w:rPr>
                <w:rFonts w:ascii="Cambria Math" w:hAnsi="Cambria Math" w:cs="Times New Roman" w:hint="eastAsia"/>
                <w:sz w:val="19"/>
              </w:rPr>
              <m:t>p</m:t>
            </m:r>
            <m:ctrlPr>
              <w:rPr>
                <w:rFonts w:ascii="Cambria Math" w:hAnsi="Cambria Math" w:cs="Times New Roman" w:hint="eastAsia"/>
                <w:i/>
                <w:sz w:val="19"/>
              </w:rPr>
            </m:ctrlPr>
          </m:e>
          <m:sub>
            <m:r>
              <w:rPr>
                <w:rFonts w:ascii="Cambria Math" w:hAnsi="Cambria Math" w:cs="Times New Roman" w:hint="eastAsia"/>
                <w:sz w:val="19"/>
              </w:rPr>
              <m:t>exact</m:t>
            </m:r>
          </m:sub>
        </m:sSub>
        <m:r>
          <w:rPr>
            <w:rFonts w:ascii="Cambria Math" w:hAnsi="Cambria Math" w:cs="Times New Roman" w:hint="eastAsia"/>
            <w:sz w:val="19"/>
          </w:rPr>
          <m:t>=</m:t>
        </m:r>
        <m:f>
          <m:fPr>
            <m:ctrlPr>
              <w:rPr>
                <w:rFonts w:ascii="Cambria Math" w:hAnsi="Cambria Math" w:cs="Times New Roman"/>
                <w:i/>
                <w:sz w:val="19"/>
              </w:rPr>
            </m:ctrlPr>
          </m:fPr>
          <m:num>
            <m:r>
              <w:rPr>
                <w:rFonts w:ascii="Cambria Math" w:hAnsi="Cambria Math" w:cs="Times New Roman" w:hint="eastAsia"/>
                <w:sz w:val="19"/>
                <w:cs/>
              </w:rPr>
              <m:t>1</m:t>
            </m:r>
          </m:num>
          <m:den>
            <m:r>
              <w:rPr>
                <w:rFonts w:ascii="Cambria Math" w:hAnsi="Cambria Math" w:cs="Times New Roman" w:hint="eastAsia"/>
                <w:sz w:val="19"/>
                <w:cs/>
              </w:rPr>
              <m:t>16</m:t>
            </m:r>
          </m:den>
        </m:f>
        <m:nary>
          <m:naryPr>
            <m:chr m:val="∑"/>
            <m:ctrlPr>
              <w:rPr>
                <w:rFonts w:ascii="Cambria Math" w:hAnsi="Cambria Math" w:cs="Times New Roman"/>
                <w:i/>
                <w:sz w:val="19"/>
              </w:rPr>
            </m:ctrlPr>
          </m:naryPr>
          <m:sub>
            <m:r>
              <w:rPr>
                <w:rFonts w:ascii="Cambria Math" w:hAnsi="Cambria Math" w:cs="Times New Roman" w:hint="eastAsia"/>
                <w:sz w:val="19"/>
              </w:rPr>
              <m:t>j=</m:t>
            </m:r>
            <m:r>
              <w:rPr>
                <w:rFonts w:ascii="Cambria Math" w:hAnsi="Cambria Math" w:cs="Times New Roman" w:hint="eastAsia"/>
                <w:sz w:val="19"/>
                <w:cs/>
              </w:rPr>
              <m:t>1</m:t>
            </m:r>
          </m:sub>
          <m:sup>
            <m:r>
              <w:rPr>
                <w:rFonts w:ascii="Cambria Math" w:hAnsi="Cambria Math" w:cs="Times New Roman" w:hint="eastAsia"/>
                <w:sz w:val="19"/>
                <w:cs/>
              </w:rPr>
              <m:t>16</m:t>
            </m:r>
          </m:sup>
          <m:e>
            <m:r>
              <w:rPr>
                <w:rFonts w:ascii="Cambria Math" w:hAnsi="Cambria Math" w:cs="Times New Roman" w:hint="eastAsia"/>
                <w:sz w:val="19"/>
              </w:rPr>
              <m:t>I</m:t>
            </m:r>
            <m:d>
              <m:dPr>
                <m:ctrlPr>
                  <w:rPr>
                    <w:rFonts w:ascii="Cambria Math" w:hAnsi="Cambria Math" w:cs="Times New Roman"/>
                    <w:i/>
                    <w:sz w:val="19"/>
                  </w:rPr>
                </m:ctrlPr>
              </m:dPr>
              <m:e>
                <m:d>
                  <m:dPr>
                    <m:begChr m:val="|"/>
                    <m:endChr m:val="|"/>
                    <m:ctrlPr>
                      <w:rPr>
                        <w:rFonts w:ascii="Cambria Math" w:hAnsi="Cambria Math" w:cs="Times New Roman"/>
                        <w:i/>
                        <w:sz w:val="19"/>
                      </w:rPr>
                    </m:ctrlPr>
                  </m:dPr>
                  <m:e>
                    <m:sSub>
                      <m:sSubPr>
                        <m:ctrlPr>
                          <w:rPr>
                            <w:rFonts w:ascii="Cambria Math" w:hAnsi="Cambria Math" w:cs="Times New Roman"/>
                            <w:i/>
                            <w:sz w:val="19"/>
                          </w:rPr>
                        </m:ctrlPr>
                      </m:sSubPr>
                      <m:e>
                        <m:r>
                          <w:rPr>
                            <w:rFonts w:ascii="Cambria Math" w:hAnsi="Cambria Math" w:cs="Times New Roman" w:hint="eastAsia"/>
                            <w:sz w:val="19"/>
                          </w:rPr>
                          <m:t>T</m:t>
                        </m:r>
                      </m:e>
                      <m:sub>
                        <m:r>
                          <w:rPr>
                            <w:rFonts w:ascii="Cambria Math" w:hAnsi="Cambria Math" w:cs="Times New Roman" w:hint="eastAsia"/>
                            <w:sz w:val="19"/>
                          </w:rPr>
                          <m:t>j</m:t>
                        </m:r>
                      </m:sub>
                    </m:sSub>
                  </m:e>
                </m:d>
                <m:r>
                  <w:rPr>
                    <w:rFonts w:ascii="Cambria Math" w:hAnsi="Cambria Math" w:cs="Times New Roman" w:hint="eastAsia"/>
                    <w:sz w:val="19"/>
                  </w:rPr>
                  <m:t>≥</m:t>
                </m:r>
                <m:d>
                  <m:dPr>
                    <m:begChr m:val="|"/>
                    <m:endChr m:val="|"/>
                    <m:ctrlPr>
                      <w:rPr>
                        <w:rFonts w:ascii="Cambria Math" w:hAnsi="Cambria Math" w:cs="Times New Roman"/>
                        <w:i/>
                        <w:sz w:val="19"/>
                      </w:rPr>
                    </m:ctrlPr>
                  </m:dPr>
                  <m:e>
                    <m:r>
                      <w:rPr>
                        <w:rFonts w:ascii="Cambria Math" w:hAnsi="Cambria Math" w:cs="Times New Roman" w:hint="eastAsia"/>
                        <w:sz w:val="19"/>
                      </w:rPr>
                      <m:t>Δmea</m:t>
                    </m:r>
                    <m:sSub>
                      <m:sSubPr>
                        <m:ctrlPr>
                          <w:rPr>
                            <w:rFonts w:ascii="Cambria Math" w:hAnsi="Cambria Math" w:cs="Times New Roman"/>
                            <w:i/>
                            <w:sz w:val="19"/>
                          </w:rPr>
                        </m:ctrlPr>
                      </m:sSubPr>
                      <m:e>
                        <m:r>
                          <w:rPr>
                            <w:rFonts w:ascii="Cambria Math" w:hAnsi="Cambria Math" w:cs="Times New Roman" w:hint="eastAsia"/>
                            <w:sz w:val="19"/>
                          </w:rPr>
                          <m:t>n</m:t>
                        </m:r>
                        <m:ctrlPr>
                          <w:rPr>
                            <w:rFonts w:ascii="Cambria Math" w:hAnsi="Cambria Math" w:cs="Times New Roman" w:hint="eastAsia"/>
                            <w:i/>
                            <w:sz w:val="19"/>
                          </w:rPr>
                        </m:ctrlPr>
                      </m:e>
                      <m:sub>
                        <m:r>
                          <w:rPr>
                            <w:rFonts w:ascii="Cambria Math" w:hAnsi="Cambria Math" w:cs="Times New Roman" w:hint="eastAsia"/>
                            <w:sz w:val="19"/>
                          </w:rPr>
                          <m:t>m</m:t>
                        </m:r>
                      </m:sub>
                    </m:sSub>
                  </m:e>
                </m:d>
              </m:e>
            </m:d>
          </m:e>
        </m:nary>
      </m:oMath>
      <w:r w:rsidRPr="009960B6">
        <w:rPr>
          <w:rFonts w:ascii="Times New Roman" w:hAnsi="Times New Roman" w:cs="Times New Roman" w:hint="eastAsia"/>
          <w:sz w:val="19"/>
        </w:rPr>
        <w:tab/>
      </w:r>
      <w:r w:rsidR="0034462D">
        <w:rPr>
          <w:rFonts w:ascii="Times New Roman" w:hAnsi="Times New Roman" w:cs="Times New Roman"/>
          <w:sz w:val="19"/>
        </w:rPr>
        <w:t>(14)</w:t>
      </w:r>
    </w:p>
    <w:p w14:paraId="1D36D9AD" w14:textId="6334D17B" w:rsidR="0000017E" w:rsidRDefault="0000017E" w:rsidP="009960B6">
      <w:pPr>
        <w:keepNext/>
        <w:spacing w:after="0" w:line="240" w:lineRule="auto"/>
        <w:rPr>
          <w:rFonts w:ascii="Times New Roman" w:eastAsia="Times New Roman" w:hAnsi="Times New Roman" w:cs="Times New Roman"/>
          <w:b/>
          <w:sz w:val="24"/>
          <w:szCs w:val="24"/>
        </w:rPr>
      </w:pPr>
    </w:p>
    <w:p w14:paraId="1F0E9693" w14:textId="77777777" w:rsidR="009960B6" w:rsidRDefault="0000017E" w:rsidP="009960B6">
      <w:pPr>
        <w:keepNext/>
        <w:spacing w:before="120" w:after="60" w:line="240" w:lineRule="auto"/>
        <w:jc w:val="center"/>
        <w:rPr>
          <w:rFonts w:ascii="Times New Roman" w:eastAsia="Times New Roman" w:hAnsi="Times New Roman" w:cs="Times New Roman"/>
          <w:b/>
          <w:sz w:val="24"/>
          <w:szCs w:val="24"/>
        </w:rPr>
      </w:pPr>
      <w:r w:rsidRPr="0000017E">
        <w:rPr>
          <w:rFonts w:ascii="Times New Roman" w:eastAsia="Times New Roman" w:hAnsi="Times New Roman" w:cs="Times New Roman"/>
          <w:b/>
          <w:noProof/>
          <w:sz w:val="24"/>
          <w:szCs w:val="24"/>
        </w:rPr>
        <w:drawing>
          <wp:inline distT="0" distB="0" distL="0" distR="0" wp14:anchorId="00678C03" wp14:editId="32452A7F">
            <wp:extent cx="5384800" cy="3454400"/>
            <wp:effectExtent l="0" t="0" r="6350" b="0"/>
            <wp:docPr id="1068099523" name="Figure 6" title="Figure 6" descr="Causal Bull-Sideway-Bear routing, training-only SHAP selection and paired temporal in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84800" cy="3454400"/>
                    </a:xfrm>
                    <a:prstGeom prst="rect">
                      <a:avLst/>
                    </a:prstGeom>
                    <a:noFill/>
                    <a:ln>
                      <a:noFill/>
                    </a:ln>
                  </pic:spPr>
                </pic:pic>
              </a:graphicData>
            </a:graphic>
          </wp:inline>
        </w:drawing>
      </w:r>
      <w:r>
        <w:rPr>
          <w:rFonts w:ascii="Times New Roman" w:eastAsia="Times New Roman" w:hAnsi="Times New Roman" w:cs="Times New Roman"/>
          <w:b/>
          <w:sz w:val="24"/>
          <w:szCs w:val="24"/>
        </w:rPr>
        <w:br/>
      </w:r>
    </w:p>
    <w:p w14:paraId="2E326F14" w14:textId="64AEC027" w:rsidR="004A3C24" w:rsidRPr="004A3C24" w:rsidRDefault="004A3C24" w:rsidP="009960B6">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6.</w:t>
      </w:r>
      <w:r>
        <w:rPr>
          <w:rFonts w:ascii="Times New Roman" w:hAnsi="Times New Roman" w:cs="Times New Roman"/>
          <w:sz w:val="20"/>
          <w:szCs w:val="20"/>
        </w:rPr>
        <w:t xml:space="preserve"> Causal regime-aware SHAP selection and inference. Past returns and volatility define daily Bull, Sideway and Bear states. The reference model, SHAP values and regime-specific feature subsets are fitted within each training fold, frozen and applied to the held-out year. Paired effects are aggregated across seeds and years before Holm adjustment.</w:t>
      </w:r>
    </w:p>
    <w:p w14:paraId="11BBEDBB" w14:textId="1FED5CFB" w:rsidR="00F06F20" w:rsidRPr="004B02B2" w:rsidRDefault="004B02B2" w:rsidP="004B02B2">
      <w:pPr>
        <w:pStyle w:val="Heading1"/>
        <w:keepNext/>
        <w:keepLines/>
        <w:spacing w:before="240" w:line="240" w:lineRule="auto" w:after="120"/>
        <w:rPr>
          <w:rFonts w:ascii="Times New Roman" w:hAnsi="Times New Roman" w:cs="Times New Roman"/>
          <w:b/>
          <w:bCs/>
          <w:color w:val="000000"/>
          <w:sz w:val="24"/>
          <w:szCs w:val="24"/>
        </w:rPr>
        <w:jc w:val="left"/>
      </w:pPr>
      <w:r>
        <w:rPr>
          <w:rFonts w:ascii="Times New Roman" w:hAnsi="Times New Roman" w:cs="Times New Roman"/>
          <w:sz w:val="24"/>
          <w:szCs w:val="24"/>
          <w:b/>
          <w:bCs/>
        </w:rPr>
        <w:t>4. Results</w:t>
      </w:r>
    </w:p>
    <w:p w14:paraId="071F7BC5" w14:textId="03ED1CD6" w:rsidR="00FC4CF6" w:rsidRDefault="00F06F20" w:rsidP="009960B6">
      <w:pPr>
        <w:pStyle w:val="Heading2"/>
        <w:keepNext/>
        <w:keepLines/>
        <w:spacing w:before="180" w:after="60" w:line="240" w:lineRule="auto"/>
        <w:rPr>
          <w:rFonts w:ascii="Times New Roman" w:hAnsi="Times New Roman" w:cs="Times New Roman"/>
          <w:sz w:val="24"/>
          <w:szCs w:val="24"/>
        </w:rPr>
        <w:jc w:val="left"/>
      </w:pPr>
      <w:r>
        <w:rPr>
          <w:rFonts w:ascii="Times New Roman" w:hAnsi="Times New Roman" w:cs="Times New Roman"/>
          <w:sz w:val="24"/>
          <w:szCs w:val="24"/>
          <w:b/>
          <w:bCs/>
        </w:rPr>
        <w:t>4.1 VMD</w:t>
      </w:r>
    </w:p>
    <w:p w14:paraId="1BFD98EB" w14:textId="2F190CC2" w:rsidR="00FC4CF6" w:rsidRDefault="00FC4CF6"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Table 2 reports the corrected point-in-time numerical ablation. VMD increased mean balanced accuracy only for LSTM–CNN (+0.35 percentage points) and reduced it for the other four architectures (−0.30 to −0.60 points). Every interval crossed zero and the smallest exact p-value was 0.375. VMD therefore cannot be described as a generally beneficial denoiser for next-day direction</w:t>
      </w:r>
      <w:r>
        <w:rPr>
          <w:rFonts w:ascii="Times New Roman" w:eastAsia="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{"citationID":"347439a768","properties":{"unsorted":false,"formattedCitation":"(T. Liu et al., 2022; Y. Liu et al., 2024)","plainCitation":"(T. Liu et al., 2022; Y. Liu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(T. Liu et al., 2022; Y. Liu et al., 2024)</w:t>
      </w:r>
      <w:r w:rsidR="00A84458">
        <w:rPr>
          <w:rFonts w:ascii="Times New Roman" w:hAnsi="Times New Roman" w:cs="Times New Roman"/>
          <w:sz w:val="24"/>
          <w:szCs w:val="24"/>
        </w:rPr>
        <w:fldChar w:fldCharType="end"/>
      </w:r>
    </w:p>
    <w:p w14:paraId="3A8D3EB1"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2.</w:t>
      </w:r>
      <w:r>
        <w:rPr>
          <w:rFonts w:ascii="Times New Roman" w:hAnsi="Times New Roman" w:cs="Times New Roman"/>
          <w:sz w:val="20"/>
          <w:szCs w:val="20"/>
        </w:rPr>
        <w:t xml:space="preserve"> Corrected point-in-time numerical ablation for Full-TA versus Full-TA plus causal rolling VMD, 2022-2025. Balanced accuracy effects are based on four outer years after within-fold seed aggregation; runtime is reported per seed-fold cell.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3"/>
        <w:gridCol w:w="562"/>
        <w:gridCol w:w="1123"/>
        <w:gridCol w:w="1123"/>
        <w:gridCol w:w="2527"/>
        <w:gridCol w:w="842"/>
        <w:gridCol w:w="1310"/>
      </w:tblGrid>
      <w:tr w:rsidR="000959B0" w14:paraId="29885145" w14:textId="77777777" w:rsidTr="000959B0">
        <w:trPr>
          <w:cantSplit/>
          <w:tblHeader/>
        </w:trPr>
        <w:tc>
          <w:tcPr>
            <w:tcW w:w="1872" w:type="dxa"/>
            <w:shd w:val="clear" w:color="auto" w:fill="E6E6E6"/>
            <w:vAlign w:val="center"/>
          </w:tcPr>
          <w:p w14:paraId="3E341810" w14:textId="23E84EE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562" w:type="dxa"/>
            <w:shd w:val="clear" w:color="auto" w:fill="E6E6E6"/>
            <w:vAlign w:val="center"/>
          </w:tcPr>
          <w:p w14:paraId="6F8C024A" w14:textId="2226BD9F"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123" w:type="dxa"/>
            <w:shd w:val="clear" w:color="auto" w:fill="E6E6E6"/>
            <w:vAlign w:val="center"/>
          </w:tcPr>
          <w:p w14:paraId="6940C0F9" w14:textId="434532DC"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Full-TA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123" w:type="dxa"/>
            <w:shd w:val="clear" w:color="auto" w:fill="E6E6E6"/>
            <w:vAlign w:val="center"/>
          </w:tcPr>
          <w:p w14:paraId="74380677" w14:textId="50BD014E"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+VMD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527" w:type="dxa"/>
            <w:shd w:val="clear" w:color="auto" w:fill="E6E6E6"/>
            <w:vAlign w:val="center"/>
          </w:tcPr>
          <w:p w14:paraId="245D06A8" w14:textId="7DE7EFF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842" w:type="dxa"/>
            <w:shd w:val="clear" w:color="auto" w:fill="E6E6E6"/>
            <w:vAlign w:val="center"/>
          </w:tcPr>
          <w:p w14:paraId="1FD52596" w14:textId="45ECCBE3"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Exact p</w:t>
            </w:r>
          </w:p>
        </w:tc>
        <w:tc>
          <w:tcPr>
            <w:tcW w:w="1310" w:type="dxa"/>
            <w:shd w:val="clear" w:color="auto" w:fill="E6E6E6"/>
            <w:vAlign w:val="center"/>
          </w:tcPr>
          <w:p w14:paraId="4F0FBB11" w14:textId="2856AD7D"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Runtime s Full / VMD</w:t>
            </w:r>
          </w:p>
        </w:tc>
      </w:tr>
      <w:tr w:rsidR="000959B0" w14:paraId="2528FCF5" w14:textId="77777777" w:rsidTr="000959B0">
        <w:trPr>
          <w:cantSplit/>
        </w:trPr>
        <w:tc>
          <w:tcPr>
            <w:tcW w:w="1872" w:type="dxa"/>
            <w:vAlign w:val="center"/>
          </w:tcPr>
          <w:p w14:paraId="6DA29297" w14:textId="204A6F1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562" w:type="dxa"/>
            <w:vAlign w:val="center"/>
          </w:tcPr>
          <w:p w14:paraId="10DE927C" w14:textId="6293FD7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123" w:type="dxa"/>
            <w:vAlign w:val="center"/>
          </w:tcPr>
          <w:p w14:paraId="45A65A9D" w14:textId="6270E9E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53.49</w:t>
            </w:r>
          </w:p>
        </w:tc>
        <w:tc>
          <w:tcPr>
            <w:tcW w:w="1123" w:type="dxa"/>
            <w:vAlign w:val="center"/>
          </w:tcPr>
          <w:p w14:paraId="19EF2263" w14:textId="20CAD51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53.16</w:t>
            </w:r>
          </w:p>
        </w:tc>
        <w:tc>
          <w:tcPr>
            <w:tcW w:w="2527" w:type="dxa"/>
            <w:vAlign w:val="center"/>
          </w:tcPr>
          <w:p w14:paraId="0606F248" w14:textId="205D520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-0.33 [-1.74, +1.07]</w:t>
            </w:r>
          </w:p>
        </w:tc>
        <w:tc>
          <w:tcPr>
            <w:tcW w:w="842" w:type="dxa"/>
            <w:vAlign w:val="center"/>
          </w:tcPr>
          <w:p w14:paraId="53895E1D" w14:textId="371FE63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0.500</w:t>
            </w:r>
          </w:p>
        </w:tc>
        <w:tc>
          <w:tcPr>
            <w:tcW w:w="1310" w:type="dxa"/>
            <w:vAlign w:val="center"/>
          </w:tcPr>
          <w:p w14:paraId="57EC73F2" w14:textId="5DD00E3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7.84 / 7.71</w:t>
            </w:r>
          </w:p>
        </w:tc>
      </w:tr>
      <w:tr w:rsidR="000959B0" w14:paraId="71146A93" w14:textId="77777777" w:rsidTr="000959B0">
        <w:trPr>
          <w:cantSplit/>
        </w:trPr>
        <w:tc>
          <w:tcPr>
            <w:tcW w:w="1872" w:type="dxa"/>
            <w:vAlign w:val="center"/>
          </w:tcPr>
          <w:p w14:paraId="307D0804" w14:textId="11BD66D0"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lastRenderedPageBreak/>
              <w:t>CNN</w:t>
            </w:r>
          </w:p>
        </w:tc>
        <w:tc>
          <w:tcPr>
            <w:tcW w:w="562" w:type="dxa"/>
            <w:vAlign w:val="center"/>
          </w:tcPr>
          <w:p w14:paraId="47A94018" w14:textId="2A1DFA7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430CACDD" w14:textId="5B1DF3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52.14</w:t>
            </w:r>
          </w:p>
        </w:tc>
        <w:tc>
          <w:tcPr>
            <w:tcW w:w="1123" w:type="dxa"/>
            <w:vAlign w:val="center"/>
          </w:tcPr>
          <w:p w14:paraId="58507373" w14:textId="2706162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51.84</w:t>
            </w:r>
          </w:p>
        </w:tc>
        <w:tc>
          <w:tcPr>
            <w:tcW w:w="2527" w:type="dxa"/>
            <w:vAlign w:val="center"/>
          </w:tcPr>
          <w:p w14:paraId="2169E277" w14:textId="2F8CC11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-0.30 [-1.38, +0.79]</w:t>
            </w:r>
          </w:p>
        </w:tc>
        <w:tc>
          <w:tcPr>
            <w:tcW w:w="842" w:type="dxa"/>
            <w:vAlign w:val="center"/>
          </w:tcPr>
          <w:p w14:paraId="7621A0FB" w14:textId="45D870E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0329AE67" w14:textId="1B70878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6.55 / 6.57</w:t>
            </w:r>
          </w:p>
        </w:tc>
      </w:tr>
      <w:tr w:rsidR="000959B0" w14:paraId="55A2A666" w14:textId="77777777" w:rsidTr="000959B0">
        <w:trPr>
          <w:cantSplit/>
        </w:trPr>
        <w:tc>
          <w:tcPr>
            <w:tcW w:w="1872" w:type="dxa"/>
            <w:vAlign w:val="center"/>
          </w:tcPr>
          <w:p w14:paraId="37497C58" w14:textId="470BA9D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562" w:type="dxa"/>
            <w:vAlign w:val="center"/>
          </w:tcPr>
          <w:p w14:paraId="19341EF4" w14:textId="25809E7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7F942817" w14:textId="524BF586"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52.08</w:t>
            </w:r>
          </w:p>
        </w:tc>
        <w:tc>
          <w:tcPr>
            <w:tcW w:w="1123" w:type="dxa"/>
            <w:vAlign w:val="center"/>
          </w:tcPr>
          <w:p w14:paraId="71D2F60F" w14:textId="4716FBA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52.43</w:t>
            </w:r>
          </w:p>
        </w:tc>
        <w:tc>
          <w:tcPr>
            <w:tcW w:w="2527" w:type="dxa"/>
            <w:vAlign w:val="center"/>
          </w:tcPr>
          <w:p w14:paraId="45369975" w14:textId="57C13E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+0.35 [-1.61, +2.32]</w:t>
            </w:r>
          </w:p>
        </w:tc>
        <w:tc>
          <w:tcPr>
            <w:tcW w:w="842" w:type="dxa"/>
            <w:vAlign w:val="center"/>
          </w:tcPr>
          <w:p w14:paraId="5AA9E8A8" w14:textId="2B75CF9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c>
          <w:tcPr>
            <w:tcW w:w="1310" w:type="dxa"/>
            <w:vAlign w:val="center"/>
          </w:tcPr>
          <w:p w14:paraId="434F55FD" w14:textId="61A9920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14.26 / 14.55</w:t>
            </w:r>
          </w:p>
        </w:tc>
      </w:tr>
      <w:tr w:rsidR="000959B0" w14:paraId="231220BB" w14:textId="77777777" w:rsidTr="000959B0">
        <w:trPr>
          <w:cantSplit/>
        </w:trPr>
        <w:tc>
          <w:tcPr>
            <w:tcW w:w="1872" w:type="dxa"/>
            <w:vAlign w:val="center"/>
          </w:tcPr>
          <w:p w14:paraId="5BD66893" w14:textId="4154A70F"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562" w:type="dxa"/>
            <w:vAlign w:val="center"/>
          </w:tcPr>
          <w:p w14:paraId="4B76C138" w14:textId="6799B5F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123" w:type="dxa"/>
            <w:vAlign w:val="center"/>
          </w:tcPr>
          <w:p w14:paraId="25DF57D0" w14:textId="0EE7154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52.51</w:t>
            </w:r>
          </w:p>
        </w:tc>
        <w:tc>
          <w:tcPr>
            <w:tcW w:w="1123" w:type="dxa"/>
            <w:vAlign w:val="center"/>
          </w:tcPr>
          <w:p w14:paraId="04389192" w14:textId="52274BD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52.01</w:t>
            </w:r>
          </w:p>
        </w:tc>
        <w:tc>
          <w:tcPr>
            <w:tcW w:w="2527" w:type="dxa"/>
            <w:vAlign w:val="center"/>
          </w:tcPr>
          <w:p w14:paraId="09353AB3" w14:textId="48960A5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-0.50 [-3.48, +2.49]</w:t>
            </w:r>
          </w:p>
        </w:tc>
        <w:tc>
          <w:tcPr>
            <w:tcW w:w="842" w:type="dxa"/>
            <w:vAlign w:val="center"/>
          </w:tcPr>
          <w:p w14:paraId="5A19A264" w14:textId="3F16A5A2"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0.750</w:t>
            </w:r>
          </w:p>
        </w:tc>
        <w:tc>
          <w:tcPr>
            <w:tcW w:w="1310" w:type="dxa"/>
            <w:vAlign w:val="center"/>
          </w:tcPr>
          <w:p w14:paraId="2477CD77" w14:textId="62DD1A6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14.21 / 15.55</w:t>
            </w:r>
          </w:p>
        </w:tc>
      </w:tr>
      <w:tr w:rsidR="000959B0" w14:paraId="16F72F8F" w14:textId="77777777" w:rsidTr="000959B0">
        <w:trPr>
          <w:cantSplit/>
        </w:trPr>
        <w:tc>
          <w:tcPr>
            <w:tcW w:w="1872" w:type="dxa"/>
            <w:vAlign w:val="center"/>
          </w:tcPr>
          <w:p w14:paraId="097E58E3" w14:textId="5749F5F8"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562" w:type="dxa"/>
            <w:vAlign w:val="center"/>
          </w:tcPr>
          <w:p w14:paraId="4F24C3B9" w14:textId="4B6E19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123" w:type="dxa"/>
            <w:vAlign w:val="center"/>
          </w:tcPr>
          <w:p w14:paraId="50756014" w14:textId="59C83394"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51.58</w:t>
            </w:r>
          </w:p>
        </w:tc>
        <w:tc>
          <w:tcPr>
            <w:tcW w:w="1123" w:type="dxa"/>
            <w:vAlign w:val="center"/>
          </w:tcPr>
          <w:p w14:paraId="41F3D13B" w14:textId="706F8E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50.98</w:t>
            </w:r>
          </w:p>
        </w:tc>
        <w:tc>
          <w:tcPr>
            <w:tcW w:w="2527" w:type="dxa"/>
            <w:vAlign w:val="center"/>
          </w:tcPr>
          <w:p w14:paraId="41AEA8D6" w14:textId="02A7A30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-0.60 [-1.98, +0.78]</w:t>
            </w:r>
          </w:p>
        </w:tc>
        <w:tc>
          <w:tcPr>
            <w:tcW w:w="842" w:type="dxa"/>
            <w:vAlign w:val="center"/>
          </w:tcPr>
          <w:p w14:paraId="649002DD" w14:textId="7425A49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0.375</w:t>
            </w:r>
          </w:p>
        </w:tc>
        <w:tc>
          <w:tcPr>
            <w:tcW w:w="1310" w:type="dxa"/>
            <w:vAlign w:val="center"/>
          </w:tcPr>
          <w:p w14:paraId="03CAD26C" w14:textId="63285AB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20.38 / 19.64</w:t>
            </w:r>
          </w:p>
        </w:tc>
      </w:tr>
    </w:tbl>
    <w:p w14:paraId="34A2CFD0" w14:textId="09C08A7B" w:rsidR="004B07BD" w:rsidRDefault="006D6F65" w:rsidP="009960B6">
      <w:pPr>
        <w:pStyle w:val="Caption"/>
        <w:spacing w:before="40" w:line="240" w:lineRule="auto" w:after="120"/>
        <w:rPr>
          <w:rFonts w:ascii="Times New Roman" w:hAnsi="Times New Roman"/>
          <w:b/>
          <w:bCs/>
          <w:sz w:val="24"/>
          <w:szCs w:val="24"/>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w:t>
      </w:r>
      <w:proofErr w:type="spellStart"/>
      <w:r w:rsidRPr="000829A5">
        <w:rPr>
          <w:rFonts w:ascii="Times New Roman" w:hAnsi="Times New Roman" w:cs="Times New Roman"/>
          <w:sz w:val="20"/>
          <w:szCs w:val="20"/>
        </w:rPr>
        <w:t>BAcc</w:t>
      </w:r>
      <w:proofErr w:type="spellEnd"/>
      <w:r w:rsidRPr="000829A5">
        <w:rPr>
          <w:rFonts w:ascii="Times New Roman" w:hAnsi="Times New Roman" w:cs="Times New Roman"/>
          <w:sz w:val="20"/>
          <w:szCs w:val="20"/>
        </w:rPr>
        <w:t xml:space="preserve"> is balanced accuracy. Values are means over four outer years after within-fold seed aggregation. Runtime is mean model build, fit and evaluation inference time per seed–fold cell; VMD feature generation is not included. The complete selection plus outer numerical protocol recorded 4,158.40 seconds of model fit/inference time</w:t>
      </w:r>
    </w:p>
    <w:p w14:paraId="2738ED2B" w14:textId="74094468" w:rsidR="00F6088D" w:rsidRDefault="00F6088D"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error and direction endpoints also diverged. In the corrected numerical run, VMD reduced RMSE for LSTM and CNN but reduced their balanced accuracy. Conversely, the small LSTM–CNN balanced-accuracy gain did not imply a universal price-error gain. This is exactly the distinction that a direction-focused audit must preserve</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{"citationID":"18b5635068","properties":{"unsorted":false,"formattedCitation":"(Olorunnimbe &amp; Viktor, 2023; Sezer et al., 2020)","plainCitation":"(Olorunnimbe &amp;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(Olorunnimbe &amp; Viktor, 2023; Sezer et al., 2020)</w:t>
      </w:r>
      <w:r w:rsidR="00A84458">
        <w:rPr>
          <w:rFonts w:ascii="Times New Roman" w:hAnsi="Times New Roman" w:cs="Times New Roman"/>
          <w:sz w:val="24"/>
          <w:szCs w:val="24"/>
        </w:rPr>
        <w:fldChar w:fldCharType="end"/>
      </w:r>
    </w:p>
    <w:p w14:paraId="6D484E48" w14:textId="52089D89"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Unlike decomposition studies that report lower continuous-price errors, the present result does not imply that VMD is ineffective in every forecasting setting. Liu et al. decomposed causal sliding windows and predicted and recombined multiple modal subseries with a meta-learned LSTM, whereas later work paired VMD with a dual-channel attention network for stock-series regression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{"citationID":"bac1effe","properties":{"unsorted":false,"formattedCitation":"(Dragomiretskiy \u0026 Zosso, 2014; T. Liu et al., 2022; Y. Liu et al., 2024)","plainCitation":"(Dragomiretskiy \u0026 Zosso, 2014; T. Liu et al., 2022; Y. Liu et al., 2024)","noteIndex":0},"citationItems":[{"id":8,"uris":["http://zotero.org/users/local/DPQnJvcs/items/B5YAFXST"],"itemData":{"id":8,"type":"article-journal","container-title":"IEEE Transactions on Signal Processing","DOI":"10.1109/TSP.2013.2288675","issue":"3","page":"531–544","title":"Variational Mode Decomposition","volume":"62","author":[{"family":"Dragomiretskiy","given":"Konstantin"},{"family":"Zosso","given":"Dominique"}],"issued":{"date-parts":[["2014"]]}}},{"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(Dragomiretskiy &amp; Zosso, 2014; T. Liu et al., 2022; Y. Liu et al., 2024)</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Our ablation instead removes only the highest-frequency mode, keeps </w:t>
      </w:r>
      <w:r w:rsidR="00814095" w:rsidRPr="0034462D">
        <w:rPr>
          <w:rFonts w:ascii="Times New Roman" w:hAnsi="Times New Roman" w:cs="Times New Roman"/>
          <w:bCs/>
          <w:color w:val="000000"/>
          <w:sz w:val="24"/>
          <w:szCs w:val="24"/>
        </w:rPr>
        <w:t>architecture</w:t>
      </w:r>
      <w:r w:rsidRPr="0034462D">
        <w:rPr>
          <w:rFonts w:ascii="Times New Roman" w:hAnsi="Times New Roman" w:cs="Times New Roman"/>
          <w:bCs/>
          <w:color w:val="000000"/>
          <w:sz w:val="24"/>
          <w:szCs w:val="24"/>
        </w:rPr>
        <w:t xml:space="preserve"> and training budgets fixed and evaluates the sign of a one-day movement. Smoothing can therefore reduce squared price error by shrinking deviations while erasing small sign-bearing movements around zero. The isolated +0.35-point LSTM-CNN effect is plausibly an architecture interaction: convolutional filters may exploit local residual patterns left after decomposition, whereas the recurrent and attention models may lose useful short-horizon variation. Because its interval crosses zero, this mechanism explains the observed pattern but does not establish a general denoising advantage.</w:t>
      </w:r>
    </w:p>
    <w:p w14:paraId="2F4E6F92" w14:textId="0C10A0BA" w:rsidR="00F6088D" w:rsidRDefault="00F6088D" w:rsidP="009960B6">
      <w:pPr>
        <w:pStyle w:val="Heading2"/>
        <w:keepNext/>
        <w:keepLines/>
        <w:spacing w:before="180" w:after="60" w:line="240" w:lineRule="auto"/>
        <w:rPr>
          <w:rFonts w:ascii="Times New Roman" w:hAnsi="Times New Roman" w:cs="Times New Roman"/>
          <w:sz w:val="24"/>
          <w:szCs w:val="24"/>
        </w:rPr>
        <w:jc w:val="left"/>
      </w:pPr>
      <w:r>
        <w:rPr>
          <w:rFonts w:ascii="Times New Roman" w:hAnsi="Times New Roman" w:cs="Times New Roman"/>
          <w:sz w:val="24"/>
          <w:szCs w:val="24"/>
          <w:b/>
          <w:bCs/>
        </w:rPr>
        <w:t>4.2 Predicted News</w:t>
      </w:r>
    </w:p>
    <w:bookmarkEnd w:id="0"/>
    <w:p w14:paraId="4184168B" w14:textId="386295AC" w:rsidR="00FF27E4" w:rsidRDefault="00A76394"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observed-news effect relative to the market-only arm was negative for all five architectures in the serial-dependence sensitivity, ranging from −0.009 points for CNN to −1.895 points for LSTM–Attention (Table 3A). None survived Holm adjustment. Observed news also failed to beat the shuffled-news control after adjustment. Although the unadjusted moving-block intervals for LSTM and LSTM–CNN–Attention versus shuffled news excluded zero in the negative direction, both Holm-adjusted p-values were 0.098. The news-only, five-row lagged-news and random-</w:t>
      </w:r>
      <w:r w:rsidRPr="000829A5">
        <w:rPr>
          <w:rFonts w:ascii="Times New Roman" w:hAnsi="Times New Roman" w:cs="Times New Roman"/>
          <w:sz w:val="24"/>
          <w:szCs w:val="24"/>
        </w:rPr>
        <w:lastRenderedPageBreak/>
        <w:t>feature controls likewise produced no adjusted balanced-accuracy superiority. Across the registered exact fold-level families, zero of 30 primary balanced-accuracy contrasts survived Holm correction</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{"citationID":"87204034ba","properties":{"unsorted":false,"formattedCitation":"(W.-J.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(W.-J. Liu et al., 2024; M. Wang et al., 2024)</w:t>
      </w:r>
      <w:r w:rsidR="00A84458">
        <w:rPr>
          <w:rFonts w:ascii="Times New Roman" w:hAnsi="Times New Roman" w:cs="Times New Roman"/>
          <w:sz w:val="24"/>
          <w:szCs w:val="24"/>
        </w:rPr>
        <w:fldChar w:fldCharType="end"/>
      </w:r>
    </w:p>
    <w:p w14:paraId="51D8093C"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3A.</w:t>
      </w:r>
      <w:r>
        <w:rPr>
          <w:rFonts w:ascii="Times New Roman" w:hAnsi="Times New Roman" w:cs="Times New Roman"/>
          <w:sz w:val="20"/>
          <w:szCs w:val="20"/>
        </w:rPr>
        <w:t xml:space="preserve"> Moving-block bootstrap sensitivity for observed-news effects relative to Market-Only and Shuffled-News controls. Contrasts use the same eligible dates, frozen windows, architectures, seeds and training budgets.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779"/>
        <w:gridCol w:w="2340"/>
        <w:gridCol w:w="2808"/>
        <w:gridCol w:w="842"/>
        <w:gridCol w:w="842"/>
        <w:gridCol w:w="749"/>
      </w:tblGrid>
      <w:tr w:rsidR="000959B0" w14:paraId="3581FC62" w14:textId="77777777" w:rsidTr="000959B0">
        <w:trPr>
          <w:cantSplit/>
          <w:tblHeader/>
        </w:trPr>
        <w:tc>
          <w:tcPr>
            <w:tcW w:w="1778" w:type="dxa"/>
            <w:shd w:val="clear" w:color="auto" w:fill="E6E6E6"/>
            <w:vAlign w:val="center"/>
          </w:tcPr>
          <w:p w14:paraId="672C6CBB" w14:textId="5E8EE45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2340" w:type="dxa"/>
            <w:shd w:val="clear" w:color="auto" w:fill="E6E6E6"/>
            <w:vAlign w:val="center"/>
          </w:tcPr>
          <w:p w14:paraId="2E5432DA" w14:textId="2ADAA5C3"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Contrast</w:t>
            </w:r>
          </w:p>
        </w:tc>
        <w:tc>
          <w:tcPr>
            <w:tcW w:w="2808" w:type="dxa"/>
            <w:shd w:val="clear" w:color="auto" w:fill="E6E6E6"/>
            <w:vAlign w:val="center"/>
          </w:tcPr>
          <w:p w14:paraId="6F2FA4C4" w14:textId="2116009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 xml:space="preserve">Delta </w:t>
            </w: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pp [95% CI]</w:t>
            </w:r>
          </w:p>
        </w:tc>
        <w:tc>
          <w:tcPr>
            <w:tcW w:w="842" w:type="dxa"/>
            <w:shd w:val="clear" w:color="auto" w:fill="E6E6E6"/>
            <w:vAlign w:val="center"/>
          </w:tcPr>
          <w:p w14:paraId="11D0EFAA" w14:textId="6422212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Raw p</w:t>
            </w:r>
          </w:p>
        </w:tc>
        <w:tc>
          <w:tcPr>
            <w:tcW w:w="842" w:type="dxa"/>
            <w:shd w:val="clear" w:color="auto" w:fill="E6E6E6"/>
            <w:vAlign w:val="center"/>
          </w:tcPr>
          <w:p w14:paraId="1786F4FF" w14:textId="0C5FF0FA"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Holm p</w:t>
            </w:r>
          </w:p>
        </w:tc>
        <w:tc>
          <w:tcPr>
            <w:tcW w:w="749" w:type="dxa"/>
            <w:shd w:val="clear" w:color="auto" w:fill="E6E6E6"/>
            <w:vAlign w:val="center"/>
          </w:tcPr>
          <w:p w14:paraId="2F71A2DE" w14:textId="57AC65AF"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Daily n</w:t>
            </w:r>
          </w:p>
        </w:tc>
      </w:tr>
      <w:tr w:rsidR="000959B0" w14:paraId="5BFD0267" w14:textId="77777777" w:rsidTr="000959B0">
        <w:trPr>
          <w:cantSplit/>
        </w:trPr>
        <w:tc>
          <w:tcPr>
            <w:tcW w:w="1778" w:type="dxa"/>
            <w:vAlign w:val="center"/>
          </w:tcPr>
          <w:p w14:paraId="56BC1E5B" w14:textId="0BC5D3A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09E57256" w14:textId="3F546D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2600896" w14:textId="2509FDE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-1.58 [-5.31, +2.11]</w:t>
            </w:r>
          </w:p>
        </w:tc>
        <w:tc>
          <w:tcPr>
            <w:tcW w:w="842" w:type="dxa"/>
            <w:vAlign w:val="center"/>
          </w:tcPr>
          <w:p w14:paraId="793636EF" w14:textId="0B5E7AD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0.404</w:t>
            </w:r>
          </w:p>
        </w:tc>
        <w:tc>
          <w:tcPr>
            <w:tcW w:w="842" w:type="dxa"/>
            <w:vAlign w:val="center"/>
          </w:tcPr>
          <w:p w14:paraId="2FE663DD" w14:textId="429B17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3491E4A3" w14:textId="52D3B1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4EE77BDA" w14:textId="77777777" w:rsidTr="000959B0">
        <w:trPr>
          <w:cantSplit/>
        </w:trPr>
        <w:tc>
          <w:tcPr>
            <w:tcW w:w="1778" w:type="dxa"/>
            <w:vAlign w:val="center"/>
          </w:tcPr>
          <w:p w14:paraId="1452044F" w14:textId="1E3FB5F4"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2340" w:type="dxa"/>
            <w:vAlign w:val="center"/>
          </w:tcPr>
          <w:p w14:paraId="297C0AD7" w14:textId="0D341F7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16B8A02B" w14:textId="23A8F40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-3.24 [-5.95, -0.47]</w:t>
            </w:r>
          </w:p>
        </w:tc>
        <w:tc>
          <w:tcPr>
            <w:tcW w:w="842" w:type="dxa"/>
            <w:vAlign w:val="center"/>
          </w:tcPr>
          <w:p w14:paraId="43E53EBA" w14:textId="23A750F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0.022</w:t>
            </w:r>
          </w:p>
        </w:tc>
        <w:tc>
          <w:tcPr>
            <w:tcW w:w="842" w:type="dxa"/>
            <w:vAlign w:val="center"/>
          </w:tcPr>
          <w:p w14:paraId="4CA44CBF" w14:textId="64D90C8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562119CC" w14:textId="75C3B01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80ECF92" w14:textId="77777777" w:rsidTr="000959B0">
        <w:trPr>
          <w:cantSplit/>
        </w:trPr>
        <w:tc>
          <w:tcPr>
            <w:tcW w:w="1778" w:type="dxa"/>
            <w:vAlign w:val="center"/>
          </w:tcPr>
          <w:p w14:paraId="218744BF" w14:textId="6F46B8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5D65121A" w14:textId="072E1EB3"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09744A90" w14:textId="0F5C5F9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 [-2.11, +1.99]</w:t>
            </w:r>
          </w:p>
        </w:tc>
        <w:tc>
          <w:tcPr>
            <w:tcW w:w="842" w:type="dxa"/>
            <w:vAlign w:val="center"/>
          </w:tcPr>
          <w:p w14:paraId="4D5D24FE" w14:textId="65CCF8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0.993</w:t>
            </w:r>
          </w:p>
        </w:tc>
        <w:tc>
          <w:tcPr>
            <w:tcW w:w="842" w:type="dxa"/>
            <w:vAlign w:val="center"/>
          </w:tcPr>
          <w:p w14:paraId="09610456" w14:textId="0370D5F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69F00579" w14:textId="1ACD3F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72EA3C7F" w14:textId="77777777" w:rsidTr="000959B0">
        <w:trPr>
          <w:cantSplit/>
        </w:trPr>
        <w:tc>
          <w:tcPr>
            <w:tcW w:w="1778" w:type="dxa"/>
            <w:vAlign w:val="center"/>
          </w:tcPr>
          <w:p w14:paraId="2B3DDAFF" w14:textId="4F00178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2340" w:type="dxa"/>
            <w:vAlign w:val="center"/>
          </w:tcPr>
          <w:p w14:paraId="7F0742FF" w14:textId="519430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4A23316" w14:textId="3D16564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-1.72 [-3.68, +0.05]</w:t>
            </w:r>
          </w:p>
        </w:tc>
        <w:tc>
          <w:tcPr>
            <w:tcW w:w="842" w:type="dxa"/>
            <w:vAlign w:val="center"/>
          </w:tcPr>
          <w:p w14:paraId="6D8EB5F8" w14:textId="1CF8B43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0.057</w:t>
            </w:r>
          </w:p>
        </w:tc>
        <w:tc>
          <w:tcPr>
            <w:tcW w:w="842" w:type="dxa"/>
            <w:vAlign w:val="center"/>
          </w:tcPr>
          <w:p w14:paraId="16E7E947" w14:textId="0C2674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0.171</w:t>
            </w:r>
          </w:p>
        </w:tc>
        <w:tc>
          <w:tcPr>
            <w:tcW w:w="749" w:type="dxa"/>
            <w:vAlign w:val="center"/>
          </w:tcPr>
          <w:p w14:paraId="59ECF7C6" w14:textId="3A4985E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0D374C0" w14:textId="77777777" w:rsidTr="000959B0">
        <w:trPr>
          <w:cantSplit/>
        </w:trPr>
        <w:tc>
          <w:tcPr>
            <w:tcW w:w="1778" w:type="dxa"/>
            <w:vAlign w:val="center"/>
          </w:tcPr>
          <w:p w14:paraId="1F1FBE9D" w14:textId="31A271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1FE044DC" w14:textId="3FF0626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79BE6BC2" w14:textId="03FCC23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 [-1.78, +1.39]</w:t>
            </w:r>
          </w:p>
        </w:tc>
        <w:tc>
          <w:tcPr>
            <w:tcW w:w="842" w:type="dxa"/>
            <w:vAlign w:val="center"/>
          </w:tcPr>
          <w:p w14:paraId="1938E864" w14:textId="12B4AB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0.839</w:t>
            </w:r>
          </w:p>
        </w:tc>
        <w:tc>
          <w:tcPr>
            <w:tcW w:w="842" w:type="dxa"/>
            <w:vAlign w:val="center"/>
          </w:tcPr>
          <w:p w14:paraId="373801FF" w14:textId="382EB04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1.000</w:t>
            </w:r>
          </w:p>
        </w:tc>
        <w:tc>
          <w:tcPr>
            <w:tcW w:w="749" w:type="dxa"/>
            <w:vAlign w:val="center"/>
          </w:tcPr>
          <w:p w14:paraId="7AB159EB" w14:textId="722E975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BE8BC87" w14:textId="77777777" w:rsidTr="000959B0">
        <w:trPr>
          <w:cantSplit/>
        </w:trPr>
        <w:tc>
          <w:tcPr>
            <w:tcW w:w="1778" w:type="dxa"/>
            <w:vAlign w:val="center"/>
          </w:tcPr>
          <w:p w14:paraId="4B329E46" w14:textId="00700FB7"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2340" w:type="dxa"/>
            <w:vAlign w:val="center"/>
          </w:tcPr>
          <w:p w14:paraId="6FEEC9EE" w14:textId="66179ABF"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36C5A759" w14:textId="3298853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+1.02 [-0.88, +3.08]</w:t>
            </w:r>
          </w:p>
        </w:tc>
        <w:tc>
          <w:tcPr>
            <w:tcW w:w="842" w:type="dxa"/>
            <w:vAlign w:val="center"/>
          </w:tcPr>
          <w:p w14:paraId="57B1CCC9" w14:textId="203BE05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0.308</w:t>
            </w:r>
          </w:p>
        </w:tc>
        <w:tc>
          <w:tcPr>
            <w:tcW w:w="842" w:type="dxa"/>
            <w:vAlign w:val="center"/>
          </w:tcPr>
          <w:p w14:paraId="5B0A117C" w14:textId="3419E3B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0.616</w:t>
            </w:r>
          </w:p>
        </w:tc>
        <w:tc>
          <w:tcPr>
            <w:tcW w:w="749" w:type="dxa"/>
            <w:vAlign w:val="center"/>
          </w:tcPr>
          <w:p w14:paraId="2C4DB36A" w14:textId="6040A35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3F537BFA" w14:textId="77777777" w:rsidTr="000959B0">
        <w:trPr>
          <w:cantSplit/>
        </w:trPr>
        <w:tc>
          <w:tcPr>
            <w:tcW w:w="1778" w:type="dxa"/>
            <w:vAlign w:val="center"/>
          </w:tcPr>
          <w:p w14:paraId="6A956AC5" w14:textId="2AC80B1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012DFEB5" w14:textId="575F39B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5C9111E3" w14:textId="7B35133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-1.89 [-4.75, +0.84]</w:t>
            </w:r>
          </w:p>
        </w:tc>
        <w:tc>
          <w:tcPr>
            <w:tcW w:w="842" w:type="dxa"/>
            <w:vAlign w:val="center"/>
          </w:tcPr>
          <w:p w14:paraId="44680AC8" w14:textId="3E2E1B1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0.175</w:t>
            </w:r>
          </w:p>
        </w:tc>
        <w:tc>
          <w:tcPr>
            <w:tcW w:w="842" w:type="dxa"/>
            <w:vAlign w:val="center"/>
          </w:tcPr>
          <w:p w14:paraId="66726D60" w14:textId="09D2F8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0.701</w:t>
            </w:r>
          </w:p>
        </w:tc>
        <w:tc>
          <w:tcPr>
            <w:tcW w:w="749" w:type="dxa"/>
            <w:vAlign w:val="center"/>
          </w:tcPr>
          <w:p w14:paraId="4EDAEA18" w14:textId="7DA6A00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56F9FB5" w14:textId="77777777" w:rsidTr="000959B0">
        <w:trPr>
          <w:cantSplit/>
        </w:trPr>
        <w:tc>
          <w:tcPr>
            <w:tcW w:w="1778" w:type="dxa"/>
            <w:vAlign w:val="center"/>
          </w:tcPr>
          <w:p w14:paraId="00C7F6D2" w14:textId="7C562D7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2340" w:type="dxa"/>
            <w:vAlign w:val="center"/>
          </w:tcPr>
          <w:p w14:paraId="12549754" w14:textId="111C2B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523E3E78" w14:textId="00CAB4B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+0.13 [-1.37, +1.56]</w:t>
            </w:r>
          </w:p>
        </w:tc>
        <w:tc>
          <w:tcPr>
            <w:tcW w:w="842" w:type="dxa"/>
            <w:vAlign w:val="center"/>
          </w:tcPr>
          <w:p w14:paraId="38EF557A" w14:textId="7B82BF1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842" w:type="dxa"/>
            <w:vAlign w:val="center"/>
          </w:tcPr>
          <w:p w14:paraId="50AEFD3D" w14:textId="61EAD36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0.853</w:t>
            </w:r>
          </w:p>
        </w:tc>
        <w:tc>
          <w:tcPr>
            <w:tcW w:w="749" w:type="dxa"/>
            <w:vAlign w:val="center"/>
          </w:tcPr>
          <w:p w14:paraId="6435F7C8" w14:textId="08BD761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0F221E24" w14:textId="77777777" w:rsidTr="000959B0">
        <w:trPr>
          <w:cantSplit/>
        </w:trPr>
        <w:tc>
          <w:tcPr>
            <w:tcW w:w="1778" w:type="dxa"/>
            <w:vAlign w:val="center"/>
          </w:tcPr>
          <w:p w14:paraId="264E9362" w14:textId="6767BEA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2F78EC05" w14:textId="120AAB6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Market-Only</w:t>
            </w:r>
          </w:p>
        </w:tc>
        <w:tc>
          <w:tcPr>
            <w:tcW w:w="2808" w:type="dxa"/>
            <w:vAlign w:val="center"/>
          </w:tcPr>
          <w:p w14:paraId="4D03585A" w14:textId="3E5F070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-1.22 [-2.80, +0.22]</w:t>
            </w:r>
          </w:p>
        </w:tc>
        <w:tc>
          <w:tcPr>
            <w:tcW w:w="842" w:type="dxa"/>
            <w:vAlign w:val="center"/>
          </w:tcPr>
          <w:p w14:paraId="14615B0D" w14:textId="5E9D8B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0.096</w:t>
            </w:r>
          </w:p>
        </w:tc>
        <w:tc>
          <w:tcPr>
            <w:tcW w:w="842" w:type="dxa"/>
            <w:vAlign w:val="center"/>
          </w:tcPr>
          <w:p w14:paraId="75EEB9D7" w14:textId="5D01A10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0.481</w:t>
            </w:r>
          </w:p>
        </w:tc>
        <w:tc>
          <w:tcPr>
            <w:tcW w:w="749" w:type="dxa"/>
            <w:vAlign w:val="center"/>
          </w:tcPr>
          <w:p w14:paraId="625C6F2E" w14:textId="228AB28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r w:rsidR="000959B0" w14:paraId="273605F2" w14:textId="77777777" w:rsidTr="000959B0">
        <w:trPr>
          <w:cantSplit/>
        </w:trPr>
        <w:tc>
          <w:tcPr>
            <w:tcW w:w="1778" w:type="dxa"/>
            <w:vAlign w:val="center"/>
          </w:tcPr>
          <w:p w14:paraId="2AEB0A2B" w14:textId="3DF0A9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2340" w:type="dxa"/>
            <w:vAlign w:val="center"/>
          </w:tcPr>
          <w:p w14:paraId="15F1EB37" w14:textId="54A2C0D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Observed News - Shuffled News</w:t>
            </w:r>
          </w:p>
        </w:tc>
        <w:tc>
          <w:tcPr>
            <w:tcW w:w="2808" w:type="dxa"/>
            <w:vAlign w:val="center"/>
          </w:tcPr>
          <w:p w14:paraId="7CD95D6A" w14:textId="02CD5DF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-1.78 [-3.42, -0.27]</w:t>
            </w:r>
          </w:p>
        </w:tc>
        <w:tc>
          <w:tcPr>
            <w:tcW w:w="842" w:type="dxa"/>
            <w:vAlign w:val="center"/>
          </w:tcPr>
          <w:p w14:paraId="39E1B3CE" w14:textId="1B9B70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0.020</w:t>
            </w:r>
          </w:p>
        </w:tc>
        <w:tc>
          <w:tcPr>
            <w:tcW w:w="842" w:type="dxa"/>
            <w:vAlign w:val="center"/>
          </w:tcPr>
          <w:p w14:paraId="22BBA8E6" w14:textId="3546238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0.098</w:t>
            </w:r>
          </w:p>
        </w:tc>
        <w:tc>
          <w:tcPr>
            <w:tcW w:w="749" w:type="dxa"/>
            <w:vAlign w:val="center"/>
          </w:tcPr>
          <w:p w14:paraId="144B48D6" w14:textId="5ECE07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960</w:t>
            </w:r>
          </w:p>
        </w:tc>
      </w:tr>
    </w:tbl>
    <w:p w14:paraId="1FAC1C8D" w14:textId="0137B99A" w:rsidR="0038564F" w:rsidRPr="000829A5" w:rsidRDefault="0038564F"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Each contrast uses 960 paired eligible daily directional rows. The moving-block analysis is a serial-dependence sensitivity; registered fold-level exact tests govern the primary historical inference.</w:t>
      </w:r>
    </w:p>
    <w:p w14:paraId="3BD274ED" w14:textId="1F346865" w:rsidR="00A76394" w:rsidRDefault="0038564F"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negative-control result should not be interpreted as proof that news has no financial information. It shows that this dated, aggregated, out-of-sample sentiment representation did not provide a robust conditional increment beyond the numerical pipeline. The 2024–2025 official headlines were also much shorter than the labelled headline proxies (approximately 65 versus 260 characters on average) and sentiment confidence fell from 0.756 in 2023 to about 0.495, documenting a material source shift</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{"citationID":"2fcaa61c44","properties":{"unsorted":false,"formattedCitation":"(Luo et al., 2023; Sawhney et al., 2020; H. Wang et al., 2020)","plainCitation":"(Luo et al., 2023; Sawhney et al., 2020; H. Wang et al., 2020)","noteIndex":0},"citationItems":[{"id":11,"uris":["http://zotero.org/users/local/DPQnJvcs/items/D2QUG5UZ"],"itemData":{"id":11,"type":"paper-conference","container-title":"Proceedings of the 61st Annual Meeting of the Association for Computational Linguistics (Volume 1: Long Papers)","DOI":"10.18653/v1/2023.acl-long.679","page":"12164–12176","publisher":"Association for Computational Linguistics","title":"Causality-Guided Multi-Memory Interaction Network for Multivariate Stock Price Movement Prediction","author":[{"family":"Luo","given":"Di"},{"family":"Liao","given":"Weiheng"},{"family":"Li","given":"Shuqi"},{"family":"Cheng","given":"Xin"},{"family":"Yan","given":"Rui"}],"issued":{"date-parts":[["2023"]]}}},{"id":10,"uris":["http://zotero.org/users/local/DPQnJvcs/items/RUSPTZJ5"],"itemData":{"id":10,"type":"paper-conference","container-title":"Proceedings of the 2020 Conference on Empirical Methods in Natural Language Processing","DOI":"10.18653/v1/2020.emnlp-main.676","page":"8415–8426","publisher":"Association for Computational Linguistics","title":"Deep Attentive Learning for Stock Movement Prediction From Social Media Text and Company Correlations","author":[{"family":"Sawhney","given":"Ramit"},{"family":"Agarwal","given":"Shivam"},{"family":"Wadhwa","given":"Arnav"},{"family":"Shah","given":"Rajiv Ratn"}],"issued":{"date-parts":[["2020"]]}}},{"id":9,"uris":["http://zotero.org/users/local/DPQnJvcs/items/WNCCDXYI"],"itemData":{"id":9,"type":"paper-conference","container-title":"Proceedings of the AAAI Conference on Artificial Intelligence","DOI":"10.1609/aaai.v34i01.5445","issue":"1","page":"971–978","title":"Incorporating Expert-Based Investment Opinion Signals in Stock Prediction: A Deep Learning Framework","volume":"34","author":[{"family":"Wang","given":"Heyuan"},{"family":"Wang","given":"Tengjiao"},{"family":"Li","given":"Yi"}],"issued":{"date-parts":[["2020"]]}}}],"schema":"https://github.com/citation-style-language/schema/raw/master/csl-citation.json"}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(Luo et al., 2023; Sawhney et al., 2020; H. Wang et al., 2020)</w:t>
      </w:r>
      <w:r w:rsidR="00A84458">
        <w:rPr>
          <w:rFonts w:ascii="Times New Roman" w:hAnsi="Times New Roman" w:cs="Times New Roman"/>
          <w:sz w:val="24"/>
          <w:szCs w:val="24"/>
        </w:rPr>
        <w:fldChar w:fldCharType="end"/>
      </w:r>
    </w:p>
    <w:p w14:paraId="732C9553" w14:textId="6A53298C"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These findings contrast with multimodal systems that report gains from richer news representations. Sentiment-attention models learn time-varying fusion from large news collections, while interaction-based models explicitly connect news items and report delayed pricing, long-memory effects and limitations of sentiment alone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{"citationID":"6a297d0e","properties":{"unsorted":false,"formattedCitation":"(W.-J. Liu et al., 2024; M. Wang et al., 2024)","plainCitation":"(W.-J. Liu et al., 2024; M. Wang et al., 2024)","noteIndex":0},"citationItems":[{"id":38,"uris":["http://zotero.org/users/local/DPQnJvcs/items/VIIIS229"],"itemData":{"id":38,"type":"article-journal","container-title":"Expert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(W.-J. Liu et al., 2024; M. Wang et al., 2024)</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present daily scalar aggregation deliberately omits article-to-article interaction and compresses timing, entity specificity and narrative context. That compression, together with the shorter 2024-2025 headlines and lower sentiment confidence, provides a plausible mechanism for the negative incremental effects. The </w:t>
      </w:r>
      <w:proofErr w:type="gramStart"/>
      <w:r w:rsidRPr="0034462D">
        <w:rPr>
          <w:rFonts w:ascii="Times New Roman" w:hAnsi="Times New Roman" w:cs="Times New Roman"/>
          <w:bCs/>
          <w:color w:val="000000"/>
          <w:sz w:val="24"/>
          <w:szCs w:val="24"/>
        </w:rPr>
        <w:t>shuffled-news</w:t>
      </w:r>
      <w:proofErr w:type="gramEnd"/>
      <w:r w:rsidRPr="0034462D">
        <w:rPr>
          <w:rFonts w:ascii="Times New Roman" w:hAnsi="Times New Roman" w:cs="Times New Roman"/>
          <w:bCs/>
          <w:color w:val="000000"/>
          <w:sz w:val="24"/>
          <w:szCs w:val="24"/>
        </w:rPr>
        <w:t xml:space="preserve"> comparison is especially informative: if dated semantic information were driving the forecast, breaking its temporal alignment should materially reduce performance. Because that did not occur after adjustment, the news channel more likely acted as a weak proxy or noisy </w:t>
      </w:r>
      <w:proofErr w:type="spellStart"/>
      <w:r w:rsidRPr="0034462D">
        <w:rPr>
          <w:rFonts w:ascii="Times New Roman" w:hAnsi="Times New Roman" w:cs="Times New Roman"/>
          <w:bCs/>
          <w:color w:val="000000"/>
          <w:sz w:val="24"/>
          <w:szCs w:val="24"/>
        </w:rPr>
        <w:t>regularizer</w:t>
      </w:r>
      <w:proofErr w:type="spellEnd"/>
      <w:r w:rsidRPr="0034462D">
        <w:rPr>
          <w:rFonts w:ascii="Times New Roman" w:hAnsi="Times New Roman" w:cs="Times New Roman"/>
          <w:bCs/>
          <w:color w:val="000000"/>
          <w:sz w:val="24"/>
          <w:szCs w:val="24"/>
        </w:rPr>
        <w:t xml:space="preserve"> than as stable dated information. This does not show that financial news is uninformative; it narrows the claim to this out-of-sample daily representation under a fixed compute budget.</w:t>
      </w:r>
    </w:p>
    <w:p w14:paraId="7D6744B3" w14:textId="6FD1B3D4" w:rsidR="0038564F" w:rsidRDefault="00880654"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4.3 LLM Sentiment</w:t>
      </w:r>
    </w:p>
    <w:p w14:paraId="664D19AE" w14:textId="1F109E6E" w:rsidR="004377D0" w:rsidRDefault="004B185E"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The local sentiment classifier achieved out-of-sample accuracies of 81.24%, 81.55%, 83.43%, 79.85% and 82.82% for 2019–2023, respectively; 2023 Macro-F1 was 78.44%. The 2023 relevance classifier achieved 88.85% accuracy and 85.91% Macro-F1</w:t>
      </w:r>
      <w:r>
        <w:rPr>
          <w:rFonts w:ascii="Times New Roman" w:hAnsi="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{"citationID":"d38fd17ae6","properties":{"unsorted":false,"formattedCitation":"(Uthayopas et al., 2025)","plainCitation":"(Uthayopas et al., 2025)","noteIndex":0},"citationItems":[{"id":12,"uris":["http://zotero.org/users/local/DPQnJvcs/items/L6WAUSSY"],"itemData":{"id":12,"type":"document","note":"Published: Bilingual StockTBSA dataset and repository","title":"Thai-English Target-Based Stock Sentiment Dataset for Financial News with ICL-Based Evaluation","URL":"https://huggingface.co/datasets/airesearch/Bilingual_StockTBSA","author":[{"family":"Uthayopas","given":"Chayapat"},{"family":"Mai-On","given":"Chalermpun"},{"family":"Phatthiyaphaibun","given":"Wannaphong"},{"family":"Buaphet","given":"Weerayut"},{"family":"Sawatphol","given":"Jitkapat"},{"family":"Sae Lim","given":"Sitiporn"},{"family":"Vongkulbhisal","given":"Jayakorn"},{"family":"Vorawathanabuncha","given":"Jasarin"},{"family":"Nutanong","given":"Sarana"},{"family":"Udomcharoenchaikit","given":"Can"}],"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(Uthayopas et al., 2025)</w:t>
      </w:r>
      <w:r w:rsidR="00A84458">
        <w:rPr>
          <w:rFonts w:ascii="Times New Roman" w:hAnsi="Times New Roman" w:cs="Times New Roman"/>
          <w:sz w:val="24"/>
          <w:szCs w:val="24"/>
        </w:rPr>
        <w:fldChar w:fldCharType="end"/>
      </w:r>
    </w:p>
    <w:p w14:paraId="1D019AD2" w14:textId="2E3A2AFF" w:rsidR="00B72DF8" w:rsidRDefault="00B72DF8" w:rsidP="009960B6">
      <w:pPr>
        <w:spacing w:line="360" w:lineRule="auto"/>
        <w:jc w:val="both"/>
        <w:rPr>
          <w:rFonts w:ascii="Times New Roman" w:hAnsi="Times New Roman"/>
          <w:b/>
          <w:bCs/>
          <w:sz w:val="24"/>
          <w:szCs w:val="24"/>
        </w:rPr>
      </w:pPr>
      <w:r w:rsidRPr="000829A5">
        <w:rPr>
          <w:rFonts w:ascii="Times New Roman" w:hAnsi="Times New Roman" w:cs="Times New Roman"/>
          <w:sz w:val="24"/>
          <w:szCs w:val="24"/>
        </w:rPr>
        <w:t>On the locked 2023 intrinsic cohort, a one-call LLM scored 69.84% accuracy, the three-pass self-consistency control 70.67%, the four-pass control 70.59% and the Bull/Bear/Leader system 76.59%. Table 3B shows that the Leader retained an advantage of 5.93–6.00 points under equal-call and near-cost controls. Both article-cluster intervals excluded zero and both comparisons remained significant after Holm adjustment.</w:t>
      </w:r>
    </w:p>
    <w:p w14:paraId="113DFC3E"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3B.</w:t>
      </w:r>
      <w:r>
        <w:rPr>
          <w:rFonts w:ascii="Times New Roman" w:hAnsi="Times New Roman" w:cs="Times New Roman"/>
          <w:sz w:val="20"/>
          <w:szCs w:val="20"/>
        </w:rPr>
        <w:t xml:space="preserve"> Locked 2023 intrinsic sentiment benchmark for single-pass, compute-matched self-consistency and Bull/Bear/Leader systems. Accuracy is the primary endpoint; uncertainty is clustered by article and the two Leader contrasts are Holm-adjusted.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749"/>
        <w:gridCol w:w="842"/>
        <w:gridCol w:w="1217"/>
        <w:gridCol w:w="1217"/>
        <w:gridCol w:w="2340"/>
        <w:gridCol w:w="842"/>
      </w:tblGrid>
      <w:tr w:rsidR="000959B0" w14:paraId="0A167667" w14:textId="77777777" w:rsidTr="000959B0">
        <w:trPr>
          <w:cantSplit/>
          <w:tblHeader/>
        </w:trPr>
        <w:tc>
          <w:tcPr>
            <w:tcW w:w="2153" w:type="dxa"/>
            <w:shd w:val="clear" w:color="auto" w:fill="E6E6E6"/>
            <w:vAlign w:val="center"/>
          </w:tcPr>
          <w:p w14:paraId="571DCD12" w14:textId="70E885DA"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Comparison</w:t>
            </w:r>
          </w:p>
        </w:tc>
        <w:tc>
          <w:tcPr>
            <w:tcW w:w="749" w:type="dxa"/>
            <w:shd w:val="clear" w:color="auto" w:fill="E6E6E6"/>
            <w:vAlign w:val="center"/>
          </w:tcPr>
          <w:p w14:paraId="2D5110FE" w14:textId="2363FBC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Pairs</w:t>
            </w:r>
          </w:p>
        </w:tc>
        <w:tc>
          <w:tcPr>
            <w:tcW w:w="842" w:type="dxa"/>
            <w:shd w:val="clear" w:color="auto" w:fill="E6E6E6"/>
            <w:vAlign w:val="center"/>
          </w:tcPr>
          <w:p w14:paraId="1A05B7DE" w14:textId="4DBFA7D6"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Articles</w:t>
            </w:r>
          </w:p>
        </w:tc>
        <w:tc>
          <w:tcPr>
            <w:tcW w:w="1217" w:type="dxa"/>
            <w:shd w:val="clear" w:color="auto" w:fill="E6E6E6"/>
            <w:vAlign w:val="center"/>
          </w:tcPr>
          <w:p w14:paraId="686B8016" w14:textId="4C9697B4"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Control accuracy (%)</w:t>
            </w:r>
          </w:p>
        </w:tc>
        <w:tc>
          <w:tcPr>
            <w:tcW w:w="1217" w:type="dxa"/>
            <w:shd w:val="clear" w:color="auto" w:fill="E6E6E6"/>
            <w:vAlign w:val="center"/>
          </w:tcPr>
          <w:p w14:paraId="7F1DADEC" w14:textId="4846C1DC"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Leader accuracy (%)</w:t>
            </w:r>
          </w:p>
        </w:tc>
        <w:tc>
          <w:tcPr>
            <w:tcW w:w="2340" w:type="dxa"/>
            <w:shd w:val="clear" w:color="auto" w:fill="E6E6E6"/>
            <w:vAlign w:val="center"/>
          </w:tcPr>
          <w:p w14:paraId="30A62016" w14:textId="5D87FD38"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Delta pp [95% CI]</w:t>
            </w:r>
          </w:p>
        </w:tc>
        <w:tc>
          <w:tcPr>
            <w:tcW w:w="842" w:type="dxa"/>
            <w:shd w:val="clear" w:color="auto" w:fill="E6E6E6"/>
            <w:vAlign w:val="center"/>
          </w:tcPr>
          <w:p w14:paraId="7029AE73" w14:textId="450A478D" w:rsidR="000959B0" w:rsidRPr="000959B0" w:rsidRDefault="000959B0" w:rsidP="000959B0">
            <w:pPr>
              <w:spacing w:after="0" w:line="240" w:lineRule="auto"/>
              <w:jc w:val="center"/>
              <w:rPr>
                <w:rFonts w:ascii="Times New Roman" w:hAnsi="Times New Roman" w:cs="Times New Roman"/>
                <w:b/>
                <w:iCs/>
                <w:sz w:val="14"/>
                <w:szCs w:val="24"/>
              </w:rPr>
            </w:pPr>
            <w:r w:rsidRPr="000959B0">
              <w:rPr>
                <w:rFonts w:ascii="Times New Roman" w:hAnsi="Times New Roman" w:cs="Times New Roman"/>
                <w:b/>
                <w:iCs/>
                <w:sz w:val="14"/>
                <w:szCs w:val="24"/>
              </w:rPr>
              <w:t>Holm p</w:t>
            </w:r>
          </w:p>
        </w:tc>
      </w:tr>
      <w:tr w:rsidR="000959B0" w14:paraId="6F1F8B32" w14:textId="77777777" w:rsidTr="000959B0">
        <w:trPr>
          <w:cantSplit/>
        </w:trPr>
        <w:tc>
          <w:tcPr>
            <w:tcW w:w="2153" w:type="dxa"/>
            <w:vAlign w:val="center"/>
          </w:tcPr>
          <w:p w14:paraId="1AC91461" w14:textId="3667CFE1"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SC3 (equal calls)</w:t>
            </w:r>
          </w:p>
        </w:tc>
        <w:tc>
          <w:tcPr>
            <w:tcW w:w="749" w:type="dxa"/>
            <w:vAlign w:val="center"/>
          </w:tcPr>
          <w:p w14:paraId="2F1F813D" w14:textId="479EB48B"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66ADDD3F" w14:textId="2E810F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370D9CCB" w14:textId="282DA47A"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70.67</w:t>
            </w:r>
          </w:p>
        </w:tc>
        <w:tc>
          <w:tcPr>
            <w:tcW w:w="1217" w:type="dxa"/>
            <w:vAlign w:val="center"/>
          </w:tcPr>
          <w:p w14:paraId="2044E899" w14:textId="7A0BA71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9BE8B0" w14:textId="2C164E9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+5.93 [+3.49, +8.49]</w:t>
            </w:r>
          </w:p>
        </w:tc>
        <w:tc>
          <w:tcPr>
            <w:tcW w:w="842" w:type="dxa"/>
            <w:vAlign w:val="center"/>
          </w:tcPr>
          <w:p w14:paraId="0E3A56C5" w14:textId="6ED0B41D"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r w:rsidR="000959B0" w14:paraId="29CB221D" w14:textId="77777777" w:rsidTr="000959B0">
        <w:trPr>
          <w:cantSplit/>
        </w:trPr>
        <w:tc>
          <w:tcPr>
            <w:tcW w:w="2153" w:type="dxa"/>
            <w:vAlign w:val="center"/>
          </w:tcPr>
          <w:p w14:paraId="282BEFE2" w14:textId="579AB984" w:rsidR="000959B0" w:rsidRPr="000959B0" w:rsidRDefault="000959B0" w:rsidP="000959B0">
            <w:pPr>
              <w:spacing w:after="0" w:line="240" w:lineRule="auto"/>
              <w:rPr>
                <w:rFonts w:ascii="Times New Roman" w:hAnsi="Times New Roman" w:cs="Times New Roman"/>
                <w:iCs/>
                <w:sz w:val="14"/>
                <w:szCs w:val="24"/>
              </w:rPr>
            </w:pPr>
            <w:r w:rsidRPr="000959B0">
              <w:rPr>
                <w:rFonts w:ascii="Times New Roman" w:hAnsi="Times New Roman" w:cs="Times New Roman"/>
                <w:iCs/>
                <w:sz w:val="14"/>
                <w:szCs w:val="24"/>
              </w:rPr>
              <w:t>Leader - SC4 (near cost)</w:t>
            </w:r>
          </w:p>
        </w:tc>
        <w:tc>
          <w:tcPr>
            <w:tcW w:w="749" w:type="dxa"/>
            <w:vAlign w:val="center"/>
          </w:tcPr>
          <w:p w14:paraId="389E682D" w14:textId="65CBD5E4"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1333</w:t>
            </w:r>
          </w:p>
        </w:tc>
        <w:tc>
          <w:tcPr>
            <w:tcW w:w="842" w:type="dxa"/>
            <w:vAlign w:val="center"/>
          </w:tcPr>
          <w:p w14:paraId="300F4D3B" w14:textId="57D97CF8"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738</w:t>
            </w:r>
          </w:p>
        </w:tc>
        <w:tc>
          <w:tcPr>
            <w:tcW w:w="1217" w:type="dxa"/>
            <w:vAlign w:val="center"/>
          </w:tcPr>
          <w:p w14:paraId="5612A3D4" w14:textId="4D9C1A9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70.59</w:t>
            </w:r>
          </w:p>
        </w:tc>
        <w:tc>
          <w:tcPr>
            <w:tcW w:w="1217" w:type="dxa"/>
            <w:vAlign w:val="center"/>
          </w:tcPr>
          <w:p w14:paraId="2423DC3A" w14:textId="78B44321"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76.59</w:t>
            </w:r>
          </w:p>
        </w:tc>
        <w:tc>
          <w:tcPr>
            <w:tcW w:w="2340" w:type="dxa"/>
            <w:vAlign w:val="center"/>
          </w:tcPr>
          <w:p w14:paraId="0EC4593E" w14:textId="36803F00"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+6.00 [+3.61, +8.48]</w:t>
            </w:r>
          </w:p>
        </w:tc>
        <w:tc>
          <w:tcPr>
            <w:tcW w:w="842" w:type="dxa"/>
            <w:vAlign w:val="center"/>
          </w:tcPr>
          <w:p w14:paraId="1DA04D88" w14:textId="70FDC022" w:rsidR="000959B0" w:rsidRPr="000959B0" w:rsidRDefault="000959B0" w:rsidP="000959B0">
            <w:pPr>
              <w:spacing w:after="0" w:line="240" w:lineRule="auto"/>
              <w:jc w:val="center"/>
              <w:rPr>
                <w:rFonts w:ascii="Times New Roman" w:hAnsi="Times New Roman" w:cs="Times New Roman"/>
                <w:iCs/>
                <w:sz w:val="14"/>
                <w:szCs w:val="24"/>
              </w:rPr>
            </w:pPr>
            <w:r w:rsidRPr="000959B0">
              <w:rPr>
                <w:rFonts w:ascii="Times New Roman" w:hAnsi="Times New Roman" w:cs="Times New Roman"/>
                <w:iCs/>
                <w:sz w:val="14"/>
                <w:szCs w:val="24"/>
              </w:rPr>
              <w:t>&lt;0.001</w:t>
            </w:r>
          </w:p>
        </w:tc>
      </w:tr>
    </w:tbl>
    <w:p w14:paraId="1EADCA96" w14:textId="00FD6D80" w:rsidR="00B72DF8" w:rsidRDefault="00880654" w:rsidP="009960B6">
      <w:pPr>
        <w:pStyle w:val="Caption"/>
        <w:spacing w:before="40" w:line="240" w:lineRule="auto" w:after="120"/>
        <w:rPr>
          <w:rFonts w:ascii="Times New Roman" w:hAnsi="Times New Roman" w:cs="Times New Roman"/>
          <w:b/>
          <w:bCs/>
          <w:sz w:val="24"/>
          <w:szCs w:val="24"/>
        </w:rPr>
      </w:pPr>
      <w:r>
        <w:rPr>
          <w:rFonts w:ascii="Times New Roman" w:hAnsi="Times New Roman" w:cs="Times New Roman"/>
          <w:sz w:val="20"/>
          <w:szCs w:val="20"/>
          <w:i/>
          <w:iCs/>
        </w:rPr>
        <w:t>Note:</w:t>
      </w:r>
      <w:r>
        <w:rPr>
          <w:rFonts w:ascii="Times New Roman" w:hAnsi="Times New Roman" w:cs="Times New Roman"/>
          <w:sz w:val="20"/>
          <w:szCs w:val="20"/>
        </w:rPr>
        <w:t xml:space="preserve"> Table 3B reports intrinsic sentiment performance on the locked 2023 cohort. These results must not be interpreted as evidence of downstream SET50 forecasting value.</w:t>
      </w:r>
    </w:p>
    <w:p w14:paraId="7999A36F" w14:textId="68572616"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Leader advantage is consistent with multi-agent debate studies in which divergent arguments improve reasoning relative to a single trajectory, while self-consistency improves performance by sampling and aggregating multiple reasoning paths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{"citationID":"806f457f","properties":{"unsorted":false,"formattedCitation":"(Du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id":16,"uris":["http://zotero.org/users/local/DPQnJvcs/items/MGSIQEJ4"],"itemData":{"id":16,"type":"paper-conference","container-title":"The Eleventh International Conference on Learning Representations","title":"Self-Consistency Improves Chain of Thought Reasoning in Language Models","URL":"https://openreview.net/forum?id=1PL1NIMMrw","author":[{"family":"Wang","given":"Xuezhi"},{"family":"Wei","given":"Jason"},{"family":"Schuurmans","given":"Dale"},{"family":"Le","given":"Quoc V."},{"family":"Chi","given":"Ed H."},{"family":"Narang","given":"Sharan"},{"family":"Chowdhery","given":"Aakanksha"},{"family":"Zhou","given":"Denny"}],"issued":{"date-parts":[["2023"]]}}},{"id":39,"uris":["http://zotero.org/users/local/DPQnJvcs/items/5X3GYKMQ"],"itemData":{"id":39,"type":"paper-conference","container-title":"Findings of the Association for Computational Linguistics: EMNLP 2025","DOI":"10.18653/v1/2025.findings-emnlp.972","page":"17889–17907","publisher":"Association for Computational Linguistics","title":"Large Language Model Agents in Finance: A Survey Bridging Research, Practice, and Real-World Deployment","URL":"https://aclanthology.org/2025.findings-emnlp.972/","author":[{"family":"Dong","given":"Yifei"},{"family":"Wu","given":"Fengyi"},{"family":"Zhang","given":"Kunlin"},{"family":"Dai","given":"Yilong"},{"family":"Zhang","given":"Sanjian"},{"family":"Ye","given":"Wanghao"},{"family":"Chen","given":"Sihan"},{"family":"Cheng","given":"Zhi-Qi"}],"issued":{"date-parts":[["2025"]]}}}],"schema":"https://github.com/citation-style-language/schema/raw/master/csl-citation.json"} </w:instrText>
      </w:r>
      <w:r>
        <w:rPr>
          <w:rFonts w:ascii="Times New Roman" w:eastAsia="Times New Roman" w:hAnsi="Times New Roman"/>
          <w:b/>
          <w:sz w:val="24"/>
          <w:szCs w:val="24"/>
          <w:cs/>
        </w:rPr>
        <w:fldChar w:fldCharType="separate"/>
      </w:r>
      <w:r w:rsidRPr="0034462D">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34462D">
        <w:rPr>
          <w:rFonts w:ascii="Times New Roman" w:hAnsi="Times New Roman" w:cs="Times New Roman"/>
          <w:bCs/>
          <w:color w:val="000000"/>
          <w:sz w:val="24"/>
          <w:szCs w:val="24"/>
        </w:rPr>
        <w:t xml:space="preserve"> The equal-call and near-cost controls matter because they separate role diversity from the simpler benefit of spending more </w:t>
      </w:r>
      <w:r w:rsidR="0011168E">
        <w:rPr>
          <w:rFonts w:ascii="Times New Roman" w:hAnsi="Times New Roman" w:cs="Times New Roman"/>
          <w:bCs/>
          <w:color w:val="000000"/>
          <w:sz w:val="24"/>
          <w:szCs w:val="24"/>
        </w:rPr>
        <w:t>inference calls. Recent finance-agent</w:t>
      </w:r>
      <w:r w:rsidRPr="0034462D">
        <w:rPr>
          <w:rFonts w:ascii="Times New Roman" w:hAnsi="Times New Roman" w:cs="Times New Roman"/>
          <w:bCs/>
          <w:color w:val="000000"/>
          <w:sz w:val="24"/>
          <w:szCs w:val="24"/>
        </w:rPr>
        <w:t xml:space="preserve"> reviews similarly identify prompt sensitivity and limited real-time adaptability as barriers to deployment, so the intrinsic gain remains distinct from downstream market value.</w:t>
      </w:r>
    </w:p>
    <w:p w14:paraId="12647C94" w14:textId="6378713B" w:rsidR="00743CA6" w:rsidRPr="00D97087" w:rsidRDefault="00743CA6"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4.4 Regime-SHAP</w:t>
      </w:r>
    </w:p>
    <w:p w14:paraId="52553C49" w14:textId="77777777" w:rsidR="004A3C24" w:rsidRPr="004A3C24" w:rsidRDefault="004A3C24" w:rsidP="009960B6">
      <w:pPr>
        <w:spacing w:line="360" w:lineRule="auto"/>
        <w:jc w:val="both"/>
        <w:rPr>
          <w:rFonts w:ascii="Times New Roman" w:hAnsi="Times New Roman" w:cs="Times New Roman"/>
          <w:bCs/>
          <w:sz w:val="24"/>
          <w:szCs w:val="24"/>
        </w:rPr>
      </w:pPr>
      <w:r w:rsidRPr="004A3C24">
        <w:rPr>
          <w:rFonts w:ascii="Times New Roman" w:hAnsi="Times New Roman" w:cs="Times New Roman"/>
          <w:bCs/>
          <w:sz w:val="24"/>
          <w:szCs w:val="24"/>
        </w:rPr>
        <w:t>The primary Regime-SHAP minus Regime-All contrast is reported in Table 4.</w:t>
      </w:r>
    </w:p>
    <w:p w14:paraId="4F9D1F7C"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4.</w:t>
      </w:r>
      <w:r>
        <w:rPr>
          <w:rFonts w:ascii="Times New Roman" w:hAnsi="Times New Roman" w:cs="Times New Roman"/>
          <w:sz w:val="20"/>
          <w:szCs w:val="20"/>
        </w:rPr>
        <w:t xml:space="preserve"> Primary regime-specific SHAP reduction contrast by architecture. The contrast is Regime-SHAP minus Regime-All after seeds are averaged within each outer year; SHAP values are fitted-model attributions rather than causal effects.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434"/>
        <w:gridCol w:w="1685"/>
        <w:gridCol w:w="2621"/>
        <w:gridCol w:w="1310"/>
        <w:gridCol w:w="1310"/>
      </w:tblGrid>
      <w:tr w:rsidR="000959B0" w14:paraId="26AE4F02" w14:textId="77777777" w:rsidTr="000959B0">
        <w:trPr>
          <w:cantSplit/>
          <w:tblHeader/>
        </w:trPr>
        <w:tc>
          <w:tcPr>
            <w:tcW w:w="2434" w:type="dxa"/>
            <w:shd w:val="clear" w:color="auto" w:fill="E6E6E6"/>
            <w:vAlign w:val="center"/>
          </w:tcPr>
          <w:p w14:paraId="01081E21" w14:textId="3F5660E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Architecture</w:t>
            </w:r>
          </w:p>
        </w:tc>
        <w:tc>
          <w:tcPr>
            <w:tcW w:w="1685" w:type="dxa"/>
            <w:shd w:val="clear" w:color="auto" w:fill="E6E6E6"/>
            <w:vAlign w:val="center"/>
          </w:tcPr>
          <w:p w14:paraId="2F78852C" w14:textId="6FCFBF93"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 xml:space="preserve">Delta </w:t>
            </w:r>
            <w:proofErr w:type="spellStart"/>
            <w:r w:rsidRPr="000959B0">
              <w:rPr>
                <w:rFonts w:ascii="Times New Roman" w:hAnsi="Times New Roman" w:cs="Times New Roman"/>
                <w:b/>
                <w:iCs/>
                <w:sz w:val="16"/>
              </w:rPr>
              <w:t>BAcc</w:t>
            </w:r>
            <w:proofErr w:type="spellEnd"/>
            <w:r w:rsidRPr="000959B0">
              <w:rPr>
                <w:rFonts w:ascii="Times New Roman" w:hAnsi="Times New Roman" w:cs="Times New Roman"/>
                <w:b/>
                <w:iCs/>
                <w:sz w:val="16"/>
              </w:rPr>
              <w:t xml:space="preserve"> (pp)</w:t>
            </w:r>
          </w:p>
        </w:tc>
        <w:tc>
          <w:tcPr>
            <w:tcW w:w="2621" w:type="dxa"/>
            <w:shd w:val="clear" w:color="auto" w:fill="E6E6E6"/>
            <w:vAlign w:val="center"/>
          </w:tcPr>
          <w:p w14:paraId="3D99B0C4" w14:textId="0FF565D0"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95% CI</w:t>
            </w:r>
          </w:p>
        </w:tc>
        <w:tc>
          <w:tcPr>
            <w:tcW w:w="1310" w:type="dxa"/>
            <w:shd w:val="clear" w:color="auto" w:fill="E6E6E6"/>
            <w:vAlign w:val="center"/>
          </w:tcPr>
          <w:p w14:paraId="4C1F34FE" w14:textId="544F9655"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Exact p</w:t>
            </w:r>
          </w:p>
        </w:tc>
        <w:tc>
          <w:tcPr>
            <w:tcW w:w="1310" w:type="dxa"/>
            <w:shd w:val="clear" w:color="auto" w:fill="E6E6E6"/>
            <w:vAlign w:val="center"/>
          </w:tcPr>
          <w:p w14:paraId="6440D813" w14:textId="0C471672" w:rsidR="000959B0" w:rsidRPr="000959B0" w:rsidRDefault="000959B0" w:rsidP="000959B0">
            <w:pPr>
              <w:pStyle w:val="BodyText"/>
              <w:spacing w:before="0" w:after="0"/>
              <w:jc w:val="center"/>
              <w:rPr>
                <w:rFonts w:ascii="Times New Roman" w:hAnsi="Times New Roman" w:cs="Times New Roman"/>
                <w:b/>
                <w:iCs/>
                <w:sz w:val="16"/>
              </w:rPr>
            </w:pPr>
            <w:r w:rsidRPr="000959B0">
              <w:rPr>
                <w:rFonts w:ascii="Times New Roman" w:hAnsi="Times New Roman" w:cs="Times New Roman"/>
                <w:b/>
                <w:iCs/>
                <w:sz w:val="16"/>
              </w:rPr>
              <w:t>Holm p</w:t>
            </w:r>
          </w:p>
        </w:tc>
      </w:tr>
      <w:tr w:rsidR="000959B0" w14:paraId="4580DF8F" w14:textId="77777777" w:rsidTr="000959B0">
        <w:trPr>
          <w:cantSplit/>
        </w:trPr>
        <w:tc>
          <w:tcPr>
            <w:tcW w:w="2434" w:type="dxa"/>
            <w:vAlign w:val="center"/>
          </w:tcPr>
          <w:p w14:paraId="0819CE1B" w14:textId="1E34C58B"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w:t>
            </w:r>
          </w:p>
        </w:tc>
        <w:tc>
          <w:tcPr>
            <w:tcW w:w="1685" w:type="dxa"/>
            <w:vAlign w:val="center"/>
          </w:tcPr>
          <w:p w14:paraId="61049522" w14:textId="698B2CD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-0.10</w:t>
            </w:r>
          </w:p>
        </w:tc>
        <w:tc>
          <w:tcPr>
            <w:tcW w:w="2621" w:type="dxa"/>
            <w:vAlign w:val="center"/>
          </w:tcPr>
          <w:p w14:paraId="07DA2374" w14:textId="1B4397D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[-1.75, +1.55]</w:t>
            </w:r>
          </w:p>
        </w:tc>
        <w:tc>
          <w:tcPr>
            <w:tcW w:w="1310" w:type="dxa"/>
            <w:vAlign w:val="center"/>
          </w:tcPr>
          <w:p w14:paraId="568ED468" w14:textId="0B259A68"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40778D9F" w14:textId="3CA1463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087C2EB7" w14:textId="77777777" w:rsidTr="000959B0">
        <w:trPr>
          <w:cantSplit/>
        </w:trPr>
        <w:tc>
          <w:tcPr>
            <w:tcW w:w="2434" w:type="dxa"/>
            <w:vAlign w:val="center"/>
          </w:tcPr>
          <w:p w14:paraId="7C0D3FC5" w14:textId="120ED1C5"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CNN</w:t>
            </w:r>
          </w:p>
        </w:tc>
        <w:tc>
          <w:tcPr>
            <w:tcW w:w="1685" w:type="dxa"/>
            <w:vAlign w:val="center"/>
          </w:tcPr>
          <w:p w14:paraId="23546C11" w14:textId="5D9231B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+1.46</w:t>
            </w:r>
          </w:p>
        </w:tc>
        <w:tc>
          <w:tcPr>
            <w:tcW w:w="2621" w:type="dxa"/>
            <w:vAlign w:val="center"/>
          </w:tcPr>
          <w:p w14:paraId="78C2999F" w14:textId="4C8AB17E"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[-0.09, +3.01]</w:t>
            </w:r>
          </w:p>
        </w:tc>
        <w:tc>
          <w:tcPr>
            <w:tcW w:w="1310" w:type="dxa"/>
            <w:vAlign w:val="center"/>
          </w:tcPr>
          <w:p w14:paraId="5C8C539C" w14:textId="7FC81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0E70626A" w14:textId="3952717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787BB53A" w14:textId="77777777" w:rsidTr="000959B0">
        <w:trPr>
          <w:cantSplit/>
        </w:trPr>
        <w:tc>
          <w:tcPr>
            <w:tcW w:w="2434" w:type="dxa"/>
            <w:vAlign w:val="center"/>
          </w:tcPr>
          <w:p w14:paraId="1F18CA6B" w14:textId="2AD7083E"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w:t>
            </w:r>
          </w:p>
        </w:tc>
        <w:tc>
          <w:tcPr>
            <w:tcW w:w="1685" w:type="dxa"/>
            <w:vAlign w:val="center"/>
          </w:tcPr>
          <w:p w14:paraId="151A3D98" w14:textId="16640699"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+0.05</w:t>
            </w:r>
          </w:p>
        </w:tc>
        <w:tc>
          <w:tcPr>
            <w:tcW w:w="2621" w:type="dxa"/>
            <w:vAlign w:val="center"/>
          </w:tcPr>
          <w:p w14:paraId="2AB9B814" w14:textId="165DC76B"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[-2.45, +2.55]</w:t>
            </w:r>
          </w:p>
        </w:tc>
        <w:tc>
          <w:tcPr>
            <w:tcW w:w="1310" w:type="dxa"/>
            <w:vAlign w:val="center"/>
          </w:tcPr>
          <w:p w14:paraId="31D79229" w14:textId="26B81150"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c>
          <w:tcPr>
            <w:tcW w:w="1310" w:type="dxa"/>
            <w:vAlign w:val="center"/>
          </w:tcPr>
          <w:p w14:paraId="360EFFE5" w14:textId="7E7D01C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r w:rsidR="000959B0" w14:paraId="54450B45" w14:textId="77777777" w:rsidTr="000959B0">
        <w:trPr>
          <w:cantSplit/>
        </w:trPr>
        <w:tc>
          <w:tcPr>
            <w:tcW w:w="2434" w:type="dxa"/>
            <w:vAlign w:val="center"/>
          </w:tcPr>
          <w:p w14:paraId="3CE46563" w14:textId="1CBB0A37"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LSTM-Attention</w:t>
            </w:r>
          </w:p>
        </w:tc>
        <w:tc>
          <w:tcPr>
            <w:tcW w:w="1685" w:type="dxa"/>
            <w:vAlign w:val="center"/>
          </w:tcPr>
          <w:p w14:paraId="21124F6C" w14:textId="4E839375"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-1.03</w:t>
            </w:r>
          </w:p>
        </w:tc>
        <w:tc>
          <w:tcPr>
            <w:tcW w:w="2621" w:type="dxa"/>
            <w:vAlign w:val="center"/>
          </w:tcPr>
          <w:p w14:paraId="567DAE83" w14:textId="28BCC12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[-2.19, +0.12]</w:t>
            </w:r>
          </w:p>
        </w:tc>
        <w:tc>
          <w:tcPr>
            <w:tcW w:w="1310" w:type="dxa"/>
            <w:vAlign w:val="center"/>
          </w:tcPr>
          <w:p w14:paraId="2E9CADFC" w14:textId="6C4BB4BC"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0.125</w:t>
            </w:r>
          </w:p>
        </w:tc>
        <w:tc>
          <w:tcPr>
            <w:tcW w:w="1310" w:type="dxa"/>
            <w:vAlign w:val="center"/>
          </w:tcPr>
          <w:p w14:paraId="4BCB6095" w14:textId="2F6184E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0.625</w:t>
            </w:r>
          </w:p>
        </w:tc>
      </w:tr>
      <w:tr w:rsidR="000959B0" w14:paraId="1824301C" w14:textId="77777777" w:rsidTr="000959B0">
        <w:trPr>
          <w:cantSplit/>
        </w:trPr>
        <w:tc>
          <w:tcPr>
            <w:tcW w:w="2434" w:type="dxa"/>
            <w:vAlign w:val="center"/>
          </w:tcPr>
          <w:p w14:paraId="77CE396B" w14:textId="4B33C438" w:rsidR="000959B0" w:rsidRPr="000959B0" w:rsidRDefault="000959B0" w:rsidP="000959B0">
            <w:pPr>
              <w:pStyle w:val="BodyText"/>
              <w:spacing w:before="0" w:after="0"/>
              <w:rPr>
                <w:rFonts w:ascii="Times New Roman" w:hAnsi="Times New Roman" w:cs="Times New Roman"/>
                <w:iCs/>
                <w:sz w:val="16"/>
              </w:rPr>
            </w:pPr>
            <w:r w:rsidRPr="000959B0">
              <w:rPr>
                <w:rFonts w:ascii="Times New Roman" w:hAnsi="Times New Roman" w:cs="Times New Roman"/>
                <w:iCs/>
                <w:sz w:val="16"/>
              </w:rPr>
              <w:t>LSTM-CNN-Attention</w:t>
            </w:r>
          </w:p>
        </w:tc>
        <w:tc>
          <w:tcPr>
            <w:tcW w:w="1685" w:type="dxa"/>
            <w:vAlign w:val="center"/>
          </w:tcPr>
          <w:p w14:paraId="3D7DB887" w14:textId="1BFB6453"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-0.74</w:t>
            </w:r>
          </w:p>
        </w:tc>
        <w:tc>
          <w:tcPr>
            <w:tcW w:w="2621" w:type="dxa"/>
            <w:vAlign w:val="center"/>
          </w:tcPr>
          <w:p w14:paraId="1B1CFA39" w14:textId="16447EAD"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[-3.10, +1.62]</w:t>
            </w:r>
          </w:p>
        </w:tc>
        <w:tc>
          <w:tcPr>
            <w:tcW w:w="1310" w:type="dxa"/>
            <w:vAlign w:val="center"/>
          </w:tcPr>
          <w:p w14:paraId="41B814C1" w14:textId="5CBC6101"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0.500</w:t>
            </w:r>
          </w:p>
        </w:tc>
        <w:tc>
          <w:tcPr>
            <w:tcW w:w="1310" w:type="dxa"/>
            <w:vAlign w:val="center"/>
          </w:tcPr>
          <w:p w14:paraId="4E0104DB" w14:textId="41E23902" w:rsidR="000959B0" w:rsidRPr="000959B0" w:rsidRDefault="000959B0" w:rsidP="000959B0">
            <w:pPr>
              <w:pStyle w:val="BodyText"/>
              <w:spacing w:before="0" w:after="0"/>
              <w:jc w:val="center"/>
              <w:rPr>
                <w:rFonts w:ascii="Times New Roman" w:hAnsi="Times New Roman" w:cs="Times New Roman"/>
                <w:iCs/>
                <w:sz w:val="16"/>
              </w:rPr>
            </w:pPr>
            <w:r w:rsidRPr="000959B0">
              <w:rPr>
                <w:rFonts w:ascii="Times New Roman" w:hAnsi="Times New Roman" w:cs="Times New Roman"/>
                <w:iCs/>
                <w:sz w:val="16"/>
              </w:rPr>
              <w:t>1.000</w:t>
            </w:r>
          </w:p>
        </w:tc>
      </w:tr>
    </w:tbl>
    <w:p w14:paraId="7592422B" w14:textId="2AF68D72" w:rsidR="0011346A" w:rsidRPr="000829A5" w:rsidRDefault="0011346A"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The contrast is Regime-SHAP minus Regime-All. Seeds are averaged within outer years before inference. SHAP values are fitted-model attributions, not causal effects of market variables.</w:t>
      </w:r>
    </w:p>
    <w:p w14:paraId="130D21EF" w14:textId="56AF6BD3" w:rsidR="00743CA6" w:rsidRDefault="0011346A"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LIME did not provide an independent validation of SHAP. Of 1,800 registered instance–repeat explanations, 1,293 (71.83%) had local surrogate </w:t>
      </w:r>
      <w:r w:rsidRPr="00341794">
        <w:rPr>
          <w:rFonts w:ascii="Times New Roman" w:hAnsi="Times New Roman" w:cs="Times New Roman"/>
          <w:sz w:val="24"/>
          <w:szCs w:val="24"/>
        </w:rPr>
        <w:t>(</w:t>
      </w:r>
      <w:r w:rsidRPr="00341794">
        <w:rPr>
          <w:rFonts w:ascii="Times New Roman" w:hAnsi="Times New Roman" w:cs="Times New Roman"/>
          <w:sz w:val="24"/>
          <w:szCs w:val="24"/>
          <w:i/>
          <w:iCs/>
        </w:rPr>
        <w:t>R</w:t>
      </w:r>
      <w:r w:rsidRPr="00341794">
        <w:rPr>
          <w:rFonts w:ascii="Times New Roman" w:hAnsi="Times New Roman" w:cs="Times New Roman"/>
          <w:sz w:val="24"/>
          <w:szCs w:val="24"/>
          <w:vertAlign w:val="superscript"/>
        </w:rPr>
        <w:t>2</w:t>
      </w:r>
      <w:r w:rsidRPr="00341794">
        <w:rPr>
          <w:rFonts w:ascii="Times New Roman" w:hAnsi="Times New Roman" w:cs="Times New Roman"/>
          <w:sz w:val="24"/>
          <w:szCs w:val="24"/>
        </w:rPr>
        <w:t>&lt;0.70).</w:t>
      </w:r>
      <w:r w:rsidRPr="000829A5">
        <w:rPr>
          <w:rFonts w:ascii="Times New Roman" w:hAnsi="Times New Roman" w:cs="Times New Roman"/>
          <w:sz w:val="24"/>
          <w:szCs w:val="24"/>
        </w:rPr>
        <w:t xml:space="preserve"> Low-fidelity repeats were retained and disclosed. Because the diagnostic failed for most repetitions, complete LIME agreement and </w:t>
      </w:r>
      <w:r w:rsidRPr="000829A5">
        <w:rPr>
          <w:rFonts w:ascii="Times New Roman" w:hAnsi="Times New Roman" w:cs="Times New Roman"/>
          <w:sz w:val="24"/>
          <w:szCs w:val="24"/>
        </w:rPr>
        <w:lastRenderedPageBreak/>
        <w:t>stability tables are placed in the Supplement and no feature-level causal narrative is built from them</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{"citationID":"07c93093a2","properties":{"unsorted":false,"formattedCitation":"(Ribeiro et al., 2016; Adebayo et al., 2018; Yeo et al., 2025)","plainCitation":"(Ribeiro et al., 2016; Adebayo et al., 2018; Yeo et al., 2025)","noteIndex":0},"citationItems":[{"id":18,"uris":["http://zotero.org/users/local/DPQnJvcs/items/62AI8BRL"],"itemData":{"id":18,"type":"paper-conference","container-title":"Proceedings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Tulio"},{"family":"Singh","given":"Sameer"},{"family":"Guestrin","given":"Carlos"}],"issued":{"date-parts":[["2016"]]}}},{"id":19,"uris":["http://zotero.org/users/local/DPQnJvcs/items/UD4RPQRT"],"itemData":{"id":19,"type":"paper-conference","container-title":"Advances in Neural Information Processing Systems","title":"Sanity Checks for Saliency Maps","URL":"https://proceedings.neurips.cc/paper_files/paper/2018/hash/294a8ed24b1ad22ec2e7efea049b8737-Abstract.html","volume":"31","author":[{"family":"Adebayo","given":"Julius"},{"family":"Gilmer","given":"Justin"},{"family":"Muelly","given":"Michael"},{"family":"Goodfellow","given":"Ian"},{"family":"Hardt","given":"Moritz"},{"family":"Kim","given":"Been"}],"issued":{"date-parts":[["2018"]]}}},{"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(Ribeiro et al., 2016; Adebayo et al., 2018; Yeo et al., 2025)</w:t>
      </w:r>
      <w:r w:rsidR="00A84458">
        <w:rPr>
          <w:rFonts w:ascii="Times New Roman" w:hAnsi="Times New Roman" w:cs="Times New Roman"/>
          <w:sz w:val="24"/>
          <w:szCs w:val="24"/>
        </w:rPr>
        <w:fldChar w:fldCharType="end"/>
      </w:r>
    </w:p>
    <w:p>
      <w:pPr>
        <w:keepLines/>
        <w:spacing w:line="360" w:lineRule="auto"/>
        <w:jc w:val="both"/>
        <w:rPr>
          <w:rFonts w:ascii="Times New Roman" w:hAnsi="Times New Roman" w:cs="Times New Roman"/>
          <w:color w:val="000000"/>
          <w:sz w:val="24"/>
          <w:szCs w:val="24"/>
        </w:rPr>
      </w:pPr>
      <w:r>
        <w:rPr>
          <w:rFonts w:ascii="Times New Roman" w:hAnsi="Times New Roman" w:cs="Times New Roman"/>
          <w:sz w:val="24"/>
          <w:szCs w:val="24"/>
        </w:rPr>
        <w:t xml:space="preserve">Figure 7 places the selector effect beside the independent local-fidelity diagnostic. Regime-SHAP improved CNN by 1.46 percentage points and LSTM-CNN by 0.05 points, while changing LSTM, LSTM-Attention and LSTM-CNN-Attention by -0.10, -1.03 and -0.74 points, respectively. Every 95% interval crossed zero and no contrast survived Holm adjustment. LIME classified 65.8-77.5% of the 120 repeats in each model-regime cell as low fidelity; overall, 1,293 of 1,800 explanations (71.83%) had local-surrogate </w:t>
      </w:r>
      <w:r>
        <w:rPr>
          <w:rFonts w:ascii="Times New Roman" w:hAnsi="Times New Roman" w:cs="Times New Roman"/>
          <w:sz w:val="24"/>
          <w:szCs w:val="24"/>
          <w:i/>
          <w:iCs/>
        </w:rPr>
        <w:t>R</w:t>
      </w:r>
      <w:r>
        <w:rPr>
          <w:rFonts w:ascii="Times New Roman" w:hAnsi="Times New Roman" w:cs="Times New Roman"/>
          <w:sz w:val="24"/>
          <w:szCs w:val="24"/>
          <w:vertAlign w:val="superscript"/>
        </w:rPr>
        <w:t>2</w:t>
      </w:r>
      <w:r>
        <w:rPr>
          <w:rFonts w:ascii="Times New Roman" w:hAnsi="Times New Roman" w:cs="Times New Roman"/>
          <w:sz w:val="24"/>
          <w:szCs w:val="24"/>
        </w:rPr>
        <w:t xml:space="preserve"> below 0.70.</w:t>
      </w:r>
    </w:p>
    <w:p>
      <w:pPr>
        <w:keepNext/>
        <w:pageBreakBefore w:val="0"/>
        <w:spacing w:before="60" w:after="40"/>
        <w:jc w:val="center"/>
      </w:pPr>
      <w:r>
        <w:drawing>
          <wp:inline xmlns:a="http://schemas.openxmlformats.org/drawingml/2006/main" xmlns:pic="http://schemas.openxmlformats.org/drawingml/2006/picture">
            <wp:extent cx="5897880" cy="2248771"/>
            <wp:docPr id="1399279417" name="Figure 7" title="Figure 7" descr="Regime-SHAP balanced-accuracy effects and model-by-regime LIME low-fidelity rates."/>
            <wp:cNvGraphicFramePr>
              <a:graphicFrameLocks noChangeAspect="1"/>
            </wp:cNvGraphicFramePr>
            <a:graphic>
              <a:graphicData uri="http://schemas.openxmlformats.org/drawingml/2006/picture">
                <pic:pic>
                  <pic:nvPicPr>
                    <pic:cNvPr id="0" name="figure10_shap_lime_result_audit.png"/>
                    <pic:cNvPicPr/>
                  </pic:nvPicPr>
                  <pic:blipFill>
                    <a:blip r:embed="rId21"/>
                    <a:stretch>
                      <a:fillRect/>
                    </a:stretch>
                  </pic:blipFill>
                  <pic:spPr>
                    <a:xfrm>
                      <a:off x="0" y="0"/>
                      <a:ext cx="5897880" cy="2248771"/>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7.</w:t>
      </w:r>
      <w:r>
        <w:rPr>
          <w:rFonts w:ascii="Times New Roman" w:hAnsi="Times New Roman" w:cs="Times New Roman"/>
          <w:sz w:val="20"/>
          <w:szCs w:val="20"/>
        </w:rPr>
        <w:t xml:space="preserve"> Explainability audit. Panel A reports the Regime-SHAP minus Regime-All balanced-accuracy change with descriptive 95% intervals after seed aggregation within outer years; no effect survived Holm adjustment. Panel B reports the percentage of LIME repeats with local-surrogate </w:t>
      </w:r>
      <w:r>
        <w:rPr>
          <w:rFonts w:ascii="Times New Roman" w:hAnsi="Times New Roman" w:cs="Times New Roman"/>
          <w:sz w:val="20"/>
          <w:szCs w:val="20"/>
          <w:i/>
          <w:iCs/>
        </w:rPr>
        <w:t>R</w:t>
      </w:r>
      <w:r>
        <w:rPr>
          <w:rFonts w:ascii="Times New Roman" w:hAnsi="Times New Roman" w:cs="Times New Roman"/>
          <w:sz w:val="20"/>
          <w:szCs w:val="20"/>
          <w:vertAlign w:val="superscript"/>
        </w:rPr>
        <w:t>2</w:t>
      </w:r>
      <w:r>
        <w:rPr>
          <w:rFonts w:ascii="Times New Roman" w:hAnsi="Times New Roman" w:cs="Times New Roman"/>
          <w:sz w:val="20"/>
          <w:szCs w:val="20"/>
        </w:rPr>
        <w:t xml:space="preserve"> below 0.70; failed repeats remain in the denominator.</w:t>
      </w:r>
    </w:p>
    <w:p w14:paraId="26F4F236" w14:textId="7A7CDF91"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regime result should also be interpreted relative to the definition of regime. Classical bull/bear work identifies sustained market phases and time-series momentum documents persistence across multiple horizons; the present method instead converts those ideas into a train-only day-level routing variable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{"citationID":"360cf6e3","properties":{"unsorted":false,"formattedCitation":"(Pagan \u0026 Sossounov, 2003; Moskowitz et al., 2012)","plainCitation":"(Pagan \u0026 Sossounov, 2003; Moskowitz et al., 2012)","noteIndex":0},"citationItems":[{"id":20,"uris":["http://zotero.org/users/local/DPQnJvcs/items/RQKMDA85"],"itemData":{"id":20,"type":"article-journal","container-title":"Journal of Applied Econometrics","DOI":"10.1002/jae.664","issue":"1","page":"23–46","title":"A Simple Framework for Analysing Bull and Bear Markets","volume":"18","author":[{"family":"Pagan","given":"Adrian R."},{"family":"Sossounov","given":"Kirill A."}],"issued":{"date-parts":[["2003"]]}}},{"id":21,"uris":["http://zotero.org/users/local/DPQnJvcs/items/9TALPZW5"],"itemData":{"id":21,"type":"article-journal","container-title":"Journal of Financial Economics","DOI":"10.1016/j.jfineco.2011.11.003","issue":"2","page":"228–250","title":"Time Series Momentum","volume":"104","author":[{"family":"Moskowitz","given":"Tobias J."},{"family":"Ooi","given":"Yao Hua"},{"family":"Pedersen","given":"Lasse Heje"}],"issued":{"date-parts":[["2012"]]}}}],"schema":"https://github.com/citation-style-language/schema/raw/master/csl-citation.json"}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(Pagan &amp; Sossounov, 2003; Moskowitz et al., 2012)</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CNN gain is plausibly consistent with architecture-specific compression: local convolutional filters may benefit when regime-irrelevant inputs are removed, whereas recurrent and attention models can already reweight temporal context and may be harmed when selection discards weak but complementary variables. Splitting the training data by regime further reduces the effective sample size, increasing ranking and refit variance. SHAP explains the fitted model rather than establishing a causal market mechanism and financial-XAI research emphasizes that stability and fidelity must be checked before feature narratives are trusted </w:t>
      </w:r>
      <w:r w:rsidRPr="00823AE8">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{"citationID":"dabde4b4","properties":{"unsorted":false,"formattedCitation":"(Lundberg \u0026 Lee, 2017; Yeo et al., 2025)","plainCitation":"(Lundberg \u0026 Lee, 2017;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Pr="00823AE8">
        <w:rPr>
          <w:rFonts w:ascii="Times New Roman" w:hAnsi="Times New Roman" w:cs="Times New Roman"/>
          <w:sz w:val="24"/>
          <w:szCs w:val="24"/>
        </w:rPr>
        <w:fldChar w:fldCharType="separate"/>
      </w:r>
      <w:r w:rsidRPr="0034462D">
        <w:rPr>
          <w:rFonts w:ascii="Times New Roman" w:hAnsi="Times New Roman" w:cs="Times New Roman"/>
          <w:sz w:val="24"/>
        </w:rPr>
        <w:t>(Lundberg &amp; Lee, 2017; Yeo et al., 2025)</w:t>
      </w:r>
      <w:r w:rsidRPr="00823AE8">
        <w:rPr>
          <w:rFonts w:ascii="Times New Roman" w:hAnsi="Times New Roman" w:cs="Times New Roman"/>
          <w:sz w:val="24"/>
          <w:szCs w:val="24"/>
        </w:rPr>
        <w:fldChar w:fldCharType="end"/>
      </w:r>
      <w:r w:rsidRPr="0034462D">
        <w:rPr>
          <w:rFonts w:ascii="Times New Roman" w:hAnsi="Times New Roman" w:cs="Times New Roman"/>
          <w:bCs/>
          <w:color w:val="000000"/>
          <w:sz w:val="24"/>
          <w:szCs w:val="24"/>
        </w:rPr>
        <w:t xml:space="preserve"> The low-fidelity LIME result reinforces that caution; consequently, the CNN effect is evidence of a model-specific routing hypothesis, not a universal regime feature set.</w:t>
      </w:r>
    </w:p>
    <w:p w14:paraId="22C86DE6" w14:textId="77777777" w:rsidR="00880654" w:rsidRPr="00880654" w:rsidRDefault="00880654" w:rsidP="00880654">
      <w:pPr>
        <w:spacing w:line="360" w:lineRule="auto"/>
        <w:jc w:val="both"/>
        <w:rPr>
          <w:rFonts w:ascii="Times New Roman" w:hAnsi="Times New Roman" w:cs="Times New Roman"/>
          <w:sz w:val="24"/>
          <w:szCs w:val="24"/>
        </w:rPr>
      </w:pPr>
      <w:r w:rsidRPr="00880654">
        <w:rPr>
          <w:rFonts w:ascii="Times New Roman" w:hAnsi="Times New Roman" w:cs="Times New Roman"/>
          <w:sz w:val="24"/>
          <w:szCs w:val="24"/>
        </w:rPr>
        <w:t>Separately, the post-hoc integrated 2×2 robustness analysis crossed global versus Regime-SHAP numerical inputs with absence versus presence of Local-NLP predicted news on the 2019–2025 common cohort. The highest mean balanced accuracy was 54.07% for LSTM–CNN with Regime-SHAP numerical inputs without news. Adding news within the regime-selected arm improved mean balanced accuracy for two of five models (LSTM +0.13 and LSTM–Attention +1.03 points) and reduced it for the other three. No balanced-accuracy contrast survived Holm adjustment. The complete factorial is retained as post-hoc integrated evidence in Table S5 rather than promoted as a success claim.</w:t>
      </w:r>
    </w:p>
    <w:p>
      <w:pPr>
        <w:keepLines/>
        <w:spacing w:line="360" w:lineRule="auto"/>
        <w:jc w:val="both"/>
        <w:rPr>
          <w:rFonts w:ascii="Times New Roman" w:hAnsi="Times New Roman" w:cs="Times New Roman"/>
          <w:color w:val="000000"/>
          <w:sz w:val="24"/>
          <w:szCs w:val="24"/>
        </w:rPr>
      </w:pPr>
      <w:r>
        <w:rPr>
          <w:rFonts w:ascii="Times New Roman" w:hAnsi="Times New Roman"/>
          <w:sz w:val="24"/>
        </w:rPr>
        <w:t>Figures 8 and 9 visualize the five seed-averaged out-of-sample prediction series from the post-hoc Regime-SHAP-Numeric-News arm. Over 2022-2025, LSTM produced the smallest level errors (RMSE 15.97; MAE 12.73) and the tightest scatter around the identity line, but its mean balanced accuracy was only 52.01%. LSTM-CNN-Attention produced the highest balanced accuracy (53.64%) and MCC (0.089) but the largest level errors (RMSE 31.77; MAE 25.34). LSTM-Attention occupied the middle ground (BAcc 52.62%; RMSE 20.41), LSTM-CNN improved directional performance (52.81%) at the cost of larger level error (RMSE 29.79), and CNN had the weakest mean directional result (51.49%) despite visible level co-movement (RMSE 22.74). Thus, the model ranking depends on whether the endpoint is next-day level error or the sign of the next-day move.</w:t>
      </w:r>
    </w:p>
    <w:p>
      <w:pPr>
        <w:keepNext/>
        <w:pageBreakBefore w:val="0"/>
        <w:spacing w:before="60" w:after="40"/>
        <w:jc w:val="center"/>
      </w:pPr>
      <w:r>
        <w:drawing>
          <wp:inline xmlns:a="http://schemas.openxmlformats.org/drawingml/2006/main" xmlns:pic="http://schemas.openxmlformats.org/drawingml/2006/picture">
            <wp:extent cx="5897880" cy="3515660"/>
            <wp:docPr id="1399279418" name="Figure 8" title="Figure 8" descr="Observed-versus-predicted next-day SET50 scatter plots for the five frozen architectures."/>
            <wp:cNvGraphicFramePr>
              <a:graphicFrameLocks noChangeAspect="1"/>
            </wp:cNvGraphicFramePr>
            <a:graphic>
              <a:graphicData uri="http://schemas.openxmlformats.org/drawingml/2006/picture">
                <pic:pic>
                  <pic:nvPicPr>
                    <pic:cNvPr id="0" name="observed_vs_predicted_scatter_oos_2022_2025.png"/>
                    <pic:cNvPicPr/>
                  </pic:nvPicPr>
                  <pic:blipFill>
                    <a:blip r:embed="rId22"/>
                    <a:stretch>
                      <a:fillRect/>
                    </a:stretch>
                  </pic:blipFill>
                  <pic:spPr>
                    <a:xfrm>
                      <a:off x="0" y="0"/>
                      <a:ext cx="5897880" cy="3515660"/>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8.</w:t>
      </w:r>
      <w:r>
        <w:rPr>
          <w:rFonts w:ascii="Times New Roman" w:hAnsi="Times New Roman" w:cs="Times New Roman"/>
          <w:sz w:val="20"/>
          <w:szCs w:val="20"/>
        </w:rPr>
        <w:t xml:space="preserve"> Observed versus predicted next-day SET50 levels for the post-hoc integrated arm, 2022-2025. Each point is a seed-averaged out-of-sample forecast; the dashed identity line indicates exact level agreement. RMSE and MAE evaluate level error, whereas balanced accuracy evaluates direction.</w:t>
      </w:r>
    </w:p>
    <w:p>
      <w:pPr>
        <w:keepNext/>
        <w:pageBreakBefore/>
        <w:spacing w:before="60" w:after="40"/>
        <w:jc w:val="center"/>
      </w:pPr>
      <w:r>
        <w:drawing>
          <wp:inline xmlns:a="http://schemas.openxmlformats.org/drawingml/2006/main" xmlns:pic="http://schemas.openxmlformats.org/drawingml/2006/picture">
            <wp:extent cx="5897880" cy="5560355"/>
            <wp:docPr id="1399279419" name="Figure 9" title="Figure 9" descr="Actual and predicted next-day SET50 level series for the five architectures in the 2025 fold."/>
            <wp:cNvGraphicFramePr>
              <a:graphicFrameLocks noChangeAspect="1"/>
            </wp:cNvGraphicFramePr>
            <a:graphic>
              <a:graphicData uri="http://schemas.openxmlformats.org/drawingml/2006/picture">
                <pic:pic>
                  <pic:nvPicPr>
                    <pic:cNvPr id="0" name="actual_vs_predicted_oos_2025_zoom.png"/>
                    <pic:cNvPicPr/>
                  </pic:nvPicPr>
                  <pic:blipFill>
                    <a:blip r:embed="rId23"/>
                    <a:stretch>
                      <a:fillRect/>
                    </a:stretch>
                  </pic:blipFill>
                  <pic:spPr>
                    <a:xfrm>
                      <a:off x="0" y="0"/>
                      <a:ext cx="5897880" cy="5560355"/>
                    </a:xfrm>
                    <a:prstGeom prst="rect"/>
                  </pic:spPr>
                </pic:pic>
              </a:graphicData>
            </a:graphic>
          </wp:inline>
        </w:drawing>
      </w:r>
    </w:p>
    <w:p>
      <w:pPr>
        <w:pStyle w:val="Caption"/>
        <w:keepLines/>
        <w:spacing w:before="60" w:after="120" w:line="240" w:lineRule="auto"/>
        <w:jc w:val="center"/>
        <w:rPr>
          <w:rFonts w:ascii="Times New Roman" w:eastAsia="Times New Roman" w:hAnsi="Times New Roman" w:cs="Times New Roman"/>
          <w:sz w:val="24"/>
          <w:szCs w:val="24"/>
        </w:rPr>
      </w:pPr>
      <w:r>
        <w:rPr>
          <w:rFonts w:ascii="Times New Roman" w:hAnsi="Times New Roman" w:cs="Times New Roman"/>
          <w:sz w:val="20"/>
          <w:szCs w:val="20"/>
          <w:b/>
          <w:bCs/>
        </w:rPr>
        <w:t>Figure 9.</w:t>
      </w:r>
      <w:r>
        <w:rPr>
          <w:rFonts w:ascii="Times New Roman" w:hAnsi="Times New Roman" w:cs="Times New Roman"/>
          <w:sz w:val="20"/>
          <w:szCs w:val="20"/>
        </w:rPr>
        <w:t xml:space="preserve"> Seed-averaged out-of-sample next-day SET50 forecasts in the 2025 fold. Black lines show realized next-day closes and colored lines show model forecasts; annotations report the metrics calculated only on the displayed fold. The visual diagnoses level tracking and turning-point behavior, while balanced accuracy remains the primary directional endpoint.</w:t>
      </w:r>
    </w:p>
    <w:p>
      <w:pPr>
        <w:keepLines/>
        <w:spacing w:line="360" w:lineRule="auto"/>
        <w:jc w:val="both"/>
        <w:rPr>
          <w:rFonts w:ascii="Times New Roman" w:hAnsi="Times New Roman" w:cs="Times New Roman"/>
          <w:color w:val="000000"/>
          <w:sz w:val="24"/>
          <w:szCs w:val="24"/>
        </w:rPr>
      </w:pPr>
      <w:r>
        <w:rPr>
          <w:rFonts w:ascii="Times New Roman" w:hAnsi="Times New Roman"/>
          <w:sz w:val="24"/>
        </w:rPr>
        <w:t>In the 2025 fold, LSTM-CNN achieved the best balanced accuracy (55.15%) and direction accuracy (54.27%) but an RMSE of 30.41, whereas LSTM retained the lowest RMSE (21.57) with balanced accuracy of 53.20%. LSTM-Attention reached 53.82% balanced accuracy; CNN was near chance at 51.07%; and LSTM-CNN-Attention fell to 53.07% while its RMSE rose to 36.12. The realized Up share was 48.72%, yet the models predicted Up on 74.79-86.32% of dates; corresponding Down recall was only 16.67-28.33%. The broad level paths can therefore appear visually convincing even when local reversals and small negative moves are missed.</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Taken model by model, LSTM was strongest at level calibration but remained directionally asymmetric; CNN captured broad level co-movement but smoothed or plateaued around turning points and provided little net sign discrimination; LSTM-CNN gained 2025 directional sensitivity but produced more dispersed levels; LSTM-Attention offered a compromise with smaller level error than the convolutional hybrids but remained Up-skewed; and LSTM-CNN-Attention had the best four-year primary metric while showing the largest 2025 error and weakest Down recall. This pattern is consistent with added convolution and attention capacity trading level calibration for sensitivity to selected temporal patterns, but the audit cannot identify that mechanism causally. CNN's positive Regime-SHAP cell is compatible with feature compression helping a local-filter architecture, whereas LIME's low fidelity prevents a stable feature-level explanation from being claimed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{"citationID":"98da7f63a7","properties":{"unsorted":false,"formattedCitation":"(Lundberg &amp; Lee, 2017; Ribeiro et al., 2016; Yeo et al., 2025)","plainCitation":"(Lundberg &amp; Lee, 2017; Ribeiro et al., 2016; Yeo et al., 2025)","noteIndex":0},"citationItems":[{"id":17,"uris":["http://zotero.org/users/local/DPQnJvcs/items/HGDYW6QX"],"itemData":{"id":17,"type":"paper-conference","container-title":"Advances in Neural Information Processing Systems","title":"A Unified Approach to Interpreting Model Predictions","URL":"https://proceedings.neurips.cc/paper_files/paper/2017/hash/8a20a8621978632d76c43dfd28b67767-Abstract.html","volume":"30","author":[{"family":"Lundberg","given":"Scott M."},{"family":"Lee","given":"Su-In"}],"issued":{"date-parts":[["2017"]]}}},{"id":18,"uris":["http://zotero.org/users/local/DPQnJvcs/items/62AI8BRL"],"itemData":{"id":18,"type":"paper-conference","container-title":"Proceedings of the 22nd ACM SIGKDD International Conference on Knowledge Discovery and Data Mining","DOI":"10.1145/2939672.2939778","page":"1135–1144","title":"\"Why Should I Trust You?\": Explaining the Predictions of Any Classifier","author":[{"family":"Ribeiro","given":"Marco Tulio"},{"family":"Singh","given":"Sameer"},{"family":"Guestrin","given":"Carlos"}],"issued":{"date-parts":[["2016"]]}}},{"id":40,"uris":["http://zotero.org/users/local/DPQnJvcs/items/CGM5923W"],"itemData":{"id":40,"type":"article-journal","container-title":"Artificial Intelligence Review","DOI":"10.1007/s10462-024-11077-7","issue":"6","page":"189","title":"A Comprehensive Review on Financial Explainable AI","volume":"58","author":[{"family":"Yeo","given":"Wei Jie"},{"family":"Van Der Heever","given":"Wihan"},{"family":"Mao","given":"Rui"},{"family":"Cambria","given":"Erik"},{"family":"Satapathy","given":"Ranjan"},{"family":"Mengaldo","given":"Gianmarco"}],"issued":{"date-parts":[["2025"]]}}}],"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(Lundberg &amp; Lee, 2017; Ribeiro et al., 2016; Yeo et al., 2025)</w:t>
      </w:r>
      <w:r w:rsidR="00A84458">
        <w:rPr>
          <w:rFonts w:ascii="Times New Roman" w:hAnsi="Times New Roman" w:cs="Times New Roman"/>
          <w:sz w:val="24"/>
          <w:szCs w:val="24"/>
        </w:rPr>
        <w:fldChar w:fldCharType="end"/>
      </w:r>
    </w:p>
    <w:p w14:paraId="0E01A98F" w14:textId="3A90CA79" w:rsidR="00674EE8" w:rsidRPr="00911B2B" w:rsidRDefault="00674EE8"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4.5 Partial-2026 Robustness</w:t>
      </w:r>
    </w:p>
    <w:p w14:paraId="7866F1DD" w14:textId="2358C8D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Before opening the 2026 observations, the five architectures, windows, features, seeds, objectives, thresholds and economic rules were frozen. The registered Yahoo Finance source failed its overlap and availability gate, after which a dated deviation accepted the Investing.com historical interface; the 138-row sample from 5 January to 30 July 2026 is therefore source-contingent. Direct models predicted Up with sigmoid binary cross-entropy. Multitask models added a standardized next-day log-return head with direction BCE weight 1.0 and return MSE weight 0.25, using train-only return scaling. Threshold candidates 0.50, 0.55, 0.60 and 0.65 were evaluated on 2019-2021 validation data; all ten model-objective cells failed the registered gate and reverted to 0.50.</w:t>
      </w:r>
    </w:p>
    <w:p w14:paraId="5BBF9983" w14:textId="0DDD772B"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same frozen extension evaluated an exploratory next-session open-to-close proxy for long/flat and long/short rules at 5, 10 and 20 basis points per active round trip. The full grid is retained in the Supplement. These short-sample economic outputs are descriptive diagnostics, not evidence of profitability or deployment readiness.</w:t>
      </w:r>
    </w:p>
    <w:p w14:paraId="1CFC40DF" w14:textId="2B078D2C" w:rsidR="00674EE8" w:rsidRDefault="00E62A18"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 xml:space="preserve">The 138-row partial-2026 stress test provided weak and objective-dependent evidence (Table 5A). Direct LSTM had the highest balanced accuracy at 54.42% and MCC 0.088, but its direction </w:t>
      </w:r>
      <w:r w:rsidRPr="000829A5">
        <w:rPr>
          <w:rFonts w:ascii="Times New Roman" w:hAnsi="Times New Roman" w:cs="Times New Roman"/>
          <w:sz w:val="24"/>
          <w:szCs w:val="24"/>
        </w:rPr>
        <w:lastRenderedPageBreak/>
        <w:t>accuracy was only 52.90%. LSTM multitask had the highest raw direction accuracy, 59.42%, but balanced accuracy fell to 51.40%. Several CNN and LSTM–CNN–Attention cells obtained 58.70% raw accuracy, exactly matching the Up-class share, while balanced accuracy was 50% and MCC was zero. These cells predicted only the majority side. The apparent accuracy was therefore not directional discrimination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{"citationID":"00ec0147ec","properties":{"unsorted":false,"formattedCitation":"(Brodersen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(Brodersen et al., 2010)</w:t>
      </w:r>
      <w:r w:rsidR="00A84458">
        <w:rPr>
          <w:rFonts w:ascii="Times New Roman" w:hAnsi="Times New Roman" w:cs="Times New Roman"/>
          <w:sz w:val="24"/>
          <w:szCs w:val="24"/>
        </w:rPr>
        <w:fldChar w:fldCharType="end"/>
      </w:r>
    </w:p>
    <w:p w14:paraId="41DB6121" w14:textId="77777777" w:rsidR="004A3C24" w:rsidRPr="004A3C24" w:rsidRDefault="004A3C24" w:rsidP="009960B6">
      <w:pPr>
        <w:pStyle w:val="Caption"/>
        <w:keepNext/>
        <w:keepLines/>
        <w:spacing w:after="120" w:before="60" w:line="240" w:lineRule="auto"/>
        <w:rPr>
          <w:rFonts w:ascii="Times New Roman" w:hAnsi="Times New Roman" w:cs="Times New Roman"/>
          <w:iCs/>
        </w:rPr>
      </w:pPr>
      <w:r>
        <w:rPr>
          <w:rFonts w:ascii="Times New Roman" w:hAnsi="Times New Roman" w:cs="Times New Roman"/>
          <w:sz w:val="20"/>
          <w:szCs w:val="20"/>
          <w:b/>
          <w:bCs/>
        </w:rPr>
        <w:t>Table 5A.</w:t>
      </w:r>
      <w:r>
        <w:rPr>
          <w:rFonts w:ascii="Times New Roman" w:hAnsi="Times New Roman" w:cs="Times New Roman"/>
          <w:sz w:val="20"/>
          <w:szCs w:val="20"/>
        </w:rPr>
        <w:t xml:space="preserve"> Source-contingent partial-2026 forward robustness across five architectures and two registered objectives. Direction accuracy, balanced accuracy, MCC, AUC, Brier score and prediction-side prevalence are reported using the validation-gate fallback threshold of 0.50.</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872"/>
        <w:gridCol w:w="1123"/>
        <w:gridCol w:w="655"/>
        <w:gridCol w:w="1217"/>
        <w:gridCol w:w="1123"/>
        <w:gridCol w:w="1030"/>
        <w:gridCol w:w="1030"/>
        <w:gridCol w:w="1310"/>
      </w:tblGrid>
      <w:tr w:rsidR="000959B0" w14:paraId="13605354" w14:textId="77777777" w:rsidTr="000959B0">
        <w:trPr>
          <w:cantSplit/>
          <w:tblHeader/>
        </w:trPr>
        <w:tc>
          <w:tcPr>
            <w:tcW w:w="1872" w:type="dxa"/>
            <w:shd w:val="clear" w:color="auto" w:fill="E6E6E6"/>
            <w:vAlign w:val="center"/>
          </w:tcPr>
          <w:p w14:paraId="605AC655" w14:textId="31CC2F36"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Architecture</w:t>
            </w:r>
          </w:p>
        </w:tc>
        <w:tc>
          <w:tcPr>
            <w:tcW w:w="1123" w:type="dxa"/>
            <w:shd w:val="clear" w:color="auto" w:fill="E6E6E6"/>
            <w:vAlign w:val="center"/>
          </w:tcPr>
          <w:p w14:paraId="1577991A" w14:textId="013BE9F0"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Objective</w:t>
            </w:r>
          </w:p>
        </w:tc>
        <w:tc>
          <w:tcPr>
            <w:tcW w:w="655" w:type="dxa"/>
            <w:shd w:val="clear" w:color="auto" w:fill="E6E6E6"/>
            <w:vAlign w:val="center"/>
          </w:tcPr>
          <w:p w14:paraId="28393557" w14:textId="728A3BF4"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n</w:t>
            </w:r>
          </w:p>
        </w:tc>
        <w:tc>
          <w:tcPr>
            <w:tcW w:w="1217" w:type="dxa"/>
            <w:shd w:val="clear" w:color="auto" w:fill="E6E6E6"/>
            <w:vAlign w:val="center"/>
          </w:tcPr>
          <w:p w14:paraId="35C01B9B" w14:textId="3C2B0072"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Accuracy (%)</w:t>
            </w:r>
          </w:p>
        </w:tc>
        <w:tc>
          <w:tcPr>
            <w:tcW w:w="1123" w:type="dxa"/>
            <w:shd w:val="clear" w:color="auto" w:fill="E6E6E6"/>
            <w:vAlign w:val="center"/>
          </w:tcPr>
          <w:p w14:paraId="25EFCA59" w14:textId="58BCDDB8" w:rsidR="000959B0" w:rsidRPr="000959B0" w:rsidRDefault="000959B0" w:rsidP="000959B0">
            <w:pPr>
              <w:pStyle w:val="BodyText"/>
              <w:spacing w:before="0" w:after="0"/>
              <w:jc w:val="center"/>
              <w:rPr>
                <w:rFonts w:ascii="Times New Roman" w:hAnsi="Times New Roman" w:cs="Times New Roman"/>
                <w:b/>
                <w:iCs/>
                <w:sz w:val="14"/>
              </w:rPr>
            </w:pPr>
            <w:proofErr w:type="spellStart"/>
            <w:r w:rsidRPr="000959B0">
              <w:rPr>
                <w:rFonts w:ascii="Times New Roman" w:hAnsi="Times New Roman" w:cs="Times New Roman"/>
                <w:b/>
                <w:iCs/>
                <w:sz w:val="14"/>
              </w:rPr>
              <w:t>BAcc</w:t>
            </w:r>
            <w:proofErr w:type="spellEnd"/>
            <w:r w:rsidRPr="000959B0">
              <w:rPr>
                <w:rFonts w:ascii="Times New Roman" w:hAnsi="Times New Roman" w:cs="Times New Roman"/>
                <w:b/>
                <w:iCs/>
                <w:sz w:val="14"/>
              </w:rPr>
              <w:t xml:space="preserve"> (%)</w:t>
            </w:r>
          </w:p>
        </w:tc>
        <w:tc>
          <w:tcPr>
            <w:tcW w:w="1030" w:type="dxa"/>
            <w:shd w:val="clear" w:color="auto" w:fill="E6E6E6"/>
            <w:vAlign w:val="center"/>
          </w:tcPr>
          <w:p w14:paraId="7B328548" w14:textId="6092C08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MCC</w:t>
            </w:r>
          </w:p>
        </w:tc>
        <w:tc>
          <w:tcPr>
            <w:tcW w:w="1030" w:type="dxa"/>
            <w:shd w:val="clear" w:color="auto" w:fill="E6E6E6"/>
            <w:vAlign w:val="center"/>
          </w:tcPr>
          <w:p w14:paraId="5C3009E6" w14:textId="78F1997E"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AUC</w:t>
            </w:r>
          </w:p>
        </w:tc>
        <w:tc>
          <w:tcPr>
            <w:tcW w:w="1310" w:type="dxa"/>
            <w:shd w:val="clear" w:color="auto" w:fill="E6E6E6"/>
            <w:vAlign w:val="center"/>
          </w:tcPr>
          <w:p w14:paraId="39F8A861" w14:textId="679A606C" w:rsidR="000959B0" w:rsidRPr="000959B0" w:rsidRDefault="000959B0" w:rsidP="000959B0">
            <w:pPr>
              <w:pStyle w:val="BodyText"/>
              <w:spacing w:before="0" w:after="0"/>
              <w:jc w:val="center"/>
              <w:rPr>
                <w:rFonts w:ascii="Times New Roman" w:hAnsi="Times New Roman" w:cs="Times New Roman"/>
                <w:b/>
                <w:iCs/>
                <w:sz w:val="14"/>
              </w:rPr>
            </w:pPr>
            <w:r w:rsidRPr="000959B0">
              <w:rPr>
                <w:rFonts w:ascii="Times New Roman" w:hAnsi="Times New Roman" w:cs="Times New Roman"/>
                <w:b/>
                <w:iCs/>
                <w:sz w:val="14"/>
              </w:rPr>
              <w:t>Brier</w:t>
            </w:r>
          </w:p>
        </w:tc>
      </w:tr>
      <w:tr w:rsidR="000959B0" w14:paraId="21DC8DA5" w14:textId="77777777" w:rsidTr="000959B0">
        <w:trPr>
          <w:cantSplit/>
        </w:trPr>
        <w:tc>
          <w:tcPr>
            <w:tcW w:w="1872" w:type="dxa"/>
            <w:vAlign w:val="center"/>
          </w:tcPr>
          <w:p w14:paraId="716978EE" w14:textId="2871ED92"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7651443C" w14:textId="35B3C7D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26B3A2B7" w14:textId="4D05653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4761621" w14:textId="63096D2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59.42</w:t>
            </w:r>
          </w:p>
        </w:tc>
        <w:tc>
          <w:tcPr>
            <w:tcW w:w="1123" w:type="dxa"/>
            <w:vAlign w:val="center"/>
          </w:tcPr>
          <w:p w14:paraId="513BCD0C" w14:textId="7BACB65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51.40</w:t>
            </w:r>
          </w:p>
        </w:tc>
        <w:tc>
          <w:tcPr>
            <w:tcW w:w="1030" w:type="dxa"/>
            <w:vAlign w:val="center"/>
          </w:tcPr>
          <w:p w14:paraId="7E36361F" w14:textId="2BDC5DF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0.074</w:t>
            </w:r>
          </w:p>
        </w:tc>
        <w:tc>
          <w:tcPr>
            <w:tcW w:w="1030" w:type="dxa"/>
            <w:vAlign w:val="center"/>
          </w:tcPr>
          <w:p w14:paraId="00C751A1" w14:textId="400E448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0.502</w:t>
            </w:r>
          </w:p>
        </w:tc>
        <w:tc>
          <w:tcPr>
            <w:tcW w:w="1310" w:type="dxa"/>
            <w:vAlign w:val="center"/>
          </w:tcPr>
          <w:p w14:paraId="79934575" w14:textId="7E67701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7C495E3F" w14:textId="77777777" w:rsidTr="000959B0">
        <w:trPr>
          <w:cantSplit/>
        </w:trPr>
        <w:tc>
          <w:tcPr>
            <w:tcW w:w="1872" w:type="dxa"/>
            <w:vAlign w:val="center"/>
          </w:tcPr>
          <w:p w14:paraId="2532C6CA" w14:textId="6144110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w:t>
            </w:r>
          </w:p>
        </w:tc>
        <w:tc>
          <w:tcPr>
            <w:tcW w:w="1123" w:type="dxa"/>
            <w:vAlign w:val="center"/>
          </w:tcPr>
          <w:p w14:paraId="2800F0AD" w14:textId="0B4DF7F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471DE6A7" w14:textId="492E579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1266B49" w14:textId="11E3BAD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52.90</w:t>
            </w:r>
          </w:p>
        </w:tc>
        <w:tc>
          <w:tcPr>
            <w:tcW w:w="1123" w:type="dxa"/>
            <w:vAlign w:val="center"/>
          </w:tcPr>
          <w:p w14:paraId="19EEA876" w14:textId="6883824D"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54.42</w:t>
            </w:r>
          </w:p>
        </w:tc>
        <w:tc>
          <w:tcPr>
            <w:tcW w:w="1030" w:type="dxa"/>
            <w:vAlign w:val="center"/>
          </w:tcPr>
          <w:p w14:paraId="73C181A5" w14:textId="182AA6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0.088</w:t>
            </w:r>
          </w:p>
        </w:tc>
        <w:tc>
          <w:tcPr>
            <w:tcW w:w="1030" w:type="dxa"/>
            <w:vAlign w:val="center"/>
          </w:tcPr>
          <w:p w14:paraId="61977B6B" w14:textId="374836F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0.533</w:t>
            </w:r>
          </w:p>
        </w:tc>
        <w:tc>
          <w:tcPr>
            <w:tcW w:w="1310" w:type="dxa"/>
            <w:vAlign w:val="center"/>
          </w:tcPr>
          <w:p w14:paraId="0B66A80B" w14:textId="6871D44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70EA1950" w14:textId="77777777" w:rsidTr="000959B0">
        <w:trPr>
          <w:cantSplit/>
        </w:trPr>
        <w:tc>
          <w:tcPr>
            <w:tcW w:w="1872" w:type="dxa"/>
            <w:vAlign w:val="center"/>
          </w:tcPr>
          <w:p w14:paraId="25B19631" w14:textId="71E9C89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28DBA0A8" w14:textId="30C11B0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0CAF121E" w14:textId="7B37A59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3356CE82" w14:textId="20D8E3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243D2141" w14:textId="3BA26E4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58316DCA" w14:textId="616DC0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7B4DBA8B" w14:textId="4A81FAB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0.494</w:t>
            </w:r>
          </w:p>
        </w:tc>
        <w:tc>
          <w:tcPr>
            <w:tcW w:w="1310" w:type="dxa"/>
            <w:vAlign w:val="center"/>
          </w:tcPr>
          <w:p w14:paraId="6FFA505E" w14:textId="777BBEC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53EEDFD" w14:textId="77777777" w:rsidTr="000959B0">
        <w:trPr>
          <w:cantSplit/>
        </w:trPr>
        <w:tc>
          <w:tcPr>
            <w:tcW w:w="1872" w:type="dxa"/>
            <w:vAlign w:val="center"/>
          </w:tcPr>
          <w:p w14:paraId="5FD9F2F1" w14:textId="6152CE0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CNN</w:t>
            </w:r>
          </w:p>
        </w:tc>
        <w:tc>
          <w:tcPr>
            <w:tcW w:w="1123" w:type="dxa"/>
            <w:vAlign w:val="center"/>
          </w:tcPr>
          <w:p w14:paraId="474A0282" w14:textId="40B5E3F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7D4F11D6" w14:textId="1CF842C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5D6C2C10" w14:textId="7B263B9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9E33C41" w14:textId="04C8AFE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3D8B464E" w14:textId="2211E70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2314FD1F" w14:textId="23D989E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0.496</w:t>
            </w:r>
          </w:p>
        </w:tc>
        <w:tc>
          <w:tcPr>
            <w:tcW w:w="1310" w:type="dxa"/>
            <w:vAlign w:val="center"/>
          </w:tcPr>
          <w:p w14:paraId="773F5F7B" w14:textId="6B8D4FB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57347576" w14:textId="77777777" w:rsidTr="000959B0">
        <w:trPr>
          <w:cantSplit/>
        </w:trPr>
        <w:tc>
          <w:tcPr>
            <w:tcW w:w="1872" w:type="dxa"/>
            <w:vAlign w:val="center"/>
          </w:tcPr>
          <w:p w14:paraId="6A3CE9EF" w14:textId="273915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3DE76CA9" w14:textId="53FB85E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2406C61" w14:textId="734DC38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C8AAF0A" w14:textId="09537B4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5F69D864" w14:textId="62ADD75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A9F5249" w14:textId="422A2DE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4D24B22E" w14:textId="673074F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0.517</w:t>
            </w:r>
          </w:p>
        </w:tc>
        <w:tc>
          <w:tcPr>
            <w:tcW w:w="1310" w:type="dxa"/>
            <w:vAlign w:val="center"/>
          </w:tcPr>
          <w:p w14:paraId="13D46BB3" w14:textId="490558AA"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3D78087B" w14:textId="77777777" w:rsidTr="000959B0">
        <w:trPr>
          <w:cantSplit/>
        </w:trPr>
        <w:tc>
          <w:tcPr>
            <w:tcW w:w="1872" w:type="dxa"/>
            <w:vAlign w:val="center"/>
          </w:tcPr>
          <w:p w14:paraId="128B1BFE" w14:textId="6D275F86"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w:t>
            </w:r>
          </w:p>
        </w:tc>
        <w:tc>
          <w:tcPr>
            <w:tcW w:w="1123" w:type="dxa"/>
            <w:vAlign w:val="center"/>
          </w:tcPr>
          <w:p w14:paraId="7DBD96DE" w14:textId="1A889BD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6D51BA4E" w14:textId="05CFE3E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736545AF" w14:textId="1367938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49.28</w:t>
            </w:r>
          </w:p>
        </w:tc>
        <w:tc>
          <w:tcPr>
            <w:tcW w:w="1123" w:type="dxa"/>
            <w:vAlign w:val="center"/>
          </w:tcPr>
          <w:p w14:paraId="0F2F3474" w14:textId="07935DC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52.11</w:t>
            </w:r>
          </w:p>
        </w:tc>
        <w:tc>
          <w:tcPr>
            <w:tcW w:w="1030" w:type="dxa"/>
            <w:vAlign w:val="center"/>
          </w:tcPr>
          <w:p w14:paraId="20FBEC95" w14:textId="3B80D2C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0.044</w:t>
            </w:r>
          </w:p>
        </w:tc>
        <w:tc>
          <w:tcPr>
            <w:tcW w:w="1030" w:type="dxa"/>
            <w:vAlign w:val="center"/>
          </w:tcPr>
          <w:p w14:paraId="7BAFCA92" w14:textId="5822634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0.485</w:t>
            </w:r>
          </w:p>
        </w:tc>
        <w:tc>
          <w:tcPr>
            <w:tcW w:w="1310" w:type="dxa"/>
            <w:vAlign w:val="center"/>
          </w:tcPr>
          <w:p w14:paraId="21FB36F5" w14:textId="3A47458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0.250</w:t>
            </w:r>
          </w:p>
        </w:tc>
      </w:tr>
      <w:tr w:rsidR="000959B0" w14:paraId="19E52125" w14:textId="77777777" w:rsidTr="000959B0">
        <w:trPr>
          <w:cantSplit/>
        </w:trPr>
        <w:tc>
          <w:tcPr>
            <w:tcW w:w="1872" w:type="dxa"/>
            <w:vAlign w:val="center"/>
          </w:tcPr>
          <w:p w14:paraId="40EA285B" w14:textId="5B422DDE"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721B0472" w14:textId="14E68CD8"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11867E01" w14:textId="6BB60339"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6F9CB81D" w14:textId="40A689D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57.97</w:t>
            </w:r>
          </w:p>
        </w:tc>
        <w:tc>
          <w:tcPr>
            <w:tcW w:w="1123" w:type="dxa"/>
            <w:vAlign w:val="center"/>
          </w:tcPr>
          <w:p w14:paraId="6A5022E0" w14:textId="500382F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51.20</w:t>
            </w:r>
          </w:p>
        </w:tc>
        <w:tc>
          <w:tcPr>
            <w:tcW w:w="1030" w:type="dxa"/>
            <w:vAlign w:val="center"/>
          </w:tcPr>
          <w:p w14:paraId="1F56CC69" w14:textId="31C4AAA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0.038</w:t>
            </w:r>
          </w:p>
        </w:tc>
        <w:tc>
          <w:tcPr>
            <w:tcW w:w="1030" w:type="dxa"/>
            <w:vAlign w:val="center"/>
          </w:tcPr>
          <w:p w14:paraId="5FEC943C" w14:textId="60D3AFD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0.512</w:t>
            </w:r>
          </w:p>
        </w:tc>
        <w:tc>
          <w:tcPr>
            <w:tcW w:w="1310" w:type="dxa"/>
            <w:vAlign w:val="center"/>
          </w:tcPr>
          <w:p w14:paraId="11FFB590" w14:textId="340DCFE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486425D1" w14:textId="77777777" w:rsidTr="000959B0">
        <w:trPr>
          <w:cantSplit/>
        </w:trPr>
        <w:tc>
          <w:tcPr>
            <w:tcW w:w="1872" w:type="dxa"/>
            <w:vAlign w:val="center"/>
          </w:tcPr>
          <w:p w14:paraId="06353507" w14:textId="10ECBF7C"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LSTM-Attention</w:t>
            </w:r>
          </w:p>
        </w:tc>
        <w:tc>
          <w:tcPr>
            <w:tcW w:w="1123" w:type="dxa"/>
            <w:vAlign w:val="center"/>
          </w:tcPr>
          <w:p w14:paraId="424003F1" w14:textId="657ABC3B"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CE40972" w14:textId="3094088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434B2C89" w14:textId="3A1764B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55.80</w:t>
            </w:r>
          </w:p>
        </w:tc>
        <w:tc>
          <w:tcPr>
            <w:tcW w:w="1123" w:type="dxa"/>
            <w:vAlign w:val="center"/>
          </w:tcPr>
          <w:p w14:paraId="35F8609B" w14:textId="2E7F227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49.61</w:t>
            </w:r>
          </w:p>
        </w:tc>
        <w:tc>
          <w:tcPr>
            <w:tcW w:w="1030" w:type="dxa"/>
            <w:vAlign w:val="center"/>
          </w:tcPr>
          <w:p w14:paraId="149EF62C" w14:textId="5E58DC61"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-0.011</w:t>
            </w:r>
          </w:p>
        </w:tc>
        <w:tc>
          <w:tcPr>
            <w:tcW w:w="1030" w:type="dxa"/>
            <w:vAlign w:val="center"/>
          </w:tcPr>
          <w:p w14:paraId="3156C3FC" w14:textId="120B703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0.507</w:t>
            </w:r>
          </w:p>
        </w:tc>
        <w:tc>
          <w:tcPr>
            <w:tcW w:w="1310" w:type="dxa"/>
            <w:vAlign w:val="center"/>
          </w:tcPr>
          <w:p w14:paraId="68A977C1" w14:textId="5BDC0AC6"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6E105CF5" w14:textId="77777777" w:rsidTr="000959B0">
        <w:trPr>
          <w:cantSplit/>
        </w:trPr>
        <w:tc>
          <w:tcPr>
            <w:tcW w:w="1872" w:type="dxa"/>
            <w:vAlign w:val="center"/>
          </w:tcPr>
          <w:p w14:paraId="450BA2AF" w14:textId="23963B41"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6A6CF2A8" w14:textId="556BE09D"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Multitask</w:t>
            </w:r>
          </w:p>
        </w:tc>
        <w:tc>
          <w:tcPr>
            <w:tcW w:w="655" w:type="dxa"/>
            <w:vAlign w:val="center"/>
          </w:tcPr>
          <w:p w14:paraId="70A60420" w14:textId="2694C320"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F92B73" w14:textId="340E5F2B"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11049CF1" w14:textId="2665C578"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79058BEF" w14:textId="2955660F"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64D64D7A" w14:textId="4C3922A4"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0.515</w:t>
            </w:r>
          </w:p>
        </w:tc>
        <w:tc>
          <w:tcPr>
            <w:tcW w:w="1310" w:type="dxa"/>
            <w:vAlign w:val="center"/>
          </w:tcPr>
          <w:p w14:paraId="0C6732B1" w14:textId="46F2DB93"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r w:rsidR="000959B0" w14:paraId="202B2236" w14:textId="77777777" w:rsidTr="000959B0">
        <w:trPr>
          <w:cantSplit/>
        </w:trPr>
        <w:tc>
          <w:tcPr>
            <w:tcW w:w="1872" w:type="dxa"/>
            <w:vAlign w:val="center"/>
          </w:tcPr>
          <w:p w14:paraId="04CB06BD" w14:textId="6DDE62C0"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LSTM-CNN-Attention</w:t>
            </w:r>
          </w:p>
        </w:tc>
        <w:tc>
          <w:tcPr>
            <w:tcW w:w="1123" w:type="dxa"/>
            <w:vAlign w:val="center"/>
          </w:tcPr>
          <w:p w14:paraId="7BCE2B24" w14:textId="077F637A" w:rsidR="000959B0" w:rsidRPr="000959B0" w:rsidRDefault="000959B0" w:rsidP="000959B0">
            <w:pPr>
              <w:pStyle w:val="BodyText"/>
              <w:spacing w:before="0" w:after="0"/>
              <w:rPr>
                <w:rFonts w:ascii="Times New Roman" w:hAnsi="Times New Roman" w:cs="Times New Roman"/>
                <w:iCs/>
                <w:sz w:val="14"/>
              </w:rPr>
            </w:pPr>
            <w:r w:rsidRPr="000959B0">
              <w:rPr>
                <w:rFonts w:ascii="Times New Roman" w:hAnsi="Times New Roman" w:cs="Times New Roman"/>
                <w:iCs/>
                <w:sz w:val="14"/>
              </w:rPr>
              <w:t>Direct</w:t>
            </w:r>
          </w:p>
        </w:tc>
        <w:tc>
          <w:tcPr>
            <w:tcW w:w="655" w:type="dxa"/>
            <w:vAlign w:val="center"/>
          </w:tcPr>
          <w:p w14:paraId="2F5A03E8" w14:textId="3D17FF62"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138</w:t>
            </w:r>
          </w:p>
        </w:tc>
        <w:tc>
          <w:tcPr>
            <w:tcW w:w="1217" w:type="dxa"/>
            <w:vAlign w:val="center"/>
          </w:tcPr>
          <w:p w14:paraId="2B54B0A0" w14:textId="5CAD380E"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58.70</w:t>
            </w:r>
          </w:p>
        </w:tc>
        <w:tc>
          <w:tcPr>
            <w:tcW w:w="1123" w:type="dxa"/>
            <w:vAlign w:val="center"/>
          </w:tcPr>
          <w:p w14:paraId="6B08BFB1" w14:textId="7C4C48A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50.00</w:t>
            </w:r>
          </w:p>
        </w:tc>
        <w:tc>
          <w:tcPr>
            <w:tcW w:w="1030" w:type="dxa"/>
            <w:vAlign w:val="center"/>
          </w:tcPr>
          <w:p w14:paraId="49AED3C6" w14:textId="158CFBA7"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0.000</w:t>
            </w:r>
          </w:p>
        </w:tc>
        <w:tc>
          <w:tcPr>
            <w:tcW w:w="1030" w:type="dxa"/>
            <w:vAlign w:val="center"/>
          </w:tcPr>
          <w:p w14:paraId="52FF311D" w14:textId="5C9EF13C"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0.484</w:t>
            </w:r>
          </w:p>
        </w:tc>
        <w:tc>
          <w:tcPr>
            <w:tcW w:w="1310" w:type="dxa"/>
            <w:vAlign w:val="center"/>
          </w:tcPr>
          <w:p w14:paraId="230C0BBD" w14:textId="58997425" w:rsidR="000959B0" w:rsidRPr="000959B0" w:rsidRDefault="000959B0" w:rsidP="000959B0">
            <w:pPr>
              <w:pStyle w:val="BodyText"/>
              <w:spacing w:before="0" w:after="0"/>
              <w:jc w:val="center"/>
              <w:rPr>
                <w:rFonts w:ascii="Times New Roman" w:hAnsi="Times New Roman" w:cs="Times New Roman"/>
                <w:iCs/>
                <w:sz w:val="14"/>
              </w:rPr>
            </w:pPr>
            <w:r w:rsidRPr="000959B0">
              <w:rPr>
                <w:rFonts w:ascii="Times New Roman" w:hAnsi="Times New Roman" w:cs="Times New Roman"/>
                <w:iCs/>
                <w:sz w:val="14"/>
              </w:rPr>
              <w:t>0.249</w:t>
            </w:r>
          </w:p>
        </w:tc>
      </w:tr>
    </w:tbl>
    <w:p w14:paraId="56AA2855" w14:textId="13F1E498" w:rsidR="00511544" w:rsidRPr="000829A5" w:rsidRDefault="00511544" w:rsidP="009960B6">
      <w:pPr>
        <w:pStyle w:val="Caption"/>
        <w:spacing w:before="40" w:after="120" w:line="240" w:lineRule="auto"/>
        <w:rPr>
          <w:rFonts w:ascii="Times New Roman" w:hAnsi="Times New Roman" w:cs="Times New Roman"/>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All objectives used the validation-gate fallback threshold 0.50. The positive-class share was 58.70%. This is a source-contingent partial year, not a full-year or live deployment result.</w:t>
      </w:r>
    </w:p>
    <w:p w14:paraId="5EEE76FD" w14:textId="2174B2FE" w:rsidR="00E62A18" w:rsidRDefault="00511544"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The complete 10-basis-point economic grid is exploratory. Its best observed cell</w:t>
      </w:r>
      <w:r>
        <w:rPr>
          <w:rFonts w:ascii="Times New Roman" w:hAnsi="Times New Roman" w:cs="Times New Roman"/>
          <w:sz w:val="24"/>
          <w:szCs w:val="24"/>
        </w:rPr>
        <w:t xml:space="preserve"> </w:t>
      </w:r>
      <w:r w:rsidRPr="000829A5">
        <w:rPr>
          <w:rFonts w:ascii="Times New Roman" w:hAnsi="Times New Roman" w:cs="Times New Roman"/>
          <w:sz w:val="24"/>
          <w:szCs w:val="24"/>
        </w:rPr>
        <w:t>direct LSTM–CNN, long/flat—had 34.31% coverage, 8.55% net cumulative return, annualized Sharpe 1.75, maximum drawdown −3.54% and break-even cost 27.91 basis points over 137 executable rows. Its Deflated-Sharpe probability was only 0.441, below 0.5. This short, selected result is therefore reported as a diagnostic sensitivity, not evidence of profitability or deployment readiness</w:t>
      </w:r>
    </w:p>
    <w:p w14:paraId="11EFBC17" w14:textId="0C3DD46B" w:rsidR="0034462D" w:rsidRPr="0034462D" w:rsidRDefault="0034462D" w:rsidP="0034462D">
      <w:pPr>
        <w:keepNext/>
        <w:keepLines/>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lastRenderedPageBreak/>
        <w:t xml:space="preserve">The majority-side failures explain why raw accuracy and directional skill diverged. Balanced accuracy averages sensitivity and specificity, so a classifier that always predicts Up has balanced accuracy of 0.50 even when the Up share makes its raw accuracy appear high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{"citationID":"f497561c","properties":{"unsorted":false,"formattedCitation":"(Brodersen et al., 2010)","plainCitation":"(Brodersen et al., 2010)","noteIndex":0},"citationItems":[{"id":23,"uris":["http://zotero.org/users/local/DPQnJvcs/items/MEQTKLIC"],"itemData":{"id":23,"type":"paper-conference","container-title":"2010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M."}],"issued":{"date-parts":[["2010"]]}}}],"schema":"https://github.com/citation-style-language/schema/raw/master/csl-citation.json"} </w:instrText>
      </w:r>
      <w:r>
        <w:rPr>
          <w:rFonts w:ascii="Times New Roman" w:eastAsia="Times New Roman" w:hAnsi="Times New Roman" w:cs="Times New Roman"/>
          <w:b/>
          <w:sz w:val="24"/>
          <w:szCs w:val="24"/>
        </w:rPr>
        <w:fldChar w:fldCharType="separate"/>
      </w:r>
      <w:r w:rsidRPr="0034462D">
        <w:rPr>
          <w:rFonts w:ascii="Times New Roman" w:hAnsi="Times New Roman" w:cs="Times New Roman"/>
          <w:sz w:val="24"/>
        </w:rPr>
        <w:t>(Brodersen et al., 2010)</w:t>
      </w:r>
      <w:r>
        <w:rPr>
          <w:rFonts w:ascii="Times New Roman" w:eastAsia="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LSTM multitask objective illustrates the mechanism: it reached 59.42% raw accuracy but only 51.40% balanced accuracy and AUC 0.502, suggesting that the auxiliary return head shifted the decision boundary toward the dominant class without improving ranking. Direct LSTM had lower raw accuracy but higher balanced accuracy and AUC. Thus, an auxiliary regression loss can improve a headline metric while weakening two-sided discrimination under distribution shift. The Deflated-Sharpe probability of 0.441 for the selected economic cell is consistent with warnings about </w:t>
      </w:r>
      <w:proofErr w:type="spellStart"/>
      <w:r w:rsidRPr="0034462D">
        <w:rPr>
          <w:rFonts w:ascii="Times New Roman" w:hAnsi="Times New Roman" w:cs="Times New Roman"/>
          <w:bCs/>
          <w:color w:val="000000"/>
          <w:sz w:val="24"/>
          <w:szCs w:val="24"/>
        </w:rPr>
        <w:t>backtest</w:t>
      </w:r>
      <w:proofErr w:type="spellEnd"/>
      <w:r w:rsidRPr="0034462D">
        <w:rPr>
          <w:rFonts w:ascii="Times New Roman" w:hAnsi="Times New Roman" w:cs="Times New Roman"/>
          <w:bCs/>
          <w:color w:val="000000"/>
          <w:sz w:val="24"/>
          <w:szCs w:val="24"/>
        </w:rPr>
        <w:t xml:space="preserve"> selection and multiplicity; it supports retaining that result as a diagnostic rather than a profitability claim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{"citationID":"726227fc","properties":{"unsorted":false,"formattedCitation":"(Arnott et al., 2019; Bailey \u0026 López de Prado, 2014; Olorunnimbe \u0026 Viktor, 2023)","plainCitation":"(Arnott et al., 2019; Bailey \u0026 López de Prado, 2014; Olorunnimbe \u0026 Viktor, 2023)","noteIndex":0},"citationItems":[{"id":42,"uris":["http://zotero.org/users/local/DPQnJvcs/items/5GX5ZALM"],"itemData":{"id":42,"type":"article-journal","container-title":"The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26,"uris":["http://zotero.org/users/local/DPQnJvcs/items/9Q3W9XPN"],"itemData":{"id":26,"type":"article-journal","container-title":"The Journal of Portfolio Management","DOI":"10.3905/jpm.2014.40.5.094","issue":"5","page":"94–107","title":"The Deflated Sharpe Ratio: Correcting for Selection Bias, Backtest Overfitting, and Non-Normality","volume":"40","author":[{"family":"Bailey","given":"David H."},{"family":"López de Prado","given":"Marcos"}],"issued":{"date-parts":[["2014"]]}}}],"schema":"https://github.com/citation-style-language/schema/raw/master/csl-citation.json"}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(Arnott et al., 2019; Bailey &amp; López de Prado, 2014; Olorunnimbe &amp; Viktor, 2023)</w:t>
      </w:r>
      <w:r>
        <w:rPr>
          <w:rFonts w:ascii="Times New Roman" w:hAnsi="Times New Roman" w:cs="Times New Roman"/>
          <w:b/>
          <w:sz w:val="24"/>
          <w:szCs w:val="24"/>
        </w:rPr>
        <w:fldChar w:fldCharType="end"/>
      </w:r>
    </w:p>
    <w:p w14:paraId="1DF141AC" w14:textId="2C00B68F" w:rsidR="00511544" w:rsidRPr="00911B2B" w:rsidRDefault="00511544" w:rsidP="009960B6">
      <w:pPr>
        <w:pStyle w:val="Heading2"/>
        <w:keepNext/>
        <w:keepLines/>
        <w:spacing w:before="180" w:after="60" w:line="240" w:lineRule="auto"/>
        <w:rPr>
          <w:rFonts w:ascii="Times New Roman" w:hAnsi="Times New Roman"/>
          <w:b/>
          <w:bCs/>
          <w:sz w:val="24"/>
          <w:szCs w:val="24"/>
        </w:rPr>
        <w:jc w:val="left"/>
      </w:pPr>
      <w:r>
        <w:rPr>
          <w:rFonts w:ascii="Times New Roman" w:hAnsi="Times New Roman" w:cs="Times New Roman"/>
          <w:sz w:val="24"/>
          <w:szCs w:val="24"/>
          <w:b/>
          <w:bCs/>
        </w:rPr>
        <w:t>4.6 SET100 Transfer</w:t>
      </w:r>
    </w:p>
    <w:p w14:paraId="146D0AE3" w14:textId="6CE0E7B9"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transfer retained the same 122 numerical features, frozen windows, seeds, epochs and 2022-2025 outer years as the matched SET50 global numerical comparator. Features, VMD and scaling were reconstructed within each SET100 fold; no SET100 </w:t>
      </w:r>
      <w:proofErr w:type="gramStart"/>
      <w:r w:rsidRPr="00916F49">
        <w:rPr>
          <w:rFonts w:ascii="Times New Roman" w:hAnsi="Times New Roman" w:cs="Times New Roman"/>
          <w:sz w:val="24"/>
          <w:szCs w:val="24"/>
        </w:rPr>
        <w:t>retuning</w:t>
      </w:r>
      <w:proofErr w:type="gramEnd"/>
      <w:r w:rsidRPr="00916F49">
        <w:rPr>
          <w:rFonts w:ascii="Times New Roman" w:hAnsi="Times New Roman" w:cs="Times New Roman"/>
          <w:sz w:val="24"/>
          <w:szCs w:val="24"/>
        </w:rPr>
        <w:t xml:space="preserve">, </w:t>
      </w:r>
      <w:proofErr w:type="spellStart"/>
      <w:r w:rsidRPr="00916F49">
        <w:rPr>
          <w:rFonts w:ascii="Times New Roman" w:hAnsi="Times New Roman" w:cs="Times New Roman"/>
          <w:sz w:val="24"/>
          <w:szCs w:val="24"/>
        </w:rPr>
        <w:t>Optuna</w:t>
      </w:r>
      <w:proofErr w:type="spellEnd"/>
      <w:r w:rsidRPr="00916F49">
        <w:rPr>
          <w:rFonts w:ascii="Times New Roman" w:hAnsi="Times New Roman" w:cs="Times New Roman"/>
          <w:sz w:val="24"/>
          <w:szCs w:val="24"/>
        </w:rPr>
        <w:t xml:space="preserve"> search, early stopping, or model exclusion was allowed. All 100 planned fits (five models x four years x five seeds) completed.</w:t>
      </w:r>
    </w:p>
    <w:p w14:paraId="2583C6CB" w14:textId="6D84E8EF"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SET100 news was excluded because a historically point-in-time constituent and news universe was unavailable; adding SET50-oriented news would have made the comparison asymmetric. The matched SET50 arm is therefore the Full-TA+VMD global numerical comparator rather than the later integrated regime-news arm. Because SET50 is nested within SET100 and both share the exchange, macro regimes, period and many constituents, this is a same-exchange breadth transfer rather than external-market validation </w:t>
      </w:r>
      <w:r w:rsidR="001B5519">
        <w:rPr>
          <w:rFonts w:ascii="Times New Roman" w:hAnsi="Times New Roman" w:cs="Times New Roman"/>
          <w:b/>
          <w:sz w:val="24"/>
          <w:szCs w:val="24"/>
        </w:rPr>
        <w:fldChar w:fldCharType="begin"/>
      </w:r>
      <w:r w:rsidR="001B5519">
        <w:rPr>
          <w:rFonts w:ascii="Times New Roman" w:hAnsi="Times New Roman" w:cs="Times New Roman"/>
          <w:b/>
          <w:sz w:val="24"/>
          <w:szCs w:val="24"/>
        </w:rPr>
        <w:instrText xml:space="preserve"> ADDIN ZOTERO_ITEM CSL_CITATION {"citationID":"V9QulbLX","properties":{"unsorted":false,"formattedCitation":"(The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1B5519">
        <w:rPr>
          <w:rFonts w:ascii="Times New Roman" w:hAnsi="Times New Roman" w:cs="Times New Roman"/>
          <w:b/>
          <w:sz w:val="24"/>
          <w:szCs w:val="24"/>
        </w:rPr>
        <w:fldChar w:fldCharType="separate"/>
      </w:r>
      <w:r w:rsidR="001B5519" w:rsidRPr="001B5519">
        <w:rPr>
          <w:rFonts w:ascii="Times New Roman" w:hAnsi="Times New Roman" w:cs="Times New Roman"/>
          <w:sz w:val="24"/>
        </w:rPr>
        <w:t>(The Stock Exchange of Thailand, n.d.-a, n.d.-b)</w:t>
      </w:r>
      <w:r w:rsidR="001B5519">
        <w:rPr>
          <w:rFonts w:ascii="Times New Roman" w:hAnsi="Times New Roman" w:cs="Times New Roman"/>
          <w:b/>
          <w:sz w:val="24"/>
          <w:szCs w:val="24"/>
        </w:rPr>
        <w:fldChar w:fldCharType="end"/>
      </w:r>
    </w:p>
    <w:p w14:paraId="3C975960" w14:textId="54DFB731" w:rsidR="00511544" w:rsidRDefault="00124AA7" w:rsidP="009960B6">
      <w:pPr>
        <w:spacing w:line="360" w:lineRule="auto"/>
        <w:jc w:val="both"/>
        <w:rPr>
          <w:rFonts w:ascii="Times New Roman" w:hAnsi="Times New Roman" w:cs="Times New Roman"/>
          <w:b/>
          <w:bCs/>
          <w:sz w:val="24"/>
          <w:szCs w:val="24"/>
        </w:rPr>
      </w:pPr>
      <w:r w:rsidRPr="000829A5">
        <w:rPr>
          <w:rFonts w:ascii="Times New Roman" w:hAnsi="Times New Roman" w:cs="Times New Roman"/>
          <w:sz w:val="24"/>
          <w:szCs w:val="24"/>
        </w:rPr>
        <w:t>Mean balanced accuracy declined on SET100 for all five architectures by 0.95 to 2.17 percentage points (Table 5B). CNN had the highest SET100 balanced accuracy at 51.89%, followed by LSTM at 51.63%; LSTM–CNN–Attention was close to chance at 50.03%. No paired cross-index difference survived Holm adjustment. Although CNN was lower on SET100 in all four years and its descriptive interval excluded zero, the exact p-value was 0.125 and the Holm p-value was 0.625. It is not a statistically established degradation</w:t>
      </w:r>
      <w:r>
        <w:rPr>
          <w:rFonts w:ascii="Times New Roman" w:hAnsi="Times New Roman" w:cs="Times New Roman"/>
          <w:sz w:val="24"/>
          <w:szCs w:val="24"/>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{"citationID":"c3a01422ca","properties":{"unsorted":false,"formattedCitation":"(Bergmeir et al., 2018; Olorunnimbe &amp; Viktor, 2023; Sezer et al., 2020)","plainCitation":"(Bergmeir et al., 2018; Olorunnimbe &amp; Viktor, 2023; Sezer et al., 2020)","noteIndex":0},"citationItems":[{"id":24,"uris":["http://zotero.org/users/local/DPQnJvcs/items/HFFD8978"],"itemData":{"id":24,"type":"article-journal","container-title":"Computational Statistics &amp;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(Bergmeir et al., 2018; Olorunnimbe &amp; Viktor, 2023; Sezer et al., 2020)</w:t>
      </w:r>
      <w:r w:rsidR="00A84458">
        <w:rPr>
          <w:rFonts w:ascii="Times New Roman" w:hAnsi="Times New Roman" w:cs="Times New Roman"/>
          <w:sz w:val="24"/>
          <w:szCs w:val="24"/>
        </w:rPr>
        <w:fldChar w:fldCharType="end"/>
      </w:r>
    </w:p>
    <w:p w14:paraId="5ED820CA" w14:textId="77777777" w:rsidR="004A3C24" w:rsidRPr="004A3C24" w:rsidRDefault="004A3C24" w:rsidP="009960B6">
      <w:pPr>
        <w:pStyle w:val="Caption"/>
        <w:keepNext/>
        <w:keepLines/>
        <w:spacing w:before="60" w:after="120" w:line="240" w:lineRule="auto"/>
        <w:rPr>
          <w:rFonts w:ascii="Times New Roman" w:hAnsi="Times New Roman" w:cs="Times New Roman"/>
          <w:iCs/>
          <w:sz w:val="24"/>
          <w:szCs w:val="24"/>
        </w:rPr>
      </w:pPr>
      <w:r>
        <w:rPr>
          <w:rFonts w:ascii="Times New Roman" w:hAnsi="Times New Roman" w:cs="Times New Roman"/>
          <w:sz w:val="20"/>
          <w:szCs w:val="20"/>
          <w:b/>
          <w:bCs/>
        </w:rPr>
        <w:t>Table 5B.</w:t>
      </w:r>
      <w:r>
        <w:rPr>
          <w:rFonts w:ascii="Times New Roman" w:hAnsi="Times New Roman" w:cs="Times New Roman"/>
          <w:sz w:val="20"/>
          <w:szCs w:val="20"/>
        </w:rPr>
        <w:t xml:space="preserve"> Frozen SET100 same-exchange numerical transfer. SET100 uses the same 122 numerical features, architecture-specific windows, seeds, epochs and 2022-2025 outer years as the matched SET50 comparator, without SET100 retuning.</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2153"/>
        <w:gridCol w:w="655"/>
        <w:gridCol w:w="1404"/>
        <w:gridCol w:w="1404"/>
        <w:gridCol w:w="2714"/>
        <w:gridCol w:w="1030"/>
      </w:tblGrid>
      <w:tr w:rsidR="000959B0" w14:paraId="79C14961" w14:textId="77777777" w:rsidTr="000959B0">
        <w:trPr>
          <w:cantSplit/>
          <w:tblHeader/>
        </w:trPr>
        <w:tc>
          <w:tcPr>
            <w:tcW w:w="2153" w:type="dxa"/>
            <w:shd w:val="clear" w:color="auto" w:fill="E6E6E6"/>
            <w:vAlign w:val="center"/>
          </w:tcPr>
          <w:p w14:paraId="12C08EDD" w14:textId="771F9C90"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Architecture</w:t>
            </w:r>
          </w:p>
        </w:tc>
        <w:tc>
          <w:tcPr>
            <w:tcW w:w="655" w:type="dxa"/>
            <w:shd w:val="clear" w:color="auto" w:fill="E6E6E6"/>
            <w:vAlign w:val="center"/>
          </w:tcPr>
          <w:p w14:paraId="00356717" w14:textId="12C63055"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W</w:t>
            </w:r>
          </w:p>
        </w:tc>
        <w:tc>
          <w:tcPr>
            <w:tcW w:w="1404" w:type="dxa"/>
            <w:shd w:val="clear" w:color="auto" w:fill="E6E6E6"/>
            <w:vAlign w:val="center"/>
          </w:tcPr>
          <w:p w14:paraId="1BC096AE" w14:textId="5838F5A2"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SET50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1404" w:type="dxa"/>
            <w:shd w:val="clear" w:color="auto" w:fill="E6E6E6"/>
            <w:vAlign w:val="center"/>
          </w:tcPr>
          <w:p w14:paraId="466142F7" w14:textId="1C343001"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 xml:space="preserve">SET100 </w:t>
            </w:r>
            <w:proofErr w:type="spellStart"/>
            <w:r w:rsidRPr="000959B0">
              <w:rPr>
                <w:rFonts w:ascii="Times New Roman" w:hAnsi="Times New Roman" w:cs="Times New Roman"/>
                <w:b/>
                <w:iCs/>
                <w:sz w:val="15"/>
                <w:szCs w:val="24"/>
              </w:rPr>
              <w:t>BAcc</w:t>
            </w:r>
            <w:proofErr w:type="spellEnd"/>
            <w:r w:rsidRPr="000959B0">
              <w:rPr>
                <w:rFonts w:ascii="Times New Roman" w:hAnsi="Times New Roman" w:cs="Times New Roman"/>
                <w:b/>
                <w:iCs/>
                <w:sz w:val="15"/>
                <w:szCs w:val="24"/>
              </w:rPr>
              <w:t xml:space="preserve"> (%)</w:t>
            </w:r>
          </w:p>
        </w:tc>
        <w:tc>
          <w:tcPr>
            <w:tcW w:w="2714" w:type="dxa"/>
            <w:shd w:val="clear" w:color="auto" w:fill="E6E6E6"/>
            <w:vAlign w:val="center"/>
          </w:tcPr>
          <w:p w14:paraId="1C52D6F9" w14:textId="19225C4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Delta pp [95% CI]</w:t>
            </w:r>
          </w:p>
        </w:tc>
        <w:tc>
          <w:tcPr>
            <w:tcW w:w="1030" w:type="dxa"/>
            <w:shd w:val="clear" w:color="auto" w:fill="E6E6E6"/>
            <w:vAlign w:val="center"/>
          </w:tcPr>
          <w:p w14:paraId="310DCEBF" w14:textId="563AAEF6" w:rsidR="000959B0" w:rsidRPr="000959B0" w:rsidRDefault="000959B0" w:rsidP="000959B0">
            <w:pPr>
              <w:spacing w:after="0" w:line="240" w:lineRule="auto"/>
              <w:jc w:val="center"/>
              <w:rPr>
                <w:rFonts w:ascii="Times New Roman" w:hAnsi="Times New Roman" w:cs="Times New Roman"/>
                <w:b/>
                <w:iCs/>
                <w:sz w:val="15"/>
                <w:szCs w:val="24"/>
              </w:rPr>
            </w:pPr>
            <w:r w:rsidRPr="000959B0">
              <w:rPr>
                <w:rFonts w:ascii="Times New Roman" w:hAnsi="Times New Roman" w:cs="Times New Roman"/>
                <w:b/>
                <w:iCs/>
                <w:sz w:val="15"/>
                <w:szCs w:val="24"/>
              </w:rPr>
              <w:t>Holm p</w:t>
            </w:r>
          </w:p>
        </w:tc>
      </w:tr>
      <w:tr w:rsidR="000959B0" w14:paraId="0677E32A" w14:textId="77777777" w:rsidTr="000959B0">
        <w:trPr>
          <w:cantSplit/>
        </w:trPr>
        <w:tc>
          <w:tcPr>
            <w:tcW w:w="2153" w:type="dxa"/>
            <w:vAlign w:val="center"/>
          </w:tcPr>
          <w:p w14:paraId="0728FFD5" w14:textId="245702CA"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w:t>
            </w:r>
          </w:p>
        </w:tc>
        <w:tc>
          <w:tcPr>
            <w:tcW w:w="655" w:type="dxa"/>
            <w:vAlign w:val="center"/>
          </w:tcPr>
          <w:p w14:paraId="4AEB4FF1" w14:textId="3912B6A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w:t>
            </w:r>
          </w:p>
        </w:tc>
        <w:tc>
          <w:tcPr>
            <w:tcW w:w="1404" w:type="dxa"/>
            <w:vAlign w:val="center"/>
          </w:tcPr>
          <w:p w14:paraId="4066A7EB" w14:textId="1DF70D0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53.12</w:t>
            </w:r>
          </w:p>
        </w:tc>
        <w:tc>
          <w:tcPr>
            <w:tcW w:w="1404" w:type="dxa"/>
            <w:vAlign w:val="center"/>
          </w:tcPr>
          <w:p w14:paraId="3D44B445" w14:textId="29BA800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51.63</w:t>
            </w:r>
          </w:p>
        </w:tc>
        <w:tc>
          <w:tcPr>
            <w:tcW w:w="2714" w:type="dxa"/>
            <w:vAlign w:val="center"/>
          </w:tcPr>
          <w:p w14:paraId="0FC48300" w14:textId="72CE943C"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-1.50 [-6.14, +3.15]</w:t>
            </w:r>
          </w:p>
        </w:tc>
        <w:tc>
          <w:tcPr>
            <w:tcW w:w="1030" w:type="dxa"/>
            <w:vAlign w:val="center"/>
          </w:tcPr>
          <w:p w14:paraId="00E258DE" w14:textId="7A19C01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225E198" w14:textId="77777777" w:rsidTr="000959B0">
        <w:trPr>
          <w:cantSplit/>
        </w:trPr>
        <w:tc>
          <w:tcPr>
            <w:tcW w:w="2153" w:type="dxa"/>
            <w:vAlign w:val="center"/>
          </w:tcPr>
          <w:p w14:paraId="405283AC" w14:textId="48EC6F0E"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CNN</w:t>
            </w:r>
          </w:p>
        </w:tc>
        <w:tc>
          <w:tcPr>
            <w:tcW w:w="655" w:type="dxa"/>
            <w:vAlign w:val="center"/>
          </w:tcPr>
          <w:p w14:paraId="38923269" w14:textId="316D476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5BA4C753" w14:textId="4859E42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53.08</w:t>
            </w:r>
          </w:p>
        </w:tc>
        <w:tc>
          <w:tcPr>
            <w:tcW w:w="1404" w:type="dxa"/>
            <w:vAlign w:val="center"/>
          </w:tcPr>
          <w:p w14:paraId="5B7FAB8B" w14:textId="3B93B2C5"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51.89</w:t>
            </w:r>
          </w:p>
        </w:tc>
        <w:tc>
          <w:tcPr>
            <w:tcW w:w="2714" w:type="dxa"/>
            <w:vAlign w:val="center"/>
          </w:tcPr>
          <w:p w14:paraId="4BE4DF05" w14:textId="2C3E0549"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-1.19 [-2.08, -0.31]</w:t>
            </w:r>
          </w:p>
        </w:tc>
        <w:tc>
          <w:tcPr>
            <w:tcW w:w="1030" w:type="dxa"/>
            <w:vAlign w:val="center"/>
          </w:tcPr>
          <w:p w14:paraId="264C8F65" w14:textId="625D939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0.625</w:t>
            </w:r>
          </w:p>
        </w:tc>
      </w:tr>
      <w:tr w:rsidR="000959B0" w14:paraId="1E9427DE" w14:textId="77777777" w:rsidTr="000959B0">
        <w:trPr>
          <w:cantSplit/>
        </w:trPr>
        <w:tc>
          <w:tcPr>
            <w:tcW w:w="2153" w:type="dxa"/>
            <w:vAlign w:val="center"/>
          </w:tcPr>
          <w:p w14:paraId="624C5E22" w14:textId="3AF2F78B"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w:t>
            </w:r>
          </w:p>
        </w:tc>
        <w:tc>
          <w:tcPr>
            <w:tcW w:w="655" w:type="dxa"/>
            <w:vAlign w:val="center"/>
          </w:tcPr>
          <w:p w14:paraId="26C416FE" w14:textId="160F6F7B"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4BB2E38B" w14:textId="69348F4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52.68</w:t>
            </w:r>
          </w:p>
        </w:tc>
        <w:tc>
          <w:tcPr>
            <w:tcW w:w="1404" w:type="dxa"/>
            <w:vAlign w:val="center"/>
          </w:tcPr>
          <w:p w14:paraId="28D01A19" w14:textId="206AAA6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50.51</w:t>
            </w:r>
          </w:p>
        </w:tc>
        <w:tc>
          <w:tcPr>
            <w:tcW w:w="2714" w:type="dxa"/>
            <w:vAlign w:val="center"/>
          </w:tcPr>
          <w:p w14:paraId="5285F950" w14:textId="37192AE8"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-2.17 [-6.56, +2.23]</w:t>
            </w:r>
          </w:p>
        </w:tc>
        <w:tc>
          <w:tcPr>
            <w:tcW w:w="1030" w:type="dxa"/>
            <w:vAlign w:val="center"/>
          </w:tcPr>
          <w:p w14:paraId="78BA4FCB" w14:textId="5B8FE42A"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5099765E" w14:textId="77777777" w:rsidTr="000959B0">
        <w:trPr>
          <w:cantSplit/>
        </w:trPr>
        <w:tc>
          <w:tcPr>
            <w:tcW w:w="2153" w:type="dxa"/>
            <w:vAlign w:val="center"/>
          </w:tcPr>
          <w:p w14:paraId="34CA32B6" w14:textId="3A310FF3"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LSTM-Attention</w:t>
            </w:r>
          </w:p>
        </w:tc>
        <w:tc>
          <w:tcPr>
            <w:tcW w:w="655" w:type="dxa"/>
            <w:vAlign w:val="center"/>
          </w:tcPr>
          <w:p w14:paraId="4C083966" w14:textId="073DBE50"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w:t>
            </w:r>
          </w:p>
        </w:tc>
        <w:tc>
          <w:tcPr>
            <w:tcW w:w="1404" w:type="dxa"/>
            <w:vAlign w:val="center"/>
          </w:tcPr>
          <w:p w14:paraId="728ECA41" w14:textId="66BABF2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52.37</w:t>
            </w:r>
          </w:p>
        </w:tc>
        <w:tc>
          <w:tcPr>
            <w:tcW w:w="1404" w:type="dxa"/>
            <w:vAlign w:val="center"/>
          </w:tcPr>
          <w:p w14:paraId="6AF21566" w14:textId="25442EEF"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51.42</w:t>
            </w:r>
          </w:p>
        </w:tc>
        <w:tc>
          <w:tcPr>
            <w:tcW w:w="2714" w:type="dxa"/>
            <w:vAlign w:val="center"/>
          </w:tcPr>
          <w:p w14:paraId="642BD892" w14:textId="43C952A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-0.95 [-2.99, +1.08]</w:t>
            </w:r>
          </w:p>
        </w:tc>
        <w:tc>
          <w:tcPr>
            <w:tcW w:w="1030" w:type="dxa"/>
            <w:vAlign w:val="center"/>
          </w:tcPr>
          <w:p w14:paraId="01205640" w14:textId="1D74A39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r w:rsidR="000959B0" w14:paraId="6DD74930" w14:textId="77777777" w:rsidTr="000959B0">
        <w:trPr>
          <w:cantSplit/>
        </w:trPr>
        <w:tc>
          <w:tcPr>
            <w:tcW w:w="2153" w:type="dxa"/>
            <w:vAlign w:val="center"/>
          </w:tcPr>
          <w:p w14:paraId="2A5ED8EE" w14:textId="1EB59ACC" w:rsidR="000959B0" w:rsidRPr="000959B0" w:rsidRDefault="000959B0" w:rsidP="000959B0">
            <w:pPr>
              <w:spacing w:after="0" w:line="240" w:lineRule="auto"/>
              <w:rPr>
                <w:rFonts w:ascii="Times New Roman" w:hAnsi="Times New Roman" w:cs="Times New Roman"/>
                <w:iCs/>
                <w:sz w:val="15"/>
                <w:szCs w:val="24"/>
              </w:rPr>
            </w:pPr>
            <w:r w:rsidRPr="000959B0">
              <w:rPr>
                <w:rFonts w:ascii="Times New Roman" w:hAnsi="Times New Roman" w:cs="Times New Roman"/>
                <w:iCs/>
                <w:sz w:val="15"/>
                <w:szCs w:val="24"/>
              </w:rPr>
              <w:t>LSTM-CNN-Attention</w:t>
            </w:r>
          </w:p>
        </w:tc>
        <w:tc>
          <w:tcPr>
            <w:tcW w:w="655" w:type="dxa"/>
            <w:vAlign w:val="center"/>
          </w:tcPr>
          <w:p w14:paraId="13B4ED2B" w14:textId="3800590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20</w:t>
            </w:r>
          </w:p>
        </w:tc>
        <w:tc>
          <w:tcPr>
            <w:tcW w:w="1404" w:type="dxa"/>
            <w:vAlign w:val="center"/>
          </w:tcPr>
          <w:p w14:paraId="1EFB41C5" w14:textId="00634D7D"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51.10</w:t>
            </w:r>
          </w:p>
        </w:tc>
        <w:tc>
          <w:tcPr>
            <w:tcW w:w="1404" w:type="dxa"/>
            <w:vAlign w:val="center"/>
          </w:tcPr>
          <w:p w14:paraId="2816F06B" w14:textId="7CA06AE1"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50.03</w:t>
            </w:r>
          </w:p>
        </w:tc>
        <w:tc>
          <w:tcPr>
            <w:tcW w:w="2714" w:type="dxa"/>
            <w:vAlign w:val="center"/>
          </w:tcPr>
          <w:p w14:paraId="13120826" w14:textId="31313BF7"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-1.07 [-6.85, +4.71]</w:t>
            </w:r>
          </w:p>
        </w:tc>
        <w:tc>
          <w:tcPr>
            <w:tcW w:w="1030" w:type="dxa"/>
            <w:vAlign w:val="center"/>
          </w:tcPr>
          <w:p w14:paraId="35CF5406" w14:textId="48D64F1E" w:rsidR="000959B0" w:rsidRPr="000959B0" w:rsidRDefault="000959B0" w:rsidP="000959B0">
            <w:pPr>
              <w:spacing w:after="0" w:line="240" w:lineRule="auto"/>
              <w:jc w:val="center"/>
              <w:rPr>
                <w:rFonts w:ascii="Times New Roman" w:hAnsi="Times New Roman" w:cs="Times New Roman"/>
                <w:iCs/>
                <w:sz w:val="15"/>
                <w:szCs w:val="24"/>
              </w:rPr>
            </w:pPr>
            <w:r w:rsidRPr="000959B0">
              <w:rPr>
                <w:rFonts w:ascii="Times New Roman" w:hAnsi="Times New Roman" w:cs="Times New Roman"/>
                <w:iCs/>
                <w:sz w:val="15"/>
                <w:szCs w:val="24"/>
              </w:rPr>
              <w:t>1.000</w:t>
            </w:r>
          </w:p>
        </w:tc>
      </w:tr>
    </w:tbl>
    <w:p w14:paraId="67DF22DB" w14:textId="54FBE6F5" w:rsidR="00124AA7" w:rsidRPr="00761F3D" w:rsidRDefault="003A1CB3" w:rsidP="009960B6">
      <w:pPr>
        <w:pStyle w:val="Caption"/>
        <w:spacing w:before="40" w:line="240" w:lineRule="auto" w:after="120"/>
        <w:rPr>
          <w:rFonts w:ascii="Times New Roman" w:hAnsi="Times New Roman"/>
          <w:b/>
          <w:bCs/>
          <w:sz w:val="24"/>
          <w:szCs w:val="24"/>
          <w:cs/>
        </w:rPr>
      </w:pPr>
      <w:r w:rsidRPr="000829A5">
        <w:rPr>
          <w:rFonts w:ascii="Times New Roman" w:hAnsi="Times New Roman" w:cs="Times New Roman"/>
          <w:sz w:val="20"/>
          <w:szCs w:val="20"/>
          <w:i/>
          <w:iCs/>
        </w:rPr>
        <w:t>Note:</w:t>
      </w:r>
      <w:r w:rsidRPr="000829A5">
        <w:rPr>
          <w:rFonts w:ascii="Times New Roman" w:hAnsi="Times New Roman" w:cs="Times New Roman"/>
          <w:sz w:val="20"/>
          <w:szCs w:val="20"/>
        </w:rPr>
        <w:t xml:space="preserve"> Matched SET50 is the frozen 122-feature global numerical comparator, not the final post-hoc integrated regime–news arm. SET100 is a broader, overlapping index on the same exchange and is not an external-market replication</w:t>
      </w:r>
      <w:r>
        <w:rPr>
          <w:rFonts w:ascii="Times New Roman" w:hAnsi="Times New Roman" w:cs="Times New Roman"/>
          <w:sz w:val="20"/>
          <w:szCs w:val="20"/>
        </w:rPr>
        <w:t xml:space="preserve">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{"citationID":"5b67e3e26b","properties":{"unsorted":false,"formattedCitation":"(The Stock Exchange of Thailand, n.d.-a, n.d.-b)","plainCitation":"(The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0"/>
          <w:szCs w:val="20"/>
        </w:rPr>
        <w:t>(The Stock Exchange of Thailand, n.d.-a, n.d.-b)</w:t>
      </w:r>
      <w:r w:rsidR="00A84458">
        <w:rPr>
          <w:rFonts w:ascii="Times New Roman" w:hAnsi="Times New Roman" w:cs="Times New Roman"/>
          <w:sz w:val="24"/>
          <w:szCs w:val="24"/>
        </w:rPr>
        <w:fldChar w:fldCharType="end"/>
      </w:r>
    </w:p>
    <w:p w14:paraId="3468F74C" w14:textId="1A5F7C5E" w:rsidR="0034462D" w:rsidRPr="0034462D" w:rsidRDefault="0034462D" w:rsidP="0034462D">
      <w:pPr>
        <w:spacing w:line="360" w:lineRule="auto"/>
        <w:jc w:val="both"/>
        <w:rPr>
          <w:rFonts w:ascii="Times New Roman" w:hAnsi="Times New Roman" w:cs="Times New Roman"/>
          <w:bCs/>
          <w:color w:val="000000"/>
          <w:sz w:val="24"/>
          <w:szCs w:val="24"/>
        </w:rPr>
      </w:pPr>
      <w:r w:rsidRPr="0034462D">
        <w:rPr>
          <w:rFonts w:ascii="Times New Roman" w:hAnsi="Times New Roman" w:cs="Times New Roman"/>
          <w:bCs/>
          <w:color w:val="000000"/>
          <w:sz w:val="24"/>
          <w:szCs w:val="24"/>
        </w:rPr>
        <w:t xml:space="preserve">The transfer pattern is more naturally interpreted as a transportability test than as a second independent market. SET50 and SET100 share the exchange and calendar, but SET100 broadens the constituent universe; using the same frozen features and architecture-specific windows therefore tests whether a SET50-selected representation survives a different cross-sectional composition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{"citationID":"69cf8381","properties":{"unsorted":false,"formattedCitation":"(Bergmeir et al., 2018; Olorunnimbe \u0026 Viktor, 2023; Sezer et al., 2020; The Stock Exchange of Thailand, n.d.-a, n.d.-b)","plainCitation":"(Bergmeir et al., 2018; Olorunnimbe \u0026 Viktor, 2023; Sezer et al., 2020; The Stock Exchange of Thailand, n.d.-a, n.d.-b)","noteIndex":0},"citationItems":[{"id":44,"uris":["http://zotero.org/users/local/DPQnJvcs/items/SXCWN3MM"],"itemData":{"id":44,"type":"document","note":"Published: Official index profile webpage","title":"SET50 Index and SET50FF Index Profile","URL":"https://www.set.or.th/en/market/index/set50/profile","author":[{"literal":"The Stock Exchange of Thailand"}]}},{"id":46,"uris":["http://zotero.org/users/local/DPQnJvcs/items/GSZTLRHR"],"itemData":{"id":46,"type":"document","note":"Published: Official index profile webpage","title":"SET100 Index and SET100FF Index Profile","URL":"https://www.set.or.th/en/market/index/set100/profile","author":[{"literal":"The Stock Exchange of Thailand"}]}},{"id":24,"uris":["http://zotero.org/users/local/DPQnJvcs/items/HFFD8978"],"itemData":{"id":24,"type":"article-journal","container-title":"Computational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hAnsi="Times New Roman" w:cs="Times New Roman"/>
          <w:b/>
          <w:sz w:val="24"/>
          <w:szCs w:val="24"/>
        </w:rPr>
        <w:fldChar w:fldCharType="separate"/>
      </w:r>
      <w:r w:rsidRPr="0034462D">
        <w:rPr>
          <w:rFonts w:ascii="Times New Roman" w:hAnsi="Times New Roman" w:cs="Times New Roman"/>
          <w:sz w:val="24"/>
        </w:rPr>
        <w:t>(Bergmeir et al., 2018; Olorunnimbe &amp; Viktor, 2023; Sezer et al., 2020; The Stock Exchange of Thailand, n.d.-a, n.d.-b)</w:t>
      </w:r>
      <w:r>
        <w:rPr>
          <w:rFonts w:ascii="Times New Roman" w:hAnsi="Times New Roman" w:cs="Times New Roman"/>
          <w:b/>
          <w:sz w:val="24"/>
          <w:szCs w:val="24"/>
        </w:rPr>
        <w:fldChar w:fldCharType="end"/>
      </w:r>
      <w:r w:rsidRPr="0034462D">
        <w:rPr>
          <w:rFonts w:ascii="Times New Roman" w:hAnsi="Times New Roman" w:cs="Times New Roman"/>
          <w:bCs/>
          <w:color w:val="000000"/>
          <w:sz w:val="24"/>
          <w:szCs w:val="24"/>
        </w:rPr>
        <w:t xml:space="preserve"> The uniformly negative point estimates are consistent with feature-window mismatch rather than a different macro regime, because the outer years are identical. This stricter frozen design differs from dataset-specific studies that </w:t>
      </w:r>
      <w:proofErr w:type="gramStart"/>
      <w:r w:rsidRPr="0034462D">
        <w:rPr>
          <w:rFonts w:ascii="Times New Roman" w:hAnsi="Times New Roman" w:cs="Times New Roman"/>
          <w:bCs/>
          <w:color w:val="000000"/>
          <w:sz w:val="24"/>
          <w:szCs w:val="24"/>
        </w:rPr>
        <w:t>retune</w:t>
      </w:r>
      <w:proofErr w:type="gramEnd"/>
      <w:r w:rsidRPr="0034462D">
        <w:rPr>
          <w:rFonts w:ascii="Times New Roman" w:hAnsi="Times New Roman" w:cs="Times New Roman"/>
          <w:bCs/>
          <w:color w:val="000000"/>
          <w:sz w:val="24"/>
          <w:szCs w:val="24"/>
        </w:rPr>
        <w:t xml:space="preserve"> each market and can thereby absorb part of the shift. At the same time, four outer-year effects imply a minimum attainable exact two-sided p-value of 0.125, so sign consistency alone cannot establish degradation. The result narrows external validity: the audited configurations are not automatically portable even within the same exchange, but the evidence is insufficient to attribute the loss to any single architecture or constituent characteristic.</w:t>
      </w:r>
    </w:p>
    <w:p w14:paraId="368444A3" w14:textId="17E7D87D" w:rsidR="004A3C24" w:rsidRPr="00F768ED" w:rsidRDefault="00880654" w:rsidP="009960B6">
      <w:pPr>
        <w:spacing w:line="360" w:lineRule="auto"/>
        <w:jc w:val="both"/>
        <w:rPr>
          <w:rFonts w:ascii="Times New Roman" w:hAnsi="Times New Roman"/>
          <w:bCs/>
          <w:sz w:val="24"/>
          <w:szCs w:val="24"/>
          <w:cs/>
        </w:rPr>
      </w:pPr>
      <w:r>
        <w:rPr>
          <w:rFonts w:ascii="Times New Roman" w:hAnsi="Times New Roman"/>
          <w:sz w:val="24"/>
        </w:rPr>
        <w:t>Figure 10 summarizes architecture-wise point estimates across the completed audit pillars, while corresponding uncertainty and multiplicity-adjusted results remain in Tables 2, 3A, 4 and 5B.</w:t>
      </w:r>
    </w:p>
    <w:p w14:paraId="42EBB62E" w14:textId="77777777" w:rsidR="00F768ED" w:rsidRDefault="00F768ED" w:rsidP="009960B6">
      <w:pPr>
        <w:keepNext/>
        <w:spacing w:after="0" w:line="240" w:lineRule="auto"/>
        <w:jc w:val="center"/>
        <w:rPr>
          <w:rFonts w:ascii="Times New Roman" w:hAnsi="Times New Roman" w:cs="Times New Roman"/>
          <w:b/>
          <w:bCs/>
          <w:sz w:val="24"/>
          <w:szCs w:val="24"/>
          <w:highlight w:val="yellow"/>
        </w:rPr>
      </w:pPr>
    </w:p>
    <w:p w14:paraId="5001CE7E" w14:textId="60579BC4" w:rsidR="003A1CB3" w:rsidRPr="004A3C24" w:rsidRDefault="00880654" w:rsidP="00880654">
      <w:pPr>
        <w:keepNext/>
        <w:spacing w:before="120" w:after="60" w:line="24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BFFA2A5" wp14:editId="25CDB827">
            <wp:extent cx="5472000" cy="3536338"/>
            <wp:effectExtent l="0" t="0" r="0" b="6985"/>
            <wp:docPr id="1300017094" name="Figure 10" title="Figure 10" descr="Heatmap of architecture-wise audit effects and intrinsic Leader sentiment g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17094"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72000" cy="3536338"/>
                    </a:xfrm>
                    <a:prstGeom prst="rect">
                      <a:avLst/>
                    </a:prstGeom>
                  </pic:spPr>
                </pic:pic>
              </a:graphicData>
            </a:graphic>
          </wp:inline>
        </w:drawing>
      </w:r>
    </w:p>
    <w:p w14:paraId="1E5EC56B" w14:textId="762C61BB" w:rsidR="0085069D" w:rsidRPr="004A3C24" w:rsidRDefault="00880654" w:rsidP="009960B6">
      <w:pPr>
        <w:pStyle w:val="Caption"/>
        <w:keepLines/>
        <w:spacing w:before="60" w:after="120" w:line="240" w:lineRule="auto"/>
        <w:jc w:val="center"/>
        <w:rPr>
          <w:rFonts w:ascii="Times New Roman" w:hAnsi="Times New Roman" w:cs="Times New Roman"/>
          <w:bCs/>
          <w:sz w:val="24"/>
          <w:szCs w:val="24"/>
        </w:rPr>
      </w:pPr>
      <w:r>
        <w:rPr>
          <w:rFonts w:ascii="Times New Roman" w:hAnsi="Times New Roman" w:cs="Times New Roman"/>
          <w:sz w:val="20"/>
          <w:szCs w:val="20"/>
          <w:b/>
          <w:bCs/>
        </w:rPr>
        <w:t>Figure 10.</w:t>
      </w:r>
      <w:r>
        <w:rPr>
          <w:rFonts w:ascii="Times New Roman" w:hAnsi="Times New Roman" w:cs="Times New Roman"/>
          <w:sz w:val="20"/>
          <w:szCs w:val="20"/>
        </w:rPr>
        <w:t xml:space="preserve"> Architecture-wise point-estimate summary across completed audit pillars. Heatmap cells report paired balanced-accuracy changes in percentage points for VMD, Observed-News versus Market-Only, Regime-SHAP versus Regime-All and SET100 minus matched SET50; green denotes positive and red denotes negative point estimates. The lower panel reports the Leader's intrinsic sentiment-accuracy gains over compute-matched controls as a separate endpoint. Confidence intervals and Holm-adjusted p-values are reported in Tables 2, 3A, 4 and 5B.</w:t>
      </w:r>
    </w:p>
    <w:p w14:paraId="390DD41E" w14:textId="77777777" w:rsidR="004B02B2" w:rsidRPr="004B02B2" w:rsidRDefault="004B02B2" w:rsidP="004B02B2">
      <w:pPr>
        <w:pStyle w:val="Heading1"/>
        <w:keepNext/>
        <w:keepLines/>
        <w:spacing w:before="240" w:line="240" w:lineRule="auto" w:after="120"/>
        <w:rPr>
          <w:rFonts w:ascii="Times New Roman" w:hAnsi="Times New Roman" w:cs="Times New Roman"/>
          <w:b/>
          <w:color w:val="000000"/>
          <w:sz w:val="24"/>
          <w:szCs w:val="24"/>
        </w:rPr>
        <w:jc w:val="left"/>
      </w:pPr>
      <w:r>
        <w:rPr>
          <w:rFonts w:ascii="Times New Roman" w:hAnsi="Times New Roman" w:cs="Times New Roman"/>
          <w:sz w:val="24"/>
          <w:szCs w:val="24"/>
          <w:b/>
          <w:bCs/>
        </w:rPr>
        <w:t>5. Discussion</w:t>
      </w:r>
    </w:p>
    <w:p w14:paraId="0A326580" w14:textId="4FE23FD7"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Taken together, the results indicate that reliability depended more on the temporal contract and the fit between representation and architecture than on cumulative model complexity. VMD, predicted news and regime-SHAP produced effects with different signs across the five architectures, while the frozen SET100 transfer weakened every model. This architecture- and setting-sensitivity is consistent with financial deep-learning reviews that identify data representation, validation design and market context as major sources of apparent performance variation </w:t>
      </w:r>
      <w:r>
        <w:rPr>
          <w:rFonts w:ascii="Times New Roman" w:eastAsia="Times New Roman" w:hAnsi="Times New Roman" w:cs="Times New Roman"/>
          <w:b/>
          <w:bCs/>
          <w:sz w:val="24"/>
          <w:szCs w:val="24"/>
        </w:rPr>
        <w:fldChar w:fldCharType="begin"/>
      </w:r>
      <w:r>
        <w:rPr>
          <w:rFonts w:ascii="Times New Roman" w:eastAsia="Times New Roman" w:hAnsi="Times New Roman" w:cs="Times New Roman"/>
          <w:b/>
          <w:bCs/>
          <w:sz w:val="24"/>
          <w:szCs w:val="24"/>
        </w:rPr>
        <w:instrText xml:space="preserve"> ADDIN ZOTERO_ITEM CSL_CITATION {"citationID":"51dff9e4","properties":{"unsorted":false,"formattedCitation":"(Olorunnimbe \u0026 Viktor, 2023; Sezer et al., 2020)","plainCitation":"(Olorunnimbe \u0026 Viktor, 2023; Sezer et al., 2020)","noteIndex":0},"citationItems":[{"id":33,"uris":["http://zotero.org/users/local/DPQnJvcs/items/8Z849LRX"],"itemData":{"id":33,"type":"article-journal","container-title":"Artificial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Pr>
          <w:rFonts w:ascii="Times New Roman" w:eastAsia="Times New Roman" w:hAnsi="Times New Roman" w:cs="Times New Roman"/>
          <w:b/>
          <w:bCs/>
          <w:sz w:val="24"/>
          <w:szCs w:val="24"/>
        </w:rPr>
        <w:fldChar w:fldCharType="separate"/>
      </w:r>
      <w:r w:rsidRPr="004B02B2">
        <w:rPr>
          <w:rFonts w:ascii="Times New Roman" w:hAnsi="Times New Roman" w:cs="Times New Roman"/>
          <w:sz w:val="24"/>
        </w:rPr>
        <w:t>(Olorunnimbe &amp; Viktor, 2023; Sezer et al., 2020)</w:t>
      </w:r>
      <w:r>
        <w:rPr>
          <w:rFonts w:ascii="Times New Roman" w:eastAsia="Times New Roman" w:hAnsi="Times New Roman" w:cs="Times New Roman"/>
          <w:b/>
          <w:bCs/>
          <w:sz w:val="24"/>
          <w:szCs w:val="24"/>
        </w:rPr>
        <w:fldChar w:fldCharType="end"/>
      </w:r>
      <w:r w:rsidRPr="004B02B2">
        <w:rPr>
          <w:rFonts w:ascii="Times New Roman" w:hAnsi="Times New Roman" w:cs="Times New Roman"/>
          <w:color w:val="000000"/>
          <w:sz w:val="24"/>
          <w:szCs w:val="24"/>
        </w:rPr>
        <w:t xml:space="preserve"> The paper therefore does not infer a universal hierarchy from isolated winning cells; it treats those cells as hypotheses that must survive matched budgets, falsification and temporal transfer.</w:t>
      </w:r>
    </w:p>
    <w:p w14:paraId="6E1D60ED" w14:textId="776441EF"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lastRenderedPageBreak/>
        <w:t xml:space="preserve">Across the component ablations, a common compression-capacity trade-off provides the most coherent explanation. VMD removes high-frequency variation, daily sentiment compresses multiple articles into a scalar and regime-SHAP restricts the input set within smaller conditional samples. Each operation can improve signal-to-noise alignment for one architecture while removing weak complementary information required by another. Consequently, benefits reported by continuous-price VMD systems and richer news-interaction systems do not directly contradict the mixed next-day directional effects observed here </w:t>
      </w:r>
      <w:r>
        <w:rPr>
          <w:rFonts w:ascii="Times New Roman" w:hAnsi="Times New Roman" w:cs="Times New Roman"/>
          <w:b/>
          <w:sz w:val="24"/>
          <w:szCs w:val="24"/>
        </w:rPr>
        <w:fldChar w:fldCharType="begin"/>
      </w:r>
      <w:r>
        <w:rPr>
          <w:rFonts w:ascii="Times New Roman" w:hAnsi="Times New Roman" w:cs="Times New Roman"/>
          <w:b/>
          <w:sz w:val="24"/>
          <w:szCs w:val="24"/>
        </w:rPr>
        <w:instrText xml:space="preserve"> ADDIN ZOTERO_ITEM CSL_CITATION {"citationID":"686a4392","properties":{"unsorted":false,"formattedCitation":"(T. Liu et al., 2022; Y. Liu et al., 2024; W.-J. Liu et al., 2024; M. Wang et al., 2024)","plainCitation":"(T. Liu et al., 2022; Y. Liu et al., 2024; W.-J. Liu et al., 2024; M. Wang et al., 2024)","noteIndex":0},"citationItems":[{"id":35,"uris":["http://zotero.org/users/local/DPQnJvcs/items/ZLXIQGMF"],"itemData":{"id":35,"type":"article-journal","container-title":"Knowledge-Based Systems","DOI":"10.1016/j.knosys.2022.109324","page":"109324","title":"A Stock Price Prediction Method Based on Meta-Learning and Variational Mode Decomposition","volume":"252","author":[{"family":"Liu","given":"Tengteng"},{"family":"Ma","given":"Xiang"},{"family":"Li","given":"Shuo"},{"family":"Li","given":"Xuemei"},{"family":"Zhang","given":"Caiming"}],"issued":{"date-parts":[["2022"]]}}},{"id":36,"uris":["http://zotero.org/users/local/DPQnJvcs/items/JPXM8FAB"],"itemData":{"id":36,"type":"article-journal","container-title":"Expert Systems with Applications","DOI":"10.1016/j.eswa.2023.121708","page":"121708","title":"A Stock Series Prediction Model Based on Variational Mode Decomposition and Dual-Channel Attention Network","volume":"238","author":[{"family":"Liu","given":"Yepeng"},{"family":"Huang","given":"Siyuan"},{"family":"Tian","given":"Xiaoyi"},{"family":"Zhang","given":"Fan"},{"family":"Zhao","given":"Feng"},{"family":"Zhang","given":"Caiming"}],"issued":{"date-parts":[["2024"]]}}},{"id":38,"uris":["http://zotero.org/users/local/DPQnJvcs/items/VIIIS229"],"itemData":{"id":38,"type":"article-journal","container-title":"Expert Systems with Applications","DOI":"10.1016/j.eswa.2024.123966","page":"123966","title":"News-Driven Stock Market Index Prediction Based on Trellis Network and Sentiment Attention Mechanism","volume":"250","author":[{"family":"Liu","given":"Wen-Jie"},{"family":"Ge","given":"Ye-Bo"},{"family":"Gu","given":"Yu-Chen"}],"issued":{"date-parts":[["2024"]]}}},{"id":37,"uris":["http://zotero.org/users/local/DPQnJvcs/items/VZSUKIUF"],"itemData":{"id":37,"type":"paper-conference","container-title":"Findings of the Association for Computational Linguistics: EMNLP 2024","DOI":"10.18653/v1/2024.findings-emnlp.189","page":"3302–3314","publisher":"Association for Computational Linguistics","publisher-place":"Miami, Florida, USA","title":"Modeling News Interactions and Influence for Financial Market Prediction","URL":"https://aclanthology.org/2024.findings-emnlp.189/","author":[{"family":"Wang","given":"Mengyu"},{"family":"Cohen","given":"Shay B."},{"family":"Ma","given":"Tiejun"}],"issued":{"date-parts":[["2024"]]}}}],"schema":"https://github.com/citation-style-language/schema/raw/master/csl-citation.json"} </w:instrText>
      </w:r>
      <w:r>
        <w:rPr>
          <w:rFonts w:ascii="Times New Roman" w:hAnsi="Times New Roman" w:cs="Times New Roman"/>
          <w:b/>
          <w:sz w:val="24"/>
          <w:szCs w:val="24"/>
        </w:rPr>
        <w:fldChar w:fldCharType="separate"/>
      </w:r>
      <w:r w:rsidRPr="004B02B2">
        <w:rPr>
          <w:rFonts w:ascii="Times New Roman" w:hAnsi="Times New Roman" w:cs="Times New Roman"/>
          <w:sz w:val="24"/>
        </w:rPr>
        <w:t>(T. Liu et al., 2022; Y. Liu et al., 2024; W.-J. Liu et al., 2024; M. Wang et al., 2024)</w:t>
      </w:r>
      <w:r>
        <w:rPr>
          <w:rFonts w:ascii="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positive LSTM-CNN VMD cell and CNN regime-SHAP cell should therefore be interpreted as architecture-specific interactions, not evidence that either enhancement is generally beneficial.</w:t>
      </w:r>
    </w:p>
    <w:p>
      <w:pPr>
        <w:keepLines/>
        <w:spacing w:line="360" w:lineRule="auto"/>
        <w:jc w:val="both"/>
        <w:rPr>
          <w:rFonts w:ascii="Times New Roman" w:hAnsi="Times New Roman" w:cs="Times New Roman"/>
          <w:color w:val="000000"/>
          <w:sz w:val="24"/>
          <w:szCs w:val="24"/>
        </w:rPr>
      </w:pPr>
      <w:r>
        <w:rPr>
          <w:rFonts w:ascii="Times New Roman" w:hAnsi="Times New Roman"/>
          <w:sz w:val="24"/>
        </w:rPr>
        <w:t xml:space="preserve">The prediction-level diagnostics further clarify why high visual agreement should not be equated with a useful direction classifier. Across 2022-2025, observed-predicted level correlations ranged from 0.927 to 0.983, yet balanced accuracy spanned only 51.49-53.64%. Because the next-day index level inherits substantial persistence from the current level, a model can track the level closely while placing the predicted change on the wrong side of zero; LSTM's low RMSE and modest balanced accuracy illustrate this distinction. Conversely, hybrid models improved sign classification in selected folds while sacrificing calibration and Down-class recall. This endpoint mismatch is consistent with the distinction between continuous-price forecasting and direction classification in financial deep learning </w:t>
      </w:r>
      <w:r w:rsidR="00A84458">
        <w:rPr>
          <w:rFonts w:ascii="Times New Roman" w:hAnsi="Times New Roman" w:cs="Times New Roman"/>
          <w:sz w:val="24"/>
          <w:szCs w:val="24"/>
        </w:rPr>
        <w:fldChar w:fldCharType="begin"/>
      </w:r>
      <w:r w:rsidR="00A84458">
        <w:rPr>
          <w:rFonts w:ascii="Times New Roman" w:hAnsi="Times New Roman" w:cs="Times New Roman"/>
          <w:sz w:val="24"/>
          <w:szCs w:val="24"/>
        </w:rPr>
        <w:instrText xml:space="preserve"> ADDIN ZOTERO_ITEM CSL_CITATION {"citationID":"0efddb2078","properties":{"unsorted":false,"formattedCitation":"(Fischer &amp; Krauss, 2018; Hoseinzade &amp; Haratizadeh, 2019; Sezer et al., 2020)","plainCitation":"(Fischer &amp; Krauss, 2018; Hoseinzade &amp; Haratizadeh, 2019; Sezer et al., 2020)","noteIndex":0},"citationItems":[{"id":4,"uris":["http://zotero.org/users/local/DPQnJvcs/items/AGMKWFCU"],"itemData":{"id":4,"type":"article-journal","container-title":"European Journal of Operational Research","DOI":"10.1016/j.ejor.2017.11.054","issue":"2","page":"654–669","title":"Deep Learning with Long Short-Term Memory Networks for Financial Market Predictions","volume":"270","author":[{"family":"Fischer","given":"Thomas"},{"family":"Krauss","given":"Christopher"}],"issued":{"date-parts":[["2018"]]}}},{"id":5,"uris":["http://zotero.org/users/local/DPQnJvcs/items/AY49X3SC"],"itemData":{"id":5,"type":"article-journal","container-title":"Expert Systems with Applications","DOI":"10.1016/j.eswa.2019.03.029","page":"273–285","title":"CNNpred: CNN-Based Stock Market Prediction Using a Diverse Set of Variables","volume":"129","author":[{"family":"Hoseinzade","given":"Ehsan"},{"family":"Haratizadeh","given":"Saman"}],"issued":{"date-parts":[["2019"]]}}},{"id":6,"uris":["http://zotero.org/users/local/DPQnJvcs/items/I7XYAE2J"],"itemData":{"id":6,"type":"article-journal","container-title":"Applied Soft Computing","DOI":"10.1016/j.asoc.2020.106181","page":"106181","title":"Financial Time Series Forecasting with Deep Learning: A Systematic Literature Review: 2005–2019","volume":"90","author":[{"family":"Sezer","given":"Omer Berat"},{"family":"Gudelek","given":"Mehmet Ugur"},{"family":"Ozbayoglu","given":"Ahmet Murat"}],"issued":{"date-parts":[["2020"]]}}}],"schema":"https://github.com/citation-style-language/schema/raw/master/csl-citation.json"} </w:instrText>
      </w:r>
      <w:r w:rsidR="00A84458">
        <w:rPr>
          <w:rFonts w:ascii="Times New Roman" w:hAnsi="Times New Roman" w:cs="Times New Roman"/>
          <w:sz w:val="24"/>
          <w:szCs w:val="24"/>
        </w:rPr>
        <w:fldChar w:fldCharType="separate"/>
      </w:r>
      <w:r w:rsidR="00A84458" w:rsidRPr="00A84458">
        <w:rPr>
          <w:rFonts w:ascii="Times New Roman" w:hAnsi="Times New Roman" w:cs="Times New Roman"/>
          <w:sz w:val="24"/>
        </w:rPr>
        <w:t>(Fischer &amp; Krauss, 2018; Hoseinzade &amp; Haratizadeh, 2019; Sezer et al., 2020)</w:t>
      </w:r>
      <w:r w:rsidR="00A84458">
        <w:rPr>
          <w:rFonts w:ascii="Times New Roman" w:hAnsi="Times New Roman" w:cs="Times New Roman"/>
          <w:sz w:val="24"/>
          <w:szCs w:val="24"/>
        </w:rPr>
        <w:fldChar w:fldCharType="end"/>
      </w:r>
      <w:r>
        <w:rPr>
          <w:rFonts w:ascii="Times New Roman" w:hAnsi="Times New Roman"/>
          <w:sz w:val="24"/>
        </w:rPr>
        <w:t xml:space="preserve"> The SHAP-LIME panel adds a second caution: a positive selector ablation for one architecture does not establish that its individual attributions are locally faithful or transportable.</w:t>
      </w:r>
    </w:p>
    <w:p w14:paraId="5BAA0922" w14:textId="74C0900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intrinsic LLM experiment addresses a related but distinct level of reliability. Bull/Bear role separation improved sentiment accuracy relative to equal-call and near-cost controls, supporting the possibility that structured argument diversity contributes information beyond repeated sampling alone </w:t>
      </w:r>
      <w:r>
        <w:rPr>
          <w:rFonts w:ascii="Times New Roman" w:eastAsia="Times New Roman" w:hAnsi="Times New Roman"/>
          <w:b/>
          <w:sz w:val="24"/>
          <w:szCs w:val="24"/>
          <w:cs/>
        </w:rPr>
        <w:fldChar w:fldCharType="begin"/>
      </w:r>
      <w:r>
        <w:rPr>
          <w:rFonts w:ascii="Times New Roman" w:eastAsia="Times New Roman" w:hAnsi="Times New Roman"/>
          <w:b/>
          <w:sz w:val="24"/>
          <w:szCs w:val="24"/>
        </w:rPr>
        <w:instrText xml:space="preserve"> ADDIN ZOTERO_ITEM CSL_CITATION {"citationID":"ac0331fd","properties":{"unsorted":false,"formattedCitation":"(Du et al., 2024; Liang et al., 2024; X. Wang et al., 2023; Dong et al., 2025)","plainCitation":"(Du et al., 2024; Liang et al., 2024; X. Wang et al., 2023; Dong et al., 2025)","noteIndex":0},"citationItems":[{"id":14,"uris":["http://zotero.org/users/local/DPQnJvcs/items/D3CHYCUL"],"itemData":{"id":14,"type":"paper-conference","collection-title":"Proceedings of Machine Learning Research","container-title":"Proceedings of the 41st International Conference on Machine Learning","page":"11733–11763","publisher":"PMLR","title":"Improving Factuality and Reasoning in Language Models through Multiagent Debate","URL":"https://proceedings.mlr.press/v235/du24e.html","volume":"235","author":[{"family":"Du","given":"Yilun"},{"family":"Li","given":"Shuang"},{"family":"Torralba","given":"Antonio"},{"family":"Tenenbaum","given":"Joshua B."},{"family":"Mordatch","given":"Igor"}],"issued":{"date-parts":[["2024"]]}}},{"id":15,"uris":["http://zotero.org/users/local/DPQnJvcs/items/PLY8SHS7"],"itemData":{"id":15,"type":"paper-conference","container-title":"Proceedings of the 2024 Conference on Empirical Methods in Natural Language Processing","DOI":"10.18653/v1/2024.emnlp-main.992","page":"17889–17904","publisher":"Association for Computational Linguistics","title":"Encouraging Divergent Thinking in Large Language Models through Multi-Agent Debate","author":[{"family":"Liang","given":"Tian"},{"family":"He","given":"Zhiwei"},{"family":"Jiao","given":"Wenxiang"},{"family":"Wang","given":"Xing"},{"family":"Wang","given":"Yan"},{"family":"Wang","given":"Rui"},{"family":"Yang","given":"Yujiu"},{"family":"Shi","given":"Shuming"},{"family":"Tu","given":"Zhaopeng"}],"issued":{"date-parts":[["2024"]]}}}],"schema":"https://github.com/citation-style-language/schema/raw/master/csl-citation.json"} </w:instrText>
      </w:r>
      <w:r>
        <w:rPr>
          <w:rFonts w:ascii="Times New Roman" w:eastAsia="Times New Roman" w:hAnsi="Times New Roman"/>
          <w:b/>
          <w:sz w:val="24"/>
          <w:szCs w:val="24"/>
          <w:cs/>
        </w:rPr>
        <w:fldChar w:fldCharType="separate"/>
      </w:r>
      <w:r w:rsidRPr="004B02B2">
        <w:rPr>
          <w:rFonts w:ascii="Times New Roman" w:hAnsi="Times New Roman" w:cs="Times New Roman"/>
          <w:sz w:val="24"/>
        </w:rPr>
        <w:t>(Du et al., 2024; Liang et al., 2024; X. Wang et al., 2023; Dong et al., 2025)</w:t>
      </w:r>
      <w:r>
        <w:rPr>
          <w:rFonts w:ascii="Times New Roman" w:eastAsia="Times New Roman" w:hAnsi="Times New Roman"/>
          <w:b/>
          <w:sz w:val="24"/>
          <w:szCs w:val="24"/>
          <w:cs/>
        </w:rPr>
        <w:fldChar w:fldCharType="end"/>
      </w:r>
      <w:r w:rsidRPr="004B02B2">
        <w:rPr>
          <w:rFonts w:ascii="Times New Roman" w:hAnsi="Times New Roman" w:cs="Times New Roman"/>
          <w:color w:val="000000"/>
          <w:sz w:val="24"/>
          <w:szCs w:val="24"/>
        </w:rPr>
        <w:t xml:space="preserve"> </w:t>
      </w:r>
      <w:r w:rsidR="0011168E">
        <w:rPr>
          <w:rFonts w:ascii="Times New Roman" w:hAnsi="Times New Roman" w:cs="Times New Roman"/>
          <w:color w:val="000000"/>
          <w:sz w:val="24"/>
          <w:szCs w:val="24"/>
        </w:rPr>
        <w:t>An authoritative Leader-derived downstream forecasting arm was not available on the locked common cohort.</w:t>
      </w:r>
      <w:r w:rsidRPr="004B02B2">
        <w:rPr>
          <w:rFonts w:ascii="Times New Roman" w:hAnsi="Times New Roman" w:cs="Times New Roman"/>
          <w:color w:val="000000"/>
          <w:sz w:val="24"/>
          <w:szCs w:val="24"/>
        </w:rPr>
        <w:t xml:space="preserve"> The defensible inference is therefore limited to intrinsic sentiment classification: better role-structured reasoning does not, by itself, demonstrate incremental next-day market predictability. Keeping those endpoints separate prevents an upstream benchmark gain from being misrepresented as a trading or forecasting gain.</w:t>
      </w:r>
    </w:p>
    <w:p w14:paraId="0D7D2528" w14:textId="3E9A8071" w:rsidR="004B02B2" w:rsidRPr="004B02B2" w:rsidRDefault="004B02B2" w:rsidP="004B02B2">
      <w:pPr>
        <w:keepLines/>
        <w:spacing w:line="360" w:lineRule="auto"/>
        <w:jc w:val="both"/>
        <w:rPr>
          <w:rFonts w:ascii="Times New Roman" w:hAnsi="Times New Roman" w:cs="Times New Roman"/>
          <w:color w:val="000000"/>
          <w:sz w:val="24"/>
          <w:szCs w:val="24"/>
        </w:rPr>
      </w:pPr>
      <w:r w:rsidRPr="004B02B2">
        <w:rPr>
          <w:rFonts w:ascii="Times New Roman" w:hAnsi="Times New Roman" w:cs="Times New Roman"/>
          <w:color w:val="000000"/>
          <w:sz w:val="24"/>
          <w:szCs w:val="24"/>
        </w:rPr>
        <w:t xml:space="preserve">The inferential results further distinguish absence of conclusive evidence from evidence of no effect. Four outer years impose a minimum exact two-sided sign-flip p-value of 0.125, whereas Holm adjustment protects the registered family against selective emphasis. </w:t>
      </w:r>
      <w:proofErr w:type="gramStart"/>
      <w:r w:rsidRPr="004B02B2">
        <w:rPr>
          <w:rFonts w:ascii="Times New Roman" w:hAnsi="Times New Roman" w:cs="Times New Roman"/>
          <w:color w:val="000000"/>
          <w:sz w:val="24"/>
          <w:szCs w:val="24"/>
        </w:rPr>
        <w:t>Balanced accuracy,</w:t>
      </w:r>
      <w:proofErr w:type="gramEnd"/>
      <w:r w:rsidRPr="004B02B2">
        <w:rPr>
          <w:rFonts w:ascii="Times New Roman" w:hAnsi="Times New Roman" w:cs="Times New Roman"/>
          <w:color w:val="000000"/>
          <w:sz w:val="24"/>
          <w:szCs w:val="24"/>
        </w:rPr>
        <w:t xml:space="preserve"> shuffled and lagged controls, the partial-2026 stress test and frozen same-exchange transfer expose failure modes that raw accuracy or a single holdout would miss. This interpretation follows established cautions concerning class-sensitive evaluation, temporal cross-validation and </w:t>
      </w:r>
      <w:proofErr w:type="spellStart"/>
      <w:r w:rsidRPr="004B02B2">
        <w:rPr>
          <w:rFonts w:ascii="Times New Roman" w:hAnsi="Times New Roman" w:cs="Times New Roman"/>
          <w:color w:val="000000"/>
          <w:sz w:val="24"/>
          <w:szCs w:val="24"/>
        </w:rPr>
        <w:t>backtest</w:t>
      </w:r>
      <w:proofErr w:type="spellEnd"/>
      <w:r w:rsidRPr="004B02B2">
        <w:rPr>
          <w:rFonts w:ascii="Times New Roman" w:hAnsi="Times New Roman" w:cs="Times New Roman"/>
          <w:color w:val="000000"/>
          <w:sz w:val="24"/>
          <w:szCs w:val="24"/>
        </w:rPr>
        <w:t xml:space="preserve"> selection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 xml:space="preserve"> ADDIN ZOTERO_ITEM CSL_CITATION {"citationID":"afa64926","properties":{"unsorted":false,"formattedCitation":"(Brodersen et al., 2010; Bergmeir et al., 2018; Arnott et al., 2019; Bailey \u0026 López de Prado, 2014)","plainCitation":"(Brodersen et al., 2010; Bergmeir et al., 2018; Arnott et al., 2019; Bailey \u0026 López de Prado, 2014)","noteIndex":0},"citationItems":[{"id":23,"uris":["http://zotero.org/users/local/DPQnJvcs/items/MEQTKLIC"],"itemData":{"id":23,"type":"paper-conference","container-title":"2010 20th International Conference on Pattern Recognition","DOI":"10.1109/ICPR.2010.764","page":"3121–3124","title":"The Balanced Accuracy and Its Posterior Distribution","author":[{"family":"Brodersen","given":"Kay H."},{"family":"Ong","given":"Cheng Soon"},{"family":"Stephan","given":"Klaas E."},{"family":"Buhmann","given":"Joachim M."}],"issued":{"date-parts":[["2010"]]}}},{"id":24,"uris":["http://zotero.org/users/local/DPQnJvcs/items/HFFD8978"],"itemData":{"id":24,"type":"article-journal","container-title":"Computational Statistics \u0026 Data Analysis","DOI":"10.1016/j.csda.2017.11.003","page":"70–83","title":"A Note on the Validity of Cross-Validation for Evaluating Autoregressive Time Series Prediction","volume":"120","author":[{"family":"Bergmeir","given":"Christoph"},{"family":"Hyndman","given":"Rob J."},{"family":"Koo","given":"Bonsoo"}],"issued":{"date-parts":[["2018"]]}}},{"id":42,"uris":["http://zotero.org/users/local/DPQnJvcs/items/5GX5ZALM"],"itemData":{"id":42,"type":"article-journal","container-title":"The Journal of Financial Data Science","DOI":"10.3905/jfds.2019.1.064","issue":"1","page":"64–74","title":"A Backtesting Protocol in the Era of Machine Learning","volume":"1","author":[{"family":"Arnott","given":"Robert D."},{"family":"Harvey","given":"Campbell R."},{"family":"Markowitz","given":"Harry"}],"issued":{"date-parts":[["2019"]]}}},{"id":33,"uris":["http://zotero.org/users/local/DPQnJvcs/items/8Z849LRX"],"itemData":{"id":33,"type":"article-journal","container-title":"Artificial Intelligence Review","DOI":"10.1007/s10462-022-10226-0","issue":"3","page":"2057–2109","title":"Deep Learning in the Stock Market—A Systematic Survey of Practice, Backtesting, and Applications","volume":"56","author":[{"family":"Olorunnimbe","given":"Kenniy"},{"family":"Viktor","given":"Herna"}],"issued":{"date-parts":[["2023"]]}}}],"schema":"https://github.com/citation-style-language/schema/raw/master/csl-citation.json"} </w:instrText>
      </w:r>
      <w:r>
        <w:rPr>
          <w:rFonts w:ascii="Times New Roman" w:eastAsia="Times New Roman" w:hAnsi="Times New Roman" w:cs="Times New Roman"/>
          <w:b/>
          <w:sz w:val="24"/>
          <w:szCs w:val="24"/>
        </w:rPr>
        <w:fldChar w:fldCharType="separate"/>
      </w:r>
      <w:r w:rsidRPr="004B02B2">
        <w:rPr>
          <w:rFonts w:ascii="Times New Roman" w:hAnsi="Times New Roman" w:cs="Times New Roman"/>
          <w:sz w:val="24"/>
        </w:rPr>
        <w:t>(Brodersen et al., 2010; Bergmeir et al., 2018; Arnott et al., 2019; Bailey &amp; López de Prado, 2014)</w:t>
      </w:r>
      <w:r>
        <w:rPr>
          <w:rFonts w:ascii="Times New Roman" w:eastAsia="Times New Roman" w:hAnsi="Times New Roman" w:cs="Times New Roman"/>
          <w:b/>
          <w:sz w:val="24"/>
          <w:szCs w:val="24"/>
        </w:rPr>
        <w:fldChar w:fldCharType="end"/>
      </w:r>
      <w:r w:rsidRPr="004B02B2">
        <w:rPr>
          <w:rFonts w:ascii="Times New Roman" w:hAnsi="Times New Roman" w:cs="Times New Roman"/>
          <w:color w:val="000000"/>
          <w:sz w:val="24"/>
          <w:szCs w:val="24"/>
        </w:rPr>
        <w:t xml:space="preserve"> The practical implication is that the framework is most useful as a reliability audit: it identifies which apparent gains remain plausible, which are architecture contingent and which require genuinely prospective confirmation before deployment claims are warranted.</w:t>
      </w:r>
    </w:p>
    <w:p w14:paraId="5C7901C7" w14:textId="517841B2" w:rsidR="00916F49" w:rsidRPr="004B02B2" w:rsidRDefault="004B02B2" w:rsidP="004B02B2">
      <w:pPr>
        <w:pStyle w:val="Heading1"/>
        <w:keepNext/>
        <w:keepLines/>
        <w:spacing w:before="240" w:line="240" w:lineRule="auto" w:after="120"/>
        <w:rPr>
          <w:rFonts w:ascii="Times New Roman" w:hAnsi="Times New Roman" w:cs="Times New Roman"/>
          <w:b/>
          <w:color w:val="000000"/>
          <w:sz w:val="24"/>
          <w:szCs w:val="24"/>
        </w:rPr>
        <w:jc w:val="left"/>
      </w:pPr>
      <w:r>
        <w:rPr>
          <w:rFonts w:ascii="Times New Roman" w:hAnsi="Times New Roman" w:cs="Times New Roman"/>
          <w:sz w:val="24"/>
          <w:szCs w:val="24"/>
          <w:b/>
          <w:bCs/>
        </w:rPr>
        <w:t>6. Conclusion</w:t>
      </w:r>
    </w:p>
    <w:p w14:paraId="7C095222" w14:textId="31669931" w:rsidR="00916F49" w:rsidRPr="00916F49" w:rsidRDefault="00916F49" w:rsidP="009960B6">
      <w:pPr>
        <w:spacing w:line="360" w:lineRule="auto"/>
        <w:ind w:firstLine="720"/>
        <w:jc w:val="both"/>
        <w:rPr>
          <w:rFonts w:ascii="Times New Roman" w:hAnsi="Times New Roman" w:cs="Times New Roman"/>
          <w:sz w:val="24"/>
          <w:szCs w:val="24"/>
        </w:rPr>
      </w:pPr>
      <w:r w:rsidRPr="00916F49">
        <w:rPr>
          <w:rFonts w:ascii="Times New Roman" w:hAnsi="Times New Roman" w:cs="Times New Roman"/>
          <w:sz w:val="24"/>
          <w:szCs w:val="24"/>
        </w:rPr>
        <w:t>Under a common point-in-time protocol, the five frozen architectures showed modest but architecture-dependent next-day SET50 directional structure rather than a universally superior configuration. Causal rolling VMD changed balanced accuracy by only -0.60 to +0.35 percentage points, predicted Local-NLP news did not survive the registered falsification and multiplicity controls and regime-specific SHAP improved CNN while producing mixed or negative effects elsewhere. The Bull/Bear/Leader system delivered a clear intrinsic sentiment advantage over compute-matched self-consistency, but that endpoint is distinct from downstream forecasting value. Partial-2026 testing exposed majority-side collapse in several objectives and frozen SET100 transfer weakened all five models. Collectively, the findings support the paper's central contribution: a reproducible audit framework that distinguishes selected component gains from improvements that remain reliable across time, architectures, controls and transfer settings.</w:t>
      </w:r>
    </w:p>
    <w:p>
      <w:pPr>
        <w:pStyle w:val="Heading2"/>
        <w:spacing w:before="180" w:after="60" w:line="240" w:lineRule="auto"/>
        <w:jc w:val="left"/>
        <w:keepNext/>
      </w:pPr>
      <w:r>
        <w:rPr>
          <w:rFonts w:ascii="Times New Roman" w:hAnsi="Times New Roman" w:cs="Times New Roman"/>
          <w:sz w:val="24"/>
          <w:szCs w:val="24"/>
          <w:b/>
          <w:bCs/>
        </w:rPr>
        <w:t>Limitations</w:t>
      </w:r>
    </w:p>
    <w:p w14:paraId="2697D7FF" w14:textId="7DA36568" w:rsidR="00916F49" w:rsidRPr="00916F49" w:rsidRDefault="00916F49" w:rsidP="009960B6">
      <w:pPr>
        <w:pStyle w:val="Normal"/>
        <w:spacing w:line="360" w:lineRule="auto" w:after="120"/>
        <w:jc w:val="both"/>
        <w:rPr>
          <w:rFonts w:ascii="Times New Roman" w:hAnsi="Times New Roman" w:cs="Times New Roman"/>
          <w:sz w:val="24"/>
          <w:szCs w:val="24"/>
        </w:rPr>
      </w:pPr>
      <w:r>
        <w:rPr>
          <w:rFonts w:ascii="Times New Roman" w:hAnsi="Times New Roman" w:cs="Times New Roman"/>
          <w:sz w:val="24"/>
          <w:szCs w:val="24"/>
        </w:rPr>
        <w:t>Temporal inference is based on four outer test years, so the exact sign-flip design has limited power and cannot establish small but consistent effects below its attainable p-value resolution. The 2026 sample is partial-year and source-contingent, SET100 is an overlapping same-exchange index rather than an independent market and news coverage varies in source, length, labelling and timestamp precision across periods. The LLM roles share one proprietary base model and intrinsic sentiment gains do not isolate debate as the unique mechanism or guarantee forecasting value. SHAP describes fitted-model attribution rather than causal market effects, while the low-fidelity LIME diagnostic limits feature-level interpretation. These constraints bound the claims to reliability under the audited SET setting rather than universal market predictability or deployment readiness.</w:t>
      </w:r>
    </w:p>
    <w:p>
      <w:pPr>
        <w:pStyle w:val="Heading2"/>
        <w:spacing w:before="180" w:after="60" w:line="240" w:lineRule="auto"/>
        <w:jc w:val="left"/>
        <w:keepNext/>
      </w:pPr>
      <w:r>
        <w:rPr>
          <w:rFonts w:ascii="Times New Roman" w:hAnsi="Times New Roman" w:cs="Times New Roman"/>
          <w:sz w:val="24"/>
          <w:szCs w:val="24"/>
          <w:b/>
          <w:bCs/>
        </w:rPr>
        <w:t>Future Work</w:t>
      </w:r>
    </w:p>
    <w:p w14:paraId="77CA9B5B" w14:textId="3BF5EB0D" w:rsidR="00916F49" w:rsidRPr="00916F49" w:rsidRDefault="00916F49" w:rsidP="009960B6">
      <w:pPr>
        <w:pStyle w:val="Normal"/>
        <w:spacing w:line="360" w:lineRule="auto" w:after="120"/>
        <w:jc w:val="both"/>
        <w:rPr>
          <w:rFonts w:ascii="Times New Roman" w:hAnsi="Times New Roman" w:cs="Times New Roman"/>
          <w:sz w:val="24"/>
          <w:szCs w:val="24"/>
        </w:rPr>
      </w:pPr>
      <w:r>
        <w:rPr>
          <w:rFonts w:ascii="Times New Roman" w:hAnsi="Times New Roman" w:cs="Times New Roman"/>
          <w:sz w:val="24"/>
          <w:szCs w:val="24"/>
        </w:rPr>
        <w:t>The next study should preregister the complete protocol before opening a full untouched forward year, evaluate at least one independent ASEAN or comparable emerging-market index and construct a consistently licensed point-in-time news archive with verifiable publication timestamps and constituent membership. The Leader-derived forecasting arm should be frozen and assessed on an identical common cohort with article coverage, latency, cost, failures and paired uncertainty reported alongside predictive metrics. Model development should then focus on a single prespecified architecture and calibration strategy, followed by prospective shadow evaluation, rather than further selection on the already inspected 2022-2026 outcomes.</w:t>
      </w:r>
    </w:p>
    <w:p w14:paraId="762E33AA" w14:textId="77777777" w:rsidR="00916F49" w:rsidRPr="00916F49" w:rsidRDefault="00916F49" w:rsidP="009960B6">
      <w:pPr>
        <w:pStyle w:val="Heading1"/>
        <w:spacing w:line="240" w:lineRule="auto" w:before="240" w:after="120"/>
        <w:rPr>
          <w:rFonts w:ascii="Times New Roman" w:hAnsi="Times New Roman" w:cs="Times New Roman"/>
          <w:b/>
          <w:sz w:val="24"/>
          <w:szCs w:val="24"/>
        </w:rPr>
        <w:jc w:val="left"/>
        <w:keepNext/>
      </w:pPr>
      <w:r>
        <w:rPr>
          <w:rFonts w:ascii="Times New Roman" w:hAnsi="Times New Roman" w:cs="Times New Roman"/>
          <w:sz w:val="24"/>
          <w:szCs w:val="24"/>
          <w:b/>
          <w:bCs/>
        </w:rPr>
        <w:t>Acknowledgements</w:t>
      </w:r>
    </w:p>
    <w:p w14:paraId="0C66AB58" w14:textId="77777777"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The authors thank their respective institutions for providing the research environment in which this study was conducted.</w:t>
      </w:r>
    </w:p>
    <w:p w14:paraId="7C42CC78" w14:textId="77777777" w:rsidR="00916F49" w:rsidRPr="00916F49" w:rsidRDefault="00916F49" w:rsidP="009960B6">
      <w:pPr>
        <w:pStyle w:val="Heading1"/>
        <w:spacing w:line="240" w:lineRule="auto" w:before="240" w:after="120"/>
        <w:rPr>
          <w:rFonts w:ascii="Times New Roman" w:hAnsi="Times New Roman" w:cs="Times New Roman"/>
          <w:b/>
          <w:sz w:val="24"/>
          <w:szCs w:val="24"/>
        </w:rPr>
        <w:jc w:val="left"/>
        <w:keepNext/>
      </w:pPr>
      <w:r>
        <w:rPr>
          <w:rFonts w:ascii="Times New Roman" w:hAnsi="Times New Roman" w:cs="Times New Roman"/>
          <w:sz w:val="24"/>
          <w:szCs w:val="24"/>
          <w:b/>
          <w:bCs/>
        </w:rPr>
        <w:t>Reproducibility and Data Availability</w:t>
      </w:r>
    </w:p>
    <w:p w14:paraId="30D94C3C" w14:textId="5C48CF5A" w:rsidR="00916F49" w:rsidRPr="00916F49" w:rsidRDefault="00916F49" w:rsidP="009960B6">
      <w:pPr>
        <w:spacing w:line="360" w:lineRule="auto"/>
        <w:jc w:val="both"/>
        <w:rPr>
          <w:rFonts w:ascii="Times New Roman" w:hAnsi="Times New Roman" w:cs="Times New Roman"/>
          <w:sz w:val="24"/>
          <w:szCs w:val="24"/>
        </w:rPr>
      </w:pPr>
      <w:r w:rsidRPr="00916F49">
        <w:rPr>
          <w:rFonts w:ascii="Times New Roman" w:hAnsi="Times New Roman" w:cs="Times New Roman"/>
          <w:sz w:val="24"/>
          <w:szCs w:val="24"/>
        </w:rPr>
        <w:t xml:space="preserve">The reproducibility package contains the model and evaluation code, fixed seeds, architecture and window specifications, temporal split definitions, point-in-time data contracts, prompt and protocol hashes, aggregate outputs, runtime and cost ledgers and non-reconstructive integrity summaries. Raw SET50 and SET100 market rows are not redistributed; they can be obtained from the publicly accessible Investing.com </w:t>
      </w:r>
      <w:r w:rsidR="007949B2" w:rsidRPr="00916F49">
        <w:rPr>
          <w:rFonts w:ascii="Times New Roman" w:hAnsi="Times New Roman" w:cs="Times New Roman"/>
          <w:sz w:val="24"/>
          <w:szCs w:val="24"/>
        </w:rPr>
        <w:t>historical data</w:t>
      </w:r>
      <w:r w:rsidRPr="00916F49">
        <w:rPr>
          <w:rFonts w:ascii="Times New Roman" w:hAnsi="Times New Roman" w:cs="Times New Roman"/>
          <w:sz w:val="24"/>
          <w:szCs w:val="24"/>
        </w:rPr>
        <w:t xml:space="preserve"> pages subject to the provider's terms. Official 2024-2025 headlines remain subject to the Stock Exchange of Thailand website terms and Bilingual </w:t>
      </w:r>
      <w:proofErr w:type="spellStart"/>
      <w:r w:rsidRPr="00916F49">
        <w:rPr>
          <w:rFonts w:ascii="Times New Roman" w:hAnsi="Times New Roman" w:cs="Times New Roman"/>
          <w:sz w:val="24"/>
          <w:szCs w:val="24"/>
        </w:rPr>
        <w:t>StockTBSA</w:t>
      </w:r>
      <w:proofErr w:type="spellEnd"/>
      <w:r w:rsidRPr="00916F49">
        <w:rPr>
          <w:rFonts w:ascii="Times New Roman" w:hAnsi="Times New Roman" w:cs="Times New Roman"/>
          <w:sz w:val="24"/>
          <w:szCs w:val="24"/>
        </w:rPr>
        <w:t xml:space="preserve"> is available from its public repository under the </w:t>
      </w:r>
      <w:proofErr w:type="spellStart"/>
      <w:r w:rsidRPr="00916F49">
        <w:rPr>
          <w:rFonts w:ascii="Times New Roman" w:hAnsi="Times New Roman" w:cs="Times New Roman"/>
          <w:sz w:val="24"/>
          <w:szCs w:val="24"/>
        </w:rPr>
        <w:t>licence</w:t>
      </w:r>
      <w:proofErr w:type="spellEnd"/>
      <w:r w:rsidRPr="00916F49">
        <w:rPr>
          <w:rFonts w:ascii="Times New Roman" w:hAnsi="Times New Roman" w:cs="Times New Roman"/>
          <w:sz w:val="24"/>
          <w:szCs w:val="24"/>
        </w:rPr>
        <w:t xml:space="preserve"> stated in its dataset card. Processed artifacts are shared only when they do not permit reconstruction of restricted raw records. The archival repository URL or DOI will be added after deposit.</w:t>
      </w:r>
    </w:p>
    <w:p w14:paraId="0702F8A5" w14:textId="472D5316" w:rsidR="00B76A4C" w:rsidRDefault="001539DB" w:rsidP="009960B6">
      <w:pPr>
        <w:pStyle w:val="Heading1"/>
        <w:keepNext/>
        <w:keepLines/>
        <w:spacing w:before="240" w:line="240" w:lineRule="auto" w:after="120"/>
        <w:rPr>
          <w:rFonts w:ascii="Times New Roman" w:hAnsi="Times New Roman" w:cs="Times New Roman"/>
          <w:b/>
          <w:sz w:val="24"/>
          <w:szCs w:val="24"/>
        </w:rPr>
        <w:jc w:val="left"/>
      </w:pPr>
      <w:r>
        <w:rPr>
          <w:rFonts w:ascii="Times New Roman" w:hAnsi="Times New Roman" w:cs="Times New Roman"/>
          <w:sz w:val="24"/>
          <w:szCs w:val="24"/>
          <w:b/>
          <w:bCs/>
        </w:rPr>
        <w:t>References</w:t>
      </w:r>
    </w:p>
    <w:p w14:paraId="4AC226DD" w14:textId="77777777" w:rsidR="001B5519" w:rsidRPr="0024759C" w:rsidRDefault="00100CEA"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b/>
          <w:sz w:val="24"/>
          <w:szCs w:val="24"/>
        </w:rPr>
        <w:fldChar w:fldCharType="begin"/>
      </w:r>
      <w:r w:rsidRPr="0024759C">
        <w:rPr>
          <w:rFonts w:ascii="Times New Roman" w:hAnsi="Times New Roman" w:cs="Times New Roman"/>
          <w:b/>
          <w:sz w:val="24"/>
          <w:szCs w:val="24"/>
        </w:rPr>
        <w:instrText xml:space="preserve"> ADDIN ZOTERO_BIBL {"uncited":[],"omitted":[],"custom":[]} CSL_BIBLIOGRAPHY </w:instrText>
      </w:r>
      <w:r w:rsidRPr="0024759C">
        <w:rPr>
          <w:rFonts w:ascii="Times New Roman" w:hAnsi="Times New Roman" w:cs="Times New Roman"/>
          <w:b/>
          <w:sz w:val="24"/>
          <w:szCs w:val="24"/>
        </w:rPr>
        <w:fldChar w:fldCharType="separate"/>
      </w:r>
      <w:r w:rsidR="001B5519" w:rsidRPr="0024759C">
        <w:rPr>
          <w:rFonts w:ascii="Times New Roman" w:hAnsi="Times New Roman" w:cs="Times New Roman"/>
          <w:sz w:val="24"/>
          <w:szCs w:val="24"/>
        </w:rPr>
        <w:t xml:space="preserve">Adebayo, J., Gilmer, J., Muelly, M., Goodfellow, I., Hardt, M., &amp; Kim, B. (2018). Sanity Checks for Saliency Maps. </w:t>
      </w:r>
      <w:r w:rsidR="001B5519" w:rsidRPr="0024759C">
        <w:rPr>
          <w:rFonts w:ascii="Times New Roman" w:hAnsi="Times New Roman" w:cs="Times New Roman"/>
          <w:i/>
          <w:iCs/>
          <w:sz w:val="24"/>
          <w:szCs w:val="24"/>
        </w:rPr>
        <w:t>Advances in Neural Information Processing Systems</w:t>
      </w:r>
      <w:r w:rsidR="001B5519" w:rsidRPr="0024759C">
        <w:rPr>
          <w:rFonts w:ascii="Times New Roman" w:hAnsi="Times New Roman" w:cs="Times New Roman"/>
          <w:sz w:val="24"/>
          <w:szCs w:val="24"/>
        </w:rPr>
        <w:t xml:space="preserve">, </w:t>
      </w:r>
      <w:r w:rsidR="001B5519" w:rsidRPr="0024759C">
        <w:rPr>
          <w:rFonts w:ascii="Times New Roman" w:hAnsi="Times New Roman" w:cs="Times New Roman"/>
          <w:i/>
          <w:iCs/>
          <w:sz w:val="24"/>
          <w:szCs w:val="24"/>
        </w:rPr>
        <w:t>31</w:t>
      </w:r>
      <w:r w:rsidR="001B5519" w:rsidRPr="0024759C">
        <w:rPr>
          <w:rFonts w:ascii="Times New Roman" w:hAnsi="Times New Roman" w:cs="Times New Roman"/>
          <w:sz w:val="24"/>
          <w:szCs w:val="24"/>
        </w:rPr>
        <w:t>. https://proceedings.neurips.cc/paper_files/paper/2018/hash/294a8ed24b1ad22ec2e7efea049b8737-Abstract.html</w:t>
      </w:r>
    </w:p>
    <w:p w14:paraId="1559D88F"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Arnott, R. D., Harvey, C. R., &amp; Markowitz, H. (2019). A Backtesting Protocol in the Era of Machine Learning. </w:t>
      </w:r>
      <w:r w:rsidRPr="0024759C">
        <w:rPr>
          <w:rFonts w:ascii="Times New Roman" w:hAnsi="Times New Roman" w:cs="Times New Roman"/>
          <w:i/>
          <w:iCs/>
          <w:sz w:val="24"/>
          <w:szCs w:val="24"/>
        </w:rPr>
        <w:t>The Journal of Financial Data Science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w:t>
      </w:r>
      <w:r w:rsidRPr="0024759C">
        <w:rPr>
          <w:rFonts w:ascii="Times New Roman" w:hAnsi="Times New Roman" w:cs="Times New Roman"/>
          <w:sz w:val="24"/>
          <w:szCs w:val="24"/>
        </w:rPr>
        <w:t>(1), 64–74. https://doi.org/10.3905/jfds.2019.1.064</w:t>
      </w:r>
    </w:p>
    <w:p w14:paraId="32D5AB7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Bailey, D. H., &amp; López de Prado, M. (2014). The Deflated Sharpe Ratio: Correcting for Selection Bias, Backtest Overfitting, and Non-Normality. </w:t>
      </w:r>
      <w:r w:rsidRPr="0024759C">
        <w:rPr>
          <w:rFonts w:ascii="Times New Roman" w:hAnsi="Times New Roman" w:cs="Times New Roman"/>
          <w:i/>
          <w:iCs/>
          <w:sz w:val="24"/>
          <w:szCs w:val="24"/>
        </w:rPr>
        <w:t>The Journal of Portfolio Management</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40</w:t>
      </w:r>
      <w:r w:rsidRPr="0024759C">
        <w:rPr>
          <w:rFonts w:ascii="Times New Roman" w:hAnsi="Times New Roman" w:cs="Times New Roman"/>
          <w:sz w:val="24"/>
          <w:szCs w:val="24"/>
        </w:rPr>
        <w:t>(5), 94–107. https://doi.org/10.3905/jpm.2014.40.5.094</w:t>
      </w:r>
    </w:p>
    <w:p w14:paraId="4A207D1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Bergmeir, C., Hyndman, R. J., &amp; Koo, B. (2018). A Note on the Validity of Cross-Validation for Evaluating Autoregressive Time Series Prediction. </w:t>
      </w:r>
      <w:r w:rsidRPr="0024759C">
        <w:rPr>
          <w:rFonts w:ascii="Times New Roman" w:hAnsi="Times New Roman" w:cs="Times New Roman"/>
          <w:i/>
          <w:iCs/>
          <w:sz w:val="24"/>
          <w:szCs w:val="24"/>
        </w:rPr>
        <w:t>Computational Statistics &amp; Data Analysis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120</w:t>
      </w:r>
      <w:r w:rsidRPr="0024759C">
        <w:rPr>
          <w:rFonts w:ascii="Times New Roman" w:hAnsi="Times New Roman" w:cs="Times New Roman"/>
          <w:sz w:val="24"/>
          <w:szCs w:val="24"/>
        </w:rPr>
        <w:t>, 70–83. https://doi.org/10.1016/j.csda.2017.11.003</w:t>
      </w:r>
    </w:p>
    <w:p w14:paraId="5B6C2C1B"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Brodersen, K. H., Ong, C. S., Stephan, K. E., &amp; Buhmann, J. M. (2010). The Balanced Accuracy and Its Posterior Distribution. </w:t>
      </w:r>
      <w:r w:rsidRPr="0024759C">
        <w:rPr>
          <w:rFonts w:ascii="Times New Roman" w:hAnsi="Times New Roman" w:cs="Times New Roman"/>
          <w:i/>
          <w:iCs/>
          <w:sz w:val="24"/>
          <w:szCs w:val="24"/>
        </w:rPr>
        <w:t>2010 20th International Conference on Pattern Recognition</w:t>
      </w:r>
      <w:r w:rsidRPr="0024759C">
        <w:rPr>
          <w:rFonts w:ascii="Times New Roman" w:hAnsi="Times New Roman" w:cs="Times New Roman"/>
          <w:sz w:val="24"/>
          <w:szCs w:val="24"/>
        </w:rPr>
        <w:t>, 3121–3124. https://doi.org/10.1109/ICPR.2010.764</w:t>
      </w:r>
    </w:p>
    <w:p w14:paraId="5FE4E39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Dong, Y., Wu, F., Zhang, K., Dai, Y., Zhang, S., Ye, W., Chen, S., &amp; Cheng, Z.-Q. (2025). Large Language Model Agents in Finance: A Survey Bridging Research, Practice, and Real-World Deployment. </w:t>
      </w:r>
      <w:r w:rsidRPr="0024759C">
        <w:rPr>
          <w:rFonts w:ascii="Times New Roman" w:hAnsi="Times New Roman" w:cs="Times New Roman"/>
          <w:i/>
          <w:iCs/>
          <w:sz w:val="24"/>
          <w:szCs w:val="24"/>
        </w:rPr>
        <w:t>Findings of the Association for Computational Linguistics: EMNLP 2025</w:t>
      </w:r>
      <w:r w:rsidRPr="0024759C">
        <w:rPr>
          <w:rFonts w:ascii="Times New Roman" w:hAnsi="Times New Roman" w:cs="Times New Roman"/>
          <w:sz w:val="24"/>
          <w:szCs w:val="24"/>
        </w:rPr>
        <w:t>, 17889–17907. https://doi.org/10.18653/v1/2025.findings-emnlp.972</w:t>
      </w:r>
    </w:p>
    <w:p w14:paraId="6AFC2B9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Dragomiretskiy, K., &amp; Zosso, D. (2014). Variational Mode Decomposition. </w:t>
      </w:r>
      <w:r w:rsidRPr="0024759C">
        <w:rPr>
          <w:rFonts w:ascii="Times New Roman" w:hAnsi="Times New Roman" w:cs="Times New Roman"/>
          <w:i/>
          <w:iCs/>
          <w:sz w:val="24"/>
          <w:szCs w:val="24"/>
        </w:rPr>
        <w:t>IEEE Transactions on Signal Processing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62</w:t>
      </w:r>
      <w:r w:rsidRPr="0024759C">
        <w:rPr>
          <w:rFonts w:ascii="Times New Roman" w:hAnsi="Times New Roman" w:cs="Times New Roman"/>
          <w:sz w:val="24"/>
          <w:szCs w:val="24"/>
        </w:rPr>
        <w:t>(3), 531–544. https://doi.org/10.1109/TSP.2013.2288675</w:t>
      </w:r>
    </w:p>
    <w:p w14:paraId="6722075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Du, Y., Li, S., Torralba, A., Tenenbaum, J. B., &amp; Mordatch, I. (2024). Improving Factuality and Reasoning in Language Models through Multiagent Debate. </w:t>
      </w:r>
      <w:r w:rsidRPr="0024759C">
        <w:rPr>
          <w:rFonts w:ascii="Times New Roman" w:hAnsi="Times New Roman" w:cs="Times New Roman"/>
          <w:i/>
          <w:iCs/>
          <w:sz w:val="24"/>
          <w:szCs w:val="24"/>
        </w:rPr>
        <w:t>Proceedings of the 41st International Conference on Machine Learning, Proceedings of Machine Learning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235</w:t>
      </w:r>
      <w:r w:rsidRPr="0024759C">
        <w:rPr>
          <w:rFonts w:ascii="Times New Roman" w:hAnsi="Times New Roman" w:cs="Times New Roman"/>
          <w:sz w:val="24"/>
          <w:szCs w:val="24"/>
        </w:rPr>
        <w:t>, 11733–11763. https://proceedings.mlr.press/v235/du24e.html</w:t>
      </w:r>
    </w:p>
    <w:p w14:paraId="1F81793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Fama, E. F. (1970). Efficient Capital Markets: A Review of Theory and Empirical Work. </w:t>
      </w:r>
      <w:r w:rsidRPr="0024759C">
        <w:rPr>
          <w:rFonts w:ascii="Times New Roman" w:hAnsi="Times New Roman" w:cs="Times New Roman"/>
          <w:i/>
          <w:iCs/>
          <w:sz w:val="24"/>
          <w:szCs w:val="24"/>
        </w:rPr>
        <w:t>The Journal of Finance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w:t>
      </w:r>
      <w:r w:rsidRPr="0024759C">
        <w:rPr>
          <w:rFonts w:ascii="Times New Roman" w:hAnsi="Times New Roman" w:cs="Times New Roman"/>
          <w:sz w:val="24"/>
          <w:szCs w:val="24"/>
        </w:rPr>
        <w:t>(2), 383–417. https://doi.org/10.1111/j.1540-6261.1970.tb00518.x</w:t>
      </w:r>
    </w:p>
    <w:p w14:paraId="451310B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Fischer, T., &amp; Krauss, C. (2018). Deep Learning with Long Short-Term Memory Networks for Financial Market Predictions. </w:t>
      </w:r>
      <w:r w:rsidRPr="0024759C">
        <w:rPr>
          <w:rFonts w:ascii="Times New Roman" w:hAnsi="Times New Roman" w:cs="Times New Roman"/>
          <w:i/>
          <w:iCs/>
          <w:sz w:val="24"/>
          <w:szCs w:val="24"/>
        </w:rPr>
        <w:t>European Journal of Operational Research</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270</w:t>
      </w:r>
      <w:r w:rsidRPr="0024759C">
        <w:rPr>
          <w:rFonts w:ascii="Times New Roman" w:hAnsi="Times New Roman" w:cs="Times New Roman"/>
          <w:sz w:val="24"/>
          <w:szCs w:val="24"/>
        </w:rPr>
        <w:t>(2), 654–669. https://doi.org/10.1016/j.ejor.2017.11.054</w:t>
      </w:r>
    </w:p>
    <w:p w14:paraId="0773F92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Hochreiter, S., &amp; Schmidhuber, J. (1997). Long Short-Term Memory. </w:t>
      </w:r>
      <w:r w:rsidRPr="0024759C">
        <w:rPr>
          <w:rFonts w:ascii="Times New Roman" w:hAnsi="Times New Roman" w:cs="Times New Roman"/>
          <w:i/>
          <w:iCs/>
          <w:sz w:val="24"/>
          <w:szCs w:val="24"/>
        </w:rPr>
        <w:t>Neural Computation</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w:t>
      </w:r>
      <w:r w:rsidRPr="0024759C">
        <w:rPr>
          <w:rFonts w:ascii="Times New Roman" w:hAnsi="Times New Roman" w:cs="Times New Roman"/>
          <w:sz w:val="24"/>
          <w:szCs w:val="24"/>
        </w:rPr>
        <w:t>(8), 1735–1780. https://doi.org/10.1162/neco.1997.9.8.1735</w:t>
      </w:r>
    </w:p>
    <w:p w14:paraId="0729C5A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Holm, S. (1979). A Simple Sequentially Rejective Multiple Test Procedure. </w:t>
      </w:r>
      <w:r w:rsidRPr="0024759C">
        <w:rPr>
          <w:rFonts w:ascii="Times New Roman" w:hAnsi="Times New Roman" w:cs="Times New Roman"/>
          <w:i/>
          <w:iCs/>
          <w:sz w:val="24"/>
          <w:szCs w:val="24"/>
        </w:rPr>
        <w:t>Scandinavian Journal of Statistics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6</w:t>
      </w:r>
      <w:r w:rsidRPr="0024759C">
        <w:rPr>
          <w:rFonts w:ascii="Times New Roman" w:hAnsi="Times New Roman" w:cs="Times New Roman"/>
          <w:sz w:val="24"/>
          <w:szCs w:val="24"/>
        </w:rPr>
        <w:t>(2), 65–70. https://doi.org/10.2307/4615733</w:t>
      </w:r>
    </w:p>
    <w:p w14:paraId="689151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Hoseinzade, E., &amp; Haratizadeh, S. (2019). CNNpred: CNN-Based Stock Market Prediction Using a Diverse Set of Variables.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129</w:t>
      </w:r>
      <w:r w:rsidRPr="0024759C">
        <w:rPr>
          <w:rFonts w:ascii="Times New Roman" w:hAnsi="Times New Roman" w:cs="Times New Roman"/>
          <w:sz w:val="24"/>
          <w:szCs w:val="24"/>
        </w:rPr>
        <w:t>, 273–285. https://doi.org/10.1016/j.eswa.2019.03.029</w:t>
      </w:r>
    </w:p>
    <w:p w14:paraId="29EC577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Investing.com. (n.d.-a). </w:t>
      </w:r>
      <w:r w:rsidRPr="0024759C">
        <w:rPr>
          <w:rFonts w:ascii="Times New Roman" w:hAnsi="Times New Roman" w:cs="Times New Roman"/>
          <w:i/>
          <w:iCs/>
          <w:sz w:val="24"/>
          <w:szCs w:val="24"/>
        </w:rPr>
        <w:t>SET 50 Historical Data</w:t>
      </w:r>
      <w:r w:rsidRPr="0024759C">
        <w:rPr>
          <w:rFonts w:ascii="Times New Roman" w:hAnsi="Times New Roman" w:cs="Times New Roman"/>
          <w:sz w:val="24"/>
          <w:szCs w:val="24"/>
        </w:rPr>
        <w:t>. Retrieved https://th.investing.com/indices/set-50-historical-data</w:t>
      </w:r>
    </w:p>
    <w:p w14:paraId="6AE4973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Investing.com. (n.d.-b). </w:t>
      </w:r>
      <w:r w:rsidRPr="0024759C">
        <w:rPr>
          <w:rFonts w:ascii="Times New Roman" w:hAnsi="Times New Roman" w:cs="Times New Roman"/>
          <w:i/>
          <w:iCs/>
          <w:sz w:val="24"/>
          <w:szCs w:val="24"/>
        </w:rPr>
        <w:t>SET 100 Historical Data</w:t>
      </w:r>
      <w:r w:rsidRPr="0024759C">
        <w:rPr>
          <w:rFonts w:ascii="Times New Roman" w:hAnsi="Times New Roman" w:cs="Times New Roman"/>
          <w:sz w:val="24"/>
          <w:szCs w:val="24"/>
        </w:rPr>
        <w:t>. Retrieved https://www.investing.com/indices/set-100-historical-data</w:t>
      </w:r>
    </w:p>
    <w:p w14:paraId="5E8B210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Liang, T., He, Z., Jiao, W., Wang, X., Wang, Y., Wang, R., Yang, Y., Shi, S., &amp; Tu, Z. (2024). Encouraging Divergent Thinking in Large Language Models through Multi-Agent Debate. </w:t>
      </w:r>
      <w:r w:rsidRPr="0024759C">
        <w:rPr>
          <w:rFonts w:ascii="Times New Roman" w:hAnsi="Times New Roman" w:cs="Times New Roman"/>
          <w:i/>
          <w:iCs/>
          <w:sz w:val="24"/>
          <w:szCs w:val="24"/>
        </w:rPr>
        <w:t>Proceedings of the 2024 Conference on Empirical Methods in Natural Language Processing</w:t>
      </w:r>
      <w:r w:rsidRPr="0024759C">
        <w:rPr>
          <w:rFonts w:ascii="Times New Roman" w:hAnsi="Times New Roman" w:cs="Times New Roman"/>
          <w:sz w:val="24"/>
          <w:szCs w:val="24"/>
        </w:rPr>
        <w:t>, 17889–17904. https://doi.org/10.18653/v1/2024.emnlp-main.992</w:t>
      </w:r>
    </w:p>
    <w:p w14:paraId="1A7E0A6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T., Ma, X., Li, S., Li, X., &amp; Zhang, C. (2022). A Stock Price Prediction Method Based on Meta-Learning and Variational Mode Decomposition. </w:t>
      </w:r>
      <w:r w:rsidRPr="0024759C">
        <w:rPr>
          <w:rFonts w:ascii="Times New Roman" w:hAnsi="Times New Roman" w:cs="Times New Roman"/>
          <w:i/>
          <w:iCs/>
          <w:sz w:val="24"/>
          <w:szCs w:val="24"/>
        </w:rPr>
        <w:t>Knowledge-Based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252</w:t>
      </w:r>
      <w:r w:rsidRPr="0024759C">
        <w:rPr>
          <w:rFonts w:ascii="Times New Roman" w:hAnsi="Times New Roman" w:cs="Times New Roman"/>
          <w:sz w:val="24"/>
          <w:szCs w:val="24"/>
        </w:rPr>
        <w:t>, 109324. https://doi.org/10.1016/j.knosys.2022.109324</w:t>
      </w:r>
    </w:p>
    <w:p w14:paraId="70616ECC"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W.-J., Ge, Y.-B., &amp; Gu, Y.-C. (2024). News-Driven Stock Market Index Prediction Based on Trellis Network and Sentiment Attention Mechanism.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250</w:t>
      </w:r>
      <w:r w:rsidRPr="0024759C">
        <w:rPr>
          <w:rFonts w:ascii="Times New Roman" w:hAnsi="Times New Roman" w:cs="Times New Roman"/>
          <w:sz w:val="24"/>
          <w:szCs w:val="24"/>
        </w:rPr>
        <w:t>, 123966. https://doi.org/10.1016/j.eswa.2024.123966</w:t>
      </w:r>
    </w:p>
    <w:p w14:paraId="64E48B7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Liu, Y., Huang, S., Tian, X., Zhang, F., Zhao, F., &amp; Zhang, C. (2024). A Stock Series Prediction Model Based on Variational Mode Decomposition and Dual-Channel Attention Network. </w:t>
      </w:r>
      <w:r w:rsidRPr="0024759C">
        <w:rPr>
          <w:rFonts w:ascii="Times New Roman" w:hAnsi="Times New Roman" w:cs="Times New Roman"/>
          <w:i/>
          <w:iCs/>
          <w:sz w:val="24"/>
          <w:szCs w:val="24"/>
        </w:rPr>
        <w:t>Expert Systems with Applications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238</w:t>
      </w:r>
      <w:r w:rsidRPr="0024759C">
        <w:rPr>
          <w:rFonts w:ascii="Times New Roman" w:hAnsi="Times New Roman" w:cs="Times New Roman"/>
          <w:sz w:val="24"/>
          <w:szCs w:val="24"/>
        </w:rPr>
        <w:t>, 121708. https://doi.org/10.1016/j.eswa.2023.121708</w:t>
      </w:r>
    </w:p>
    <w:p w14:paraId="2EC6F16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Lundberg, S. M., &amp; Lee, S.-I. (2017). A Unified Approach to Interpreting Model Predictions.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https://proceedings.neurips.cc/paper_files/paper/2017/hash/8a20a8621978632d76c43dfd28b67767-Abstract.html</w:t>
      </w:r>
    </w:p>
    <w:p w14:paraId="2126E2F8"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Luo, D., Liao, W., Li, S., Cheng, X., &amp; Yan, R. (2023). Causality-Guided Multi-Memory Interaction Network for Multivariate Stock Price Movement Prediction. </w:t>
      </w:r>
      <w:r w:rsidRPr="0024759C">
        <w:rPr>
          <w:rFonts w:ascii="Times New Roman" w:hAnsi="Times New Roman" w:cs="Times New Roman"/>
          <w:i/>
          <w:iCs/>
          <w:sz w:val="24"/>
          <w:szCs w:val="24"/>
        </w:rPr>
        <w:t>Proceedings of the 61st Annual Meeting of the Association for Computational Linguistics (Volume 1: Long Papers)</w:t>
      </w:r>
      <w:r w:rsidRPr="0024759C">
        <w:rPr>
          <w:rFonts w:ascii="Times New Roman" w:hAnsi="Times New Roman" w:cs="Times New Roman"/>
          <w:sz w:val="24"/>
          <w:szCs w:val="24"/>
        </w:rPr>
        <w:t>, 12164–12176. https://doi.org/10.18653/v1/2023.acl-long.679</w:t>
      </w:r>
    </w:p>
    <w:p w14:paraId="6BDDF79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Moskowitz, T. J., Ooi, Y. H., &amp; Pedersen, L. H. (2012). Time Series Momentum. </w:t>
      </w:r>
      <w:r w:rsidRPr="0024759C">
        <w:rPr>
          <w:rFonts w:ascii="Times New Roman" w:hAnsi="Times New Roman" w:cs="Times New Roman"/>
          <w:i/>
          <w:iCs/>
          <w:sz w:val="24"/>
          <w:szCs w:val="24"/>
        </w:rPr>
        <w:t>Journal of Financial Economics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104</w:t>
      </w:r>
      <w:r w:rsidRPr="0024759C">
        <w:rPr>
          <w:rFonts w:ascii="Times New Roman" w:hAnsi="Times New Roman" w:cs="Times New Roman"/>
          <w:sz w:val="24"/>
          <w:szCs w:val="24"/>
        </w:rPr>
        <w:t>(2), 228–250. https://doi.org/10.1016/j.jfineco.2011.11.003</w:t>
      </w:r>
    </w:p>
    <w:p w14:paraId="3D6F6DB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Olorunnimbe, K., &amp; Viktor, H. (2023). Deep Learning in the Stock Market—A Systematic Survey of Practice, Backtesting, and Applications.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56</w:t>
      </w:r>
      <w:r w:rsidRPr="0024759C">
        <w:rPr>
          <w:rFonts w:ascii="Times New Roman" w:hAnsi="Times New Roman" w:cs="Times New Roman"/>
          <w:sz w:val="24"/>
          <w:szCs w:val="24"/>
        </w:rPr>
        <w:t>(3), 2057–2109. https://doi.org/10.1007/s10462-022-10226-0</w:t>
      </w:r>
    </w:p>
    <w:p w14:paraId="76D0B8A7"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Pagan, A. R., &amp; Sossounov, K. A. (2003). A Simple Framework for Analysing Bull and Bear Markets. </w:t>
      </w:r>
      <w:r w:rsidRPr="0024759C">
        <w:rPr>
          <w:rFonts w:ascii="Times New Roman" w:hAnsi="Times New Roman" w:cs="Times New Roman"/>
          <w:i/>
          <w:iCs/>
          <w:sz w:val="24"/>
          <w:szCs w:val="24"/>
        </w:rPr>
        <w:t>Journal of Applied Econometrics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18</w:t>
      </w:r>
      <w:r w:rsidRPr="0024759C">
        <w:rPr>
          <w:rFonts w:ascii="Times New Roman" w:hAnsi="Times New Roman" w:cs="Times New Roman"/>
          <w:sz w:val="24"/>
          <w:szCs w:val="24"/>
        </w:rPr>
        <w:t>(1), 23–46. https://doi.org/10.1002/jae.664</w:t>
      </w:r>
    </w:p>
    <w:p w14:paraId="4048E132"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Politis, D. N., &amp; Romano, J. P. (1992). A Circular Block-Resampling Procedure for Stationary Data. In R. LePage &amp; L. Billard (Eds.), </w:t>
      </w:r>
      <w:r w:rsidRPr="0024759C">
        <w:rPr>
          <w:rFonts w:ascii="Times New Roman" w:hAnsi="Times New Roman" w:cs="Times New Roman"/>
          <w:i/>
          <w:iCs/>
          <w:sz w:val="24"/>
          <w:szCs w:val="24"/>
        </w:rPr>
        <w:t>Exploring the Limits of Bootstrap</w:t>
      </w:r>
      <w:r w:rsidRPr="0024759C">
        <w:rPr>
          <w:rFonts w:ascii="Times New Roman" w:hAnsi="Times New Roman" w:cs="Times New Roman"/>
          <w:sz w:val="24"/>
          <w:szCs w:val="24"/>
        </w:rPr>
        <w:t xml:space="preserve"> (pp. 263–270). John Wiley &amp; Sons.</w:t>
      </w:r>
    </w:p>
    <w:p w14:paraId="46F3FED3"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Qin, Y., Song, D., Chen, H., Cheng, W., Jiang, G., &amp; Cottrell, G. W. (2017). A Dual-Stage Attention-Based Recurrent Neural Network for Time Series Prediction. </w:t>
      </w:r>
      <w:r w:rsidRPr="0024759C">
        <w:rPr>
          <w:rFonts w:ascii="Times New Roman" w:hAnsi="Times New Roman" w:cs="Times New Roman"/>
          <w:i/>
          <w:iCs/>
          <w:sz w:val="24"/>
          <w:szCs w:val="24"/>
        </w:rPr>
        <w:t>Proceedings of the Twenty-Sixth International Joint Conference on Artificial Intelligence</w:t>
      </w:r>
      <w:r w:rsidRPr="0024759C">
        <w:rPr>
          <w:rFonts w:ascii="Times New Roman" w:hAnsi="Times New Roman" w:cs="Times New Roman"/>
          <w:sz w:val="24"/>
          <w:szCs w:val="24"/>
        </w:rPr>
        <w:t>, 2627–2633. https://doi.org/10.24963/ijcai.2017/366</w:t>
      </w:r>
    </w:p>
    <w:p w14:paraId="1983BF51"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Ribeiro, M. T., Singh, S., &amp; Guestrin, C. (2016). “Why Should I Trust You?”: Explaining the Predictions of Any Classifier. </w:t>
      </w:r>
      <w:r w:rsidRPr="0024759C">
        <w:rPr>
          <w:rFonts w:ascii="Times New Roman" w:hAnsi="Times New Roman" w:cs="Times New Roman"/>
          <w:i/>
          <w:iCs/>
          <w:sz w:val="24"/>
          <w:szCs w:val="24"/>
        </w:rPr>
        <w:t>Proceedings of the 22nd ACM SIGKDD International Conference on Knowledge Discovery and Data Mining</w:t>
      </w:r>
      <w:r w:rsidRPr="0024759C">
        <w:rPr>
          <w:rFonts w:ascii="Times New Roman" w:hAnsi="Times New Roman" w:cs="Times New Roman"/>
          <w:sz w:val="24"/>
          <w:szCs w:val="24"/>
        </w:rPr>
        <w:t>, 1135–1144. https://doi.org/10.1145/2939672.2939778</w:t>
      </w:r>
    </w:p>
    <w:p w14:paraId="6E4F5805"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Sawhney, R., Agarwal, S., Wadhwa, A., &amp; Shah, R. R. (2020). Deep Attentive Learning for Stock Movement Prediction From Social Media Text and Company Correlations. </w:t>
      </w:r>
      <w:r w:rsidRPr="0024759C">
        <w:rPr>
          <w:rFonts w:ascii="Times New Roman" w:hAnsi="Times New Roman" w:cs="Times New Roman"/>
          <w:i/>
          <w:iCs/>
          <w:sz w:val="24"/>
          <w:szCs w:val="24"/>
        </w:rPr>
        <w:t>Proceedings of the 2020 Conference on Empirical Methods in Natural Language Processing</w:t>
      </w:r>
      <w:r w:rsidRPr="0024759C">
        <w:rPr>
          <w:rFonts w:ascii="Times New Roman" w:hAnsi="Times New Roman" w:cs="Times New Roman"/>
          <w:sz w:val="24"/>
          <w:szCs w:val="24"/>
        </w:rPr>
        <w:t>, 8415–8426. https://doi.org/10.18653/v1/2020.emnlp-main.676</w:t>
      </w:r>
    </w:p>
    <w:p w14:paraId="74F0B09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Sezer, O. B., Gudelek, M. U., &amp; Ozbayoglu, A. M. (2020). Financial Time Series Forecasting with Deep Learning: A Systematic Literature Review: 2005–2019. </w:t>
      </w:r>
      <w:r w:rsidRPr="0024759C">
        <w:rPr>
          <w:rFonts w:ascii="Times New Roman" w:hAnsi="Times New Roman" w:cs="Times New Roman"/>
          <w:i/>
          <w:iCs/>
          <w:sz w:val="24"/>
          <w:szCs w:val="24"/>
        </w:rPr>
        <w:t>Applied Soft Computing</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90</w:t>
      </w:r>
      <w:r w:rsidRPr="0024759C">
        <w:rPr>
          <w:rFonts w:ascii="Times New Roman" w:hAnsi="Times New Roman" w:cs="Times New Roman"/>
          <w:sz w:val="24"/>
          <w:szCs w:val="24"/>
        </w:rPr>
        <w:t>, 106181. https://doi.org/10.1016/j.asoc.2020.106181</w:t>
      </w:r>
    </w:p>
    <w:p w14:paraId="50B3D64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(n.d.-a). </w:t>
      </w:r>
      <w:r w:rsidRPr="0024759C">
        <w:rPr>
          <w:rFonts w:ascii="Times New Roman" w:hAnsi="Times New Roman" w:cs="Times New Roman"/>
          <w:i/>
          <w:iCs/>
          <w:sz w:val="24"/>
          <w:szCs w:val="24"/>
        </w:rPr>
        <w:t>SET50 Index and SET50FF Index Profile</w:t>
      </w:r>
      <w:r w:rsidRPr="0024759C">
        <w:rPr>
          <w:rFonts w:ascii="Times New Roman" w:hAnsi="Times New Roman" w:cs="Times New Roman"/>
          <w:sz w:val="24"/>
          <w:szCs w:val="24"/>
        </w:rPr>
        <w:t>. Retrieved https://www.set.or.th/en/market/index/set50/profile</w:t>
      </w:r>
    </w:p>
    <w:p w14:paraId="1E30C6B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The Stock Exchange of Thailand. (n.d.-b). </w:t>
      </w:r>
      <w:r w:rsidRPr="0024759C">
        <w:rPr>
          <w:rFonts w:ascii="Times New Roman" w:hAnsi="Times New Roman" w:cs="Times New Roman"/>
          <w:i/>
          <w:iCs/>
          <w:sz w:val="24"/>
          <w:szCs w:val="24"/>
        </w:rPr>
        <w:t>SET100 Index and SET100FF Index Profile</w:t>
      </w:r>
      <w:r w:rsidRPr="0024759C">
        <w:rPr>
          <w:rFonts w:ascii="Times New Roman" w:hAnsi="Times New Roman" w:cs="Times New Roman"/>
          <w:sz w:val="24"/>
          <w:szCs w:val="24"/>
        </w:rPr>
        <w:t>. Retrieved https://www.set.or.th/en/market/index/set100/profile</w:t>
      </w:r>
    </w:p>
    <w:p w14:paraId="5043977E"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Uthayopas, C., Mai-On, C., Phatthiyaphaibun, W., Buaphet, W., Sawatphol, J., Sae Lim, S., Vongkulbhisal, J., Vorawathanabuncha, J., Nutanong, S., &amp; Udomcharoenchaikit, C. (2025). </w:t>
      </w:r>
      <w:r w:rsidRPr="0024759C">
        <w:rPr>
          <w:rFonts w:ascii="Times New Roman" w:hAnsi="Times New Roman" w:cs="Times New Roman"/>
          <w:i/>
          <w:iCs/>
          <w:sz w:val="24"/>
          <w:szCs w:val="24"/>
        </w:rPr>
        <w:t>Thai-English Target-Based Stock Sentiment Dataset for Financial News with ICL-Based Evaluation</w:t>
      </w:r>
      <w:r w:rsidRPr="0024759C">
        <w:rPr>
          <w:rFonts w:ascii="Times New Roman" w:hAnsi="Times New Roman" w:cs="Times New Roman"/>
          <w:sz w:val="24"/>
          <w:szCs w:val="24"/>
        </w:rPr>
        <w:t>. https://huggingface.co/datasets/airesearch/Bilingual_StockTBSA</w:t>
      </w:r>
    </w:p>
    <w:p w14:paraId="4C17AE24"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lastRenderedPageBreak/>
        <w:t xml:space="preserve">Vaswani, A., Shazeer, N., Parmar, N., Uszkoreit, J., Jones, L., Gomez, A. N., Kaiser, Ł., &amp; Polosukhin, I. (2017). Attention Is All You Need. </w:t>
      </w:r>
      <w:r w:rsidRPr="0024759C">
        <w:rPr>
          <w:rFonts w:ascii="Times New Roman" w:hAnsi="Times New Roman" w:cs="Times New Roman"/>
          <w:i/>
          <w:iCs/>
          <w:sz w:val="24"/>
          <w:szCs w:val="24"/>
        </w:rPr>
        <w:t>Advances in Neural Information Processing Systems</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30</w:t>
      </w:r>
      <w:r w:rsidRPr="0024759C">
        <w:rPr>
          <w:rFonts w:ascii="Times New Roman" w:hAnsi="Times New Roman" w:cs="Times New Roman"/>
          <w:sz w:val="24"/>
          <w:szCs w:val="24"/>
        </w:rPr>
        <w:t>. https://proceedings.neurips.cc/paper_files/paper/2017/hash/3f5ee243547dee91fbd053c1c4a845aa-Abstract.html</w:t>
      </w:r>
    </w:p>
    <w:p w14:paraId="43806E19"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H., Wang, T., &amp; Li, Y. (2020). Incorporating Expert-Based Investment Opinion Signals in Stock Prediction: A Deep Learning Framework. </w:t>
      </w:r>
      <w:r w:rsidRPr="0024759C">
        <w:rPr>
          <w:rFonts w:ascii="Times New Roman" w:hAnsi="Times New Roman" w:cs="Times New Roman"/>
          <w:i/>
          <w:iCs/>
          <w:sz w:val="24"/>
          <w:szCs w:val="24"/>
        </w:rPr>
        <w:t>Proceedings of the AAAI Conference on Artificial Intelligence</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34</w:t>
      </w:r>
      <w:r w:rsidRPr="0024759C">
        <w:rPr>
          <w:rFonts w:ascii="Times New Roman" w:hAnsi="Times New Roman" w:cs="Times New Roman"/>
          <w:sz w:val="24"/>
          <w:szCs w:val="24"/>
        </w:rPr>
        <w:t>(1), 971–978. https://doi.org/10.1609/aaai.v34i01.5445</w:t>
      </w:r>
    </w:p>
    <w:p w14:paraId="310C98D0"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M., Cohen, S. B., &amp; Ma, T. (2024). Modeling News Interactions and Influence for Financial Market Prediction. </w:t>
      </w:r>
      <w:r w:rsidRPr="0024759C">
        <w:rPr>
          <w:rFonts w:ascii="Times New Roman" w:hAnsi="Times New Roman" w:cs="Times New Roman"/>
          <w:i/>
          <w:iCs/>
          <w:sz w:val="24"/>
          <w:szCs w:val="24"/>
        </w:rPr>
        <w:t>Findings of the Association for Computational Linguistics: EMNLP 2024</w:t>
      </w:r>
      <w:r w:rsidRPr="0024759C">
        <w:rPr>
          <w:rFonts w:ascii="Times New Roman" w:hAnsi="Times New Roman" w:cs="Times New Roman"/>
          <w:sz w:val="24"/>
          <w:szCs w:val="24"/>
        </w:rPr>
        <w:t>, 3302–3314. https://doi.org/10.18653/v1/2024.findings-emnlp.189</w:t>
      </w:r>
    </w:p>
    <w:p w14:paraId="4B4F3456"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Wang, X., Wei, J., Schuurmans, D., Le, Q. V., Chi, E. H., Narang, S., Chowdhery, A., &amp; Zhou, D. (2023). Self-Consistency Improves Chain of Thought Reasoning in Language Models. </w:t>
      </w:r>
      <w:r w:rsidRPr="0024759C">
        <w:rPr>
          <w:rFonts w:ascii="Times New Roman" w:hAnsi="Times New Roman" w:cs="Times New Roman"/>
          <w:i/>
          <w:iCs/>
          <w:sz w:val="24"/>
          <w:szCs w:val="24"/>
        </w:rPr>
        <w:t>The Eleventh International Conference on Learning Representations</w:t>
      </w:r>
      <w:r w:rsidRPr="0024759C">
        <w:rPr>
          <w:rFonts w:ascii="Times New Roman" w:hAnsi="Times New Roman" w:cs="Times New Roman"/>
          <w:sz w:val="24"/>
          <w:szCs w:val="24"/>
        </w:rPr>
        <w:t>. https://openreview.net/forum?id=1PL1NIMMrw</w:t>
      </w:r>
    </w:p>
    <w:p w14:paraId="389799BD"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Wilder, J. W. Jr. (1978). </w:t>
      </w:r>
      <w:r w:rsidRPr="0024759C">
        <w:rPr>
          <w:rFonts w:ascii="Times New Roman" w:hAnsi="Times New Roman" w:cs="Times New Roman"/>
          <w:i/>
          <w:iCs/>
          <w:sz w:val="24"/>
          <w:szCs w:val="24"/>
        </w:rPr>
        <w:t>New Concepts in Technical Trading Systems</w:t>
      </w:r>
      <w:r w:rsidRPr="0024759C">
        <w:rPr>
          <w:rFonts w:ascii="Times New Roman" w:hAnsi="Times New Roman" w:cs="Times New Roman"/>
          <w:sz w:val="24"/>
          <w:szCs w:val="24"/>
        </w:rPr>
        <w:t>. Trend Research.</w:t>
      </w:r>
    </w:p>
    <w:p w14:paraId="2AF1C0FA" w14:textId="77777777" w:rsidR="001B5519" w:rsidRPr="0024759C" w:rsidRDefault="001B5519" w:rsidP="009960B6">
      <w:pPr>
        <w:pStyle w:val="Bibliography"/>
        <w:spacing w:after="120" w:line="360" w:lineRule="auto"/>
        <w:rPr>
          <w:rFonts w:ascii="Times New Roman" w:hAnsi="Times New Roman" w:cs="Times New Roman"/>
          <w:sz w:val="24"/>
          <w:szCs w:val="24"/>
        </w:rPr>
      </w:pPr>
      <w:r w:rsidRPr="0024759C">
        <w:rPr>
          <w:rFonts w:ascii="Times New Roman" w:hAnsi="Times New Roman" w:cs="Times New Roman"/>
          <w:sz w:val="24"/>
          <w:szCs w:val="24"/>
        </w:rPr>
        <w:t xml:space="preserve">Yeo, W. J., Van Der Heever, W., Mao, R., Cambria, E., Satapathy, R., &amp; Mengaldo, G. (2025). A Comprehensive Review on Financial Explainable AI. </w:t>
      </w:r>
      <w:r w:rsidRPr="0024759C">
        <w:rPr>
          <w:rFonts w:ascii="Times New Roman" w:hAnsi="Times New Roman" w:cs="Times New Roman"/>
          <w:i/>
          <w:iCs/>
          <w:sz w:val="24"/>
          <w:szCs w:val="24"/>
        </w:rPr>
        <w:t>Artificial Intelligence Review</w:t>
      </w:r>
      <w:r w:rsidRPr="0024759C">
        <w:rPr>
          <w:rFonts w:ascii="Times New Roman" w:hAnsi="Times New Roman" w:cs="Times New Roman"/>
          <w:sz w:val="24"/>
          <w:szCs w:val="24"/>
        </w:rPr>
        <w:t xml:space="preserve">, </w:t>
      </w:r>
      <w:r w:rsidRPr="0024759C">
        <w:rPr>
          <w:rFonts w:ascii="Times New Roman" w:hAnsi="Times New Roman" w:cs="Times New Roman"/>
          <w:i/>
          <w:iCs/>
          <w:sz w:val="24"/>
          <w:szCs w:val="24"/>
        </w:rPr>
        <w:t>58</w:t>
      </w:r>
      <w:r w:rsidRPr="0024759C">
        <w:rPr>
          <w:rFonts w:ascii="Times New Roman" w:hAnsi="Times New Roman" w:cs="Times New Roman"/>
          <w:sz w:val="24"/>
          <w:szCs w:val="24"/>
        </w:rPr>
        <w:t>(6), 189. https://doi.org/10.1007/s10462-024-11077-7</w:t>
      </w:r>
    </w:p>
    <w:p w14:paraId="15415B04" w14:textId="717BD1AE" w:rsidR="00100CEA" w:rsidRPr="0024759C" w:rsidRDefault="00100CEA" w:rsidP="009960B6">
      <w:pPr>
        <w:keepNext/>
        <w:spacing w:after="0" w:line="240" w:lineRule="auto"/>
        <w:rPr>
          <w:rFonts w:ascii="Times New Roman" w:hAnsi="Times New Roman" w:cs="Times New Roman"/>
          <w:b/>
          <w:sz w:val="24"/>
          <w:szCs w:val="24"/>
        </w:rPr>
      </w:pPr>
      <w:r w:rsidRPr="0024759C">
        <w:rPr>
          <w:rFonts w:ascii="Times New Roman" w:hAnsi="Times New Roman" w:cs="Times New Roman"/>
          <w:b/>
          <w:sz w:val="24"/>
          <w:szCs w:val="24"/>
        </w:rPr>
        <w:fldChar w:fldCharType="end"/>
      </w:r>
    </w:p>
    <w:sectPr w:rsidR="00100CEA" w:rsidRPr="0024759C" w:rsidSect="008F1467">
      <w:headerReference w:type="default" r:id="rId18"/>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28F5E" w14:textId="77777777" w:rsidR="00FB6C1A" w:rsidRDefault="00FB6C1A" w:rsidP="0021264C">
      <w:pPr>
        <w:spacing w:after="0" w:line="240" w:lineRule="auto"/>
      </w:pPr>
      <w:r>
        <w:separator/>
      </w:r>
    </w:p>
  </w:endnote>
  <w:endnote w:type="continuationSeparator" w:id="0">
    <w:p w14:paraId="0E952225" w14:textId="77777777" w:rsidR="00FB6C1A" w:rsidRDefault="00FB6C1A" w:rsidP="0021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URWPalladioL-Roma">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58B0" w14:textId="77777777" w:rsidR="00FB6C1A" w:rsidRDefault="00FB6C1A" w:rsidP="0021264C">
      <w:pPr>
        <w:spacing w:after="0" w:line="240" w:lineRule="auto"/>
      </w:pPr>
      <w:r>
        <w:separator/>
      </w:r>
    </w:p>
  </w:footnote>
  <w:footnote w:type="continuationSeparator" w:id="0">
    <w:p w14:paraId="3F16DAB9" w14:textId="77777777" w:rsidR="00FB6C1A" w:rsidRDefault="00FB6C1A" w:rsidP="002126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5728607"/>
      <w:docPartObj>
        <w:docPartGallery w:val="Page Numbers (Top of Page)"/>
        <w:docPartUnique/>
      </w:docPartObj>
    </w:sdtPr>
    <w:sdtEndPr>
      <w:rPr>
        <w:noProof/>
      </w:rPr>
    </w:sdtEndPr>
    <w:sdtContent>
      <w:p w14:paraId="07574CB3" w14:textId="5833E0A3" w:rsidR="0021264C" w:rsidRDefault="002126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31E4012" w14:textId="77777777" w:rsidR="0021264C" w:rsidRDefault="002126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ACE82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235912"/>
    <w:multiLevelType w:val="multilevel"/>
    <w:tmpl w:val="A820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A0F94"/>
    <w:multiLevelType w:val="multilevel"/>
    <w:tmpl w:val="A00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9055E8"/>
    <w:multiLevelType w:val="hybridMultilevel"/>
    <w:tmpl w:val="71846FA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28616D"/>
    <w:multiLevelType w:val="multilevel"/>
    <w:tmpl w:val="CD1E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1777F"/>
    <w:multiLevelType w:val="hybridMultilevel"/>
    <w:tmpl w:val="FD52C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149FF"/>
    <w:multiLevelType w:val="hybridMultilevel"/>
    <w:tmpl w:val="508A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A010B0"/>
    <w:multiLevelType w:val="hybridMultilevel"/>
    <w:tmpl w:val="BBDC8CBC"/>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820FDA"/>
    <w:multiLevelType w:val="hybridMultilevel"/>
    <w:tmpl w:val="EFD8E108"/>
    <w:lvl w:ilvl="0" w:tplc="04090017">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5731D"/>
    <w:multiLevelType w:val="multilevel"/>
    <w:tmpl w:val="D6D2B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F33BD"/>
    <w:multiLevelType w:val="multilevel"/>
    <w:tmpl w:val="310C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F5375C"/>
    <w:multiLevelType w:val="hybridMultilevel"/>
    <w:tmpl w:val="1068AF84"/>
    <w:lvl w:ilvl="0" w:tplc="CC042F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F7770D"/>
    <w:multiLevelType w:val="hybridMultilevel"/>
    <w:tmpl w:val="652CE7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4436A9C"/>
    <w:multiLevelType w:val="hybridMultilevel"/>
    <w:tmpl w:val="5C42C11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25F26B2D"/>
    <w:multiLevelType w:val="hybridMultilevel"/>
    <w:tmpl w:val="4DBEE870"/>
    <w:lvl w:ilvl="0" w:tplc="04090017">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147D5"/>
    <w:multiLevelType w:val="hybridMultilevel"/>
    <w:tmpl w:val="FE48C84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AC59FF"/>
    <w:multiLevelType w:val="multilevel"/>
    <w:tmpl w:val="8940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4EC"/>
    <w:multiLevelType w:val="hybridMultilevel"/>
    <w:tmpl w:val="81C24F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0D33B1"/>
    <w:multiLevelType w:val="hybridMultilevel"/>
    <w:tmpl w:val="B6C06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351616"/>
    <w:multiLevelType w:val="hybridMultilevel"/>
    <w:tmpl w:val="3C563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1B110A"/>
    <w:multiLevelType w:val="hybridMultilevel"/>
    <w:tmpl w:val="6044685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8E4CF9"/>
    <w:multiLevelType w:val="hybridMultilevel"/>
    <w:tmpl w:val="821256D0"/>
    <w:lvl w:ilvl="0" w:tplc="04090017">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ED3B6E"/>
    <w:multiLevelType w:val="hybridMultilevel"/>
    <w:tmpl w:val="EA6CD00E"/>
    <w:lvl w:ilvl="0" w:tplc="66460170">
      <w:start w:val="1"/>
      <w:numFmt w:val="upperRoman"/>
      <w:lvlText w:val="%1."/>
      <w:lvlJc w:val="right"/>
      <w:pPr>
        <w:ind w:left="720" w:hanging="360"/>
      </w:pPr>
      <w:rPr>
        <w:b/>
        <w:b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9570ED"/>
    <w:multiLevelType w:val="hybridMultilevel"/>
    <w:tmpl w:val="FA2AEA04"/>
    <w:lvl w:ilvl="0" w:tplc="36D604C2">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CE729BE"/>
    <w:multiLevelType w:val="hybridMultilevel"/>
    <w:tmpl w:val="596C08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D35D2B"/>
    <w:multiLevelType w:val="hybridMultilevel"/>
    <w:tmpl w:val="096A8D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A31496"/>
    <w:multiLevelType w:val="hybridMultilevel"/>
    <w:tmpl w:val="A2763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5BA30C3"/>
    <w:multiLevelType w:val="hybridMultilevel"/>
    <w:tmpl w:val="243C53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0A0E77"/>
    <w:multiLevelType w:val="hybridMultilevel"/>
    <w:tmpl w:val="463834C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30D63A7"/>
    <w:multiLevelType w:val="hybridMultilevel"/>
    <w:tmpl w:val="13D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3E5A31"/>
    <w:multiLevelType w:val="hybridMultilevel"/>
    <w:tmpl w:val="898650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AC26A6"/>
    <w:multiLevelType w:val="multilevel"/>
    <w:tmpl w:val="C84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18488A"/>
    <w:multiLevelType w:val="hybridMultilevel"/>
    <w:tmpl w:val="3A542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F846EB"/>
    <w:multiLevelType w:val="multilevel"/>
    <w:tmpl w:val="E8C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3621A"/>
    <w:multiLevelType w:val="hybridMultilevel"/>
    <w:tmpl w:val="8F9E17B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A9B0A04"/>
    <w:multiLevelType w:val="hybridMultilevel"/>
    <w:tmpl w:val="3272B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4E1E20"/>
    <w:multiLevelType w:val="multilevel"/>
    <w:tmpl w:val="AEBE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034D"/>
    <w:multiLevelType w:val="hybridMultilevel"/>
    <w:tmpl w:val="C3AC234A"/>
    <w:lvl w:ilvl="0" w:tplc="04090017">
      <w:start w:val="1"/>
      <w:numFmt w:val="lowerLetter"/>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0A294B"/>
    <w:multiLevelType w:val="hybridMultilevel"/>
    <w:tmpl w:val="AA5C14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CEB2128"/>
    <w:multiLevelType w:val="hybridMultilevel"/>
    <w:tmpl w:val="F3140A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844454"/>
    <w:multiLevelType w:val="hybridMultilevel"/>
    <w:tmpl w:val="40B2525A"/>
    <w:lvl w:ilvl="0" w:tplc="F77614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481134">
    <w:abstractNumId w:val="1"/>
  </w:num>
  <w:num w:numId="2" w16cid:durableId="33119151">
    <w:abstractNumId w:val="36"/>
  </w:num>
  <w:num w:numId="3" w16cid:durableId="1157770927">
    <w:abstractNumId w:val="31"/>
  </w:num>
  <w:num w:numId="4" w16cid:durableId="675379441">
    <w:abstractNumId w:val="34"/>
  </w:num>
  <w:num w:numId="5" w16cid:durableId="1940210056">
    <w:abstractNumId w:val="22"/>
  </w:num>
  <w:num w:numId="6" w16cid:durableId="1263342155">
    <w:abstractNumId w:val="35"/>
  </w:num>
  <w:num w:numId="7" w16cid:durableId="1636445127">
    <w:abstractNumId w:val="17"/>
  </w:num>
  <w:num w:numId="8" w16cid:durableId="1941253839">
    <w:abstractNumId w:val="27"/>
  </w:num>
  <w:num w:numId="9" w16cid:durableId="246890324">
    <w:abstractNumId w:val="24"/>
  </w:num>
  <w:num w:numId="10" w16cid:durableId="1800611154">
    <w:abstractNumId w:val="19"/>
  </w:num>
  <w:num w:numId="11" w16cid:durableId="1061176743">
    <w:abstractNumId w:val="9"/>
  </w:num>
  <w:num w:numId="12" w16cid:durableId="1777406586">
    <w:abstractNumId w:val="40"/>
  </w:num>
  <w:num w:numId="13" w16cid:durableId="354307506">
    <w:abstractNumId w:val="11"/>
  </w:num>
  <w:num w:numId="14" w16cid:durableId="732586048">
    <w:abstractNumId w:val="28"/>
  </w:num>
  <w:num w:numId="15" w16cid:durableId="1373530393">
    <w:abstractNumId w:val="20"/>
  </w:num>
  <w:num w:numId="16" w16cid:durableId="1804611357">
    <w:abstractNumId w:val="13"/>
  </w:num>
  <w:num w:numId="17" w16cid:durableId="46075254">
    <w:abstractNumId w:val="15"/>
  </w:num>
  <w:num w:numId="18" w16cid:durableId="1148325261">
    <w:abstractNumId w:val="4"/>
  </w:num>
  <w:num w:numId="19" w16cid:durableId="851723583">
    <w:abstractNumId w:val="2"/>
  </w:num>
  <w:num w:numId="20" w16cid:durableId="28379541">
    <w:abstractNumId w:val="10"/>
  </w:num>
  <w:num w:numId="21" w16cid:durableId="136528951">
    <w:abstractNumId w:val="33"/>
  </w:num>
  <w:num w:numId="22" w16cid:durableId="1119640233">
    <w:abstractNumId w:val="16"/>
  </w:num>
  <w:num w:numId="23" w16cid:durableId="205921127">
    <w:abstractNumId w:val="39"/>
  </w:num>
  <w:num w:numId="24" w16cid:durableId="1530218674">
    <w:abstractNumId w:val="29"/>
  </w:num>
  <w:num w:numId="25" w16cid:durableId="978151519">
    <w:abstractNumId w:val="38"/>
  </w:num>
  <w:num w:numId="26" w16cid:durableId="2055081154">
    <w:abstractNumId w:val="6"/>
  </w:num>
  <w:num w:numId="27" w16cid:durableId="1158619098">
    <w:abstractNumId w:val="3"/>
  </w:num>
  <w:num w:numId="28" w16cid:durableId="850334599">
    <w:abstractNumId w:val="30"/>
  </w:num>
  <w:num w:numId="29" w16cid:durableId="316811051">
    <w:abstractNumId w:val="37"/>
  </w:num>
  <w:num w:numId="30" w16cid:durableId="302664606">
    <w:abstractNumId w:val="8"/>
  </w:num>
  <w:num w:numId="31" w16cid:durableId="1079450649">
    <w:abstractNumId w:val="14"/>
  </w:num>
  <w:num w:numId="32" w16cid:durableId="171259043">
    <w:abstractNumId w:val="23"/>
  </w:num>
  <w:num w:numId="33" w16cid:durableId="1560898919">
    <w:abstractNumId w:val="7"/>
  </w:num>
  <w:num w:numId="34" w16cid:durableId="1160190254">
    <w:abstractNumId w:val="21"/>
  </w:num>
  <w:num w:numId="35" w16cid:durableId="946624877">
    <w:abstractNumId w:val="25"/>
  </w:num>
  <w:num w:numId="36" w16cid:durableId="399258904">
    <w:abstractNumId w:val="32"/>
  </w:num>
  <w:num w:numId="37" w16cid:durableId="506410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51103644">
    <w:abstractNumId w:val="5"/>
  </w:num>
  <w:num w:numId="39" w16cid:durableId="1918006905">
    <w:abstractNumId w:val="26"/>
  </w:num>
  <w:num w:numId="40" w16cid:durableId="1141456974">
    <w:abstractNumId w:val="12"/>
  </w:num>
  <w:num w:numId="41" w16cid:durableId="21180609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c0NjY0sTSwNLAwMbdU0lEKTi0uzszPAykwqQUAZMy9iCwAAAA="/>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2xrdae0bdpwexevaabpfs5z5svzra5pppwv&quot;&gt;20230925 Arsanchai&lt;record-ids&gt;&lt;item&gt;81&lt;/item&gt;&lt;item&gt;377&lt;/item&gt;&lt;item&gt;378&lt;/item&gt;&lt;item&gt;379&lt;/item&gt;&lt;item&gt;380&lt;/item&gt;&lt;item&gt;381&lt;/item&gt;&lt;item&gt;382&lt;/item&gt;&lt;item&gt;383&lt;/item&gt;&lt;item&gt;384&lt;/item&gt;&lt;item&gt;385&lt;/item&gt;&lt;item&gt;386&lt;/item&gt;&lt;item&gt;388&lt;/item&gt;&lt;item&gt;389&lt;/item&gt;&lt;item&gt;390&lt;/item&gt;&lt;item&gt;391&lt;/item&gt;&lt;item&gt;392&lt;/item&gt;&lt;item&gt;393&lt;/item&gt;&lt;item&gt;394&lt;/item&gt;&lt;item&gt;395&lt;/item&gt;&lt;item&gt;396&lt;/item&gt;&lt;item&gt;397&lt;/item&gt;&lt;item&gt;481&lt;/item&gt;&lt;item&gt;482&lt;/item&gt;&lt;item&gt;483&lt;/item&gt;&lt;item&gt;484&lt;/item&gt;&lt;item&gt;487&lt;/item&gt;&lt;item&gt;590&lt;/item&gt;&lt;item&gt;602&lt;/item&gt;&lt;item&gt;847&lt;/item&gt;&lt;item&gt;961&lt;/item&gt;&lt;item&gt;962&lt;/item&gt;&lt;item&gt;963&lt;/item&gt;&lt;item&gt;964&lt;/item&gt;&lt;item&gt;965&lt;/item&gt;&lt;item&gt;966&lt;/item&gt;&lt;item&gt;967&lt;/item&gt;&lt;item&gt;968&lt;/item&gt;&lt;item&gt;969&lt;/item&gt;&lt;item&gt;972&lt;/item&gt;&lt;item&gt;973&lt;/item&gt;&lt;item&gt;974&lt;/item&gt;&lt;item&gt;975&lt;/item&gt;&lt;item&gt;977&lt;/item&gt;&lt;/record-ids&gt;&lt;/item&gt;&lt;/Libraries&gt;"/>
  </w:docVars>
  <w:rsids>
    <w:rsidRoot w:val="00E930F6"/>
    <w:rsid w:val="0000017E"/>
    <w:rsid w:val="0000043E"/>
    <w:rsid w:val="00001299"/>
    <w:rsid w:val="00002FDD"/>
    <w:rsid w:val="000031F2"/>
    <w:rsid w:val="00003980"/>
    <w:rsid w:val="00004A15"/>
    <w:rsid w:val="000050B0"/>
    <w:rsid w:val="00005202"/>
    <w:rsid w:val="000059BE"/>
    <w:rsid w:val="00011CFB"/>
    <w:rsid w:val="000123CC"/>
    <w:rsid w:val="0001396C"/>
    <w:rsid w:val="00013C54"/>
    <w:rsid w:val="00014FF1"/>
    <w:rsid w:val="00015576"/>
    <w:rsid w:val="00017400"/>
    <w:rsid w:val="00017AA6"/>
    <w:rsid w:val="00017B31"/>
    <w:rsid w:val="00020305"/>
    <w:rsid w:val="00020B65"/>
    <w:rsid w:val="000219FB"/>
    <w:rsid w:val="000246C5"/>
    <w:rsid w:val="00026201"/>
    <w:rsid w:val="000301FD"/>
    <w:rsid w:val="00030202"/>
    <w:rsid w:val="00033907"/>
    <w:rsid w:val="00033A2E"/>
    <w:rsid w:val="000370D3"/>
    <w:rsid w:val="00037462"/>
    <w:rsid w:val="000407DC"/>
    <w:rsid w:val="000410FE"/>
    <w:rsid w:val="00042AA5"/>
    <w:rsid w:val="000437DC"/>
    <w:rsid w:val="00043A1A"/>
    <w:rsid w:val="00043D07"/>
    <w:rsid w:val="00044809"/>
    <w:rsid w:val="000471CD"/>
    <w:rsid w:val="00047BA3"/>
    <w:rsid w:val="00047E15"/>
    <w:rsid w:val="000506A3"/>
    <w:rsid w:val="0005073C"/>
    <w:rsid w:val="00051D88"/>
    <w:rsid w:val="00053A68"/>
    <w:rsid w:val="000552D8"/>
    <w:rsid w:val="00056CBD"/>
    <w:rsid w:val="000577B6"/>
    <w:rsid w:val="00057D60"/>
    <w:rsid w:val="000605B9"/>
    <w:rsid w:val="00061273"/>
    <w:rsid w:val="00063D26"/>
    <w:rsid w:val="00066460"/>
    <w:rsid w:val="000664F1"/>
    <w:rsid w:val="0006763F"/>
    <w:rsid w:val="00067ADB"/>
    <w:rsid w:val="0007085C"/>
    <w:rsid w:val="00071264"/>
    <w:rsid w:val="00071CC0"/>
    <w:rsid w:val="00072BE6"/>
    <w:rsid w:val="00074167"/>
    <w:rsid w:val="00074BAB"/>
    <w:rsid w:val="00074D6A"/>
    <w:rsid w:val="00075B03"/>
    <w:rsid w:val="00076F67"/>
    <w:rsid w:val="00077870"/>
    <w:rsid w:val="00077E87"/>
    <w:rsid w:val="00085327"/>
    <w:rsid w:val="000860C9"/>
    <w:rsid w:val="0008614F"/>
    <w:rsid w:val="00086B65"/>
    <w:rsid w:val="000923EA"/>
    <w:rsid w:val="0009474A"/>
    <w:rsid w:val="00095480"/>
    <w:rsid w:val="0009552B"/>
    <w:rsid w:val="000959B0"/>
    <w:rsid w:val="00097EDE"/>
    <w:rsid w:val="000A05D2"/>
    <w:rsid w:val="000A07D0"/>
    <w:rsid w:val="000A16A6"/>
    <w:rsid w:val="000A17E2"/>
    <w:rsid w:val="000A30A1"/>
    <w:rsid w:val="000A3DC1"/>
    <w:rsid w:val="000A4D7E"/>
    <w:rsid w:val="000A5C5D"/>
    <w:rsid w:val="000B0E10"/>
    <w:rsid w:val="000B166F"/>
    <w:rsid w:val="000B323C"/>
    <w:rsid w:val="000B3580"/>
    <w:rsid w:val="000B41E6"/>
    <w:rsid w:val="000B49B2"/>
    <w:rsid w:val="000B4AA2"/>
    <w:rsid w:val="000B729A"/>
    <w:rsid w:val="000B7E4B"/>
    <w:rsid w:val="000C1383"/>
    <w:rsid w:val="000C13D1"/>
    <w:rsid w:val="000C3684"/>
    <w:rsid w:val="000C4681"/>
    <w:rsid w:val="000C490F"/>
    <w:rsid w:val="000C4FA2"/>
    <w:rsid w:val="000C5D3A"/>
    <w:rsid w:val="000C6914"/>
    <w:rsid w:val="000C7AF8"/>
    <w:rsid w:val="000D08AF"/>
    <w:rsid w:val="000D1D52"/>
    <w:rsid w:val="000D1FFC"/>
    <w:rsid w:val="000D22E2"/>
    <w:rsid w:val="000D53B1"/>
    <w:rsid w:val="000E0A6C"/>
    <w:rsid w:val="000E0E76"/>
    <w:rsid w:val="000E3AD4"/>
    <w:rsid w:val="000E3C55"/>
    <w:rsid w:val="000E417A"/>
    <w:rsid w:val="000E43E0"/>
    <w:rsid w:val="000E49A3"/>
    <w:rsid w:val="000E5A01"/>
    <w:rsid w:val="000E7BF0"/>
    <w:rsid w:val="000F32B1"/>
    <w:rsid w:val="000F352B"/>
    <w:rsid w:val="000F7184"/>
    <w:rsid w:val="000F7CB2"/>
    <w:rsid w:val="00100CEA"/>
    <w:rsid w:val="00102979"/>
    <w:rsid w:val="001041B3"/>
    <w:rsid w:val="001046B2"/>
    <w:rsid w:val="00104E0F"/>
    <w:rsid w:val="00106E36"/>
    <w:rsid w:val="001071AE"/>
    <w:rsid w:val="0011168E"/>
    <w:rsid w:val="00111E4F"/>
    <w:rsid w:val="00112303"/>
    <w:rsid w:val="0011282B"/>
    <w:rsid w:val="0011346A"/>
    <w:rsid w:val="001176A5"/>
    <w:rsid w:val="00117868"/>
    <w:rsid w:val="0012061E"/>
    <w:rsid w:val="001231DE"/>
    <w:rsid w:val="00123A2B"/>
    <w:rsid w:val="00124AA7"/>
    <w:rsid w:val="00126C9D"/>
    <w:rsid w:val="001273DD"/>
    <w:rsid w:val="00127568"/>
    <w:rsid w:val="00133D01"/>
    <w:rsid w:val="0013524C"/>
    <w:rsid w:val="00136C8C"/>
    <w:rsid w:val="001376D4"/>
    <w:rsid w:val="00137BF6"/>
    <w:rsid w:val="00140026"/>
    <w:rsid w:val="001407DD"/>
    <w:rsid w:val="00141232"/>
    <w:rsid w:val="001419FE"/>
    <w:rsid w:val="00143AD0"/>
    <w:rsid w:val="00144B2D"/>
    <w:rsid w:val="00147EF7"/>
    <w:rsid w:val="001509BF"/>
    <w:rsid w:val="00150A8D"/>
    <w:rsid w:val="00152638"/>
    <w:rsid w:val="001539DB"/>
    <w:rsid w:val="001543EC"/>
    <w:rsid w:val="00154769"/>
    <w:rsid w:val="00154CC5"/>
    <w:rsid w:val="001559F7"/>
    <w:rsid w:val="00155DE0"/>
    <w:rsid w:val="00157639"/>
    <w:rsid w:val="00157ED9"/>
    <w:rsid w:val="0016062A"/>
    <w:rsid w:val="00163475"/>
    <w:rsid w:val="00163A96"/>
    <w:rsid w:val="00163B12"/>
    <w:rsid w:val="00163D9B"/>
    <w:rsid w:val="00164D30"/>
    <w:rsid w:val="00170200"/>
    <w:rsid w:val="00172710"/>
    <w:rsid w:val="00173164"/>
    <w:rsid w:val="001737A2"/>
    <w:rsid w:val="001738F1"/>
    <w:rsid w:val="00173ADF"/>
    <w:rsid w:val="00174467"/>
    <w:rsid w:val="00176299"/>
    <w:rsid w:val="00177767"/>
    <w:rsid w:val="001778DD"/>
    <w:rsid w:val="00180B12"/>
    <w:rsid w:val="0018163E"/>
    <w:rsid w:val="00184088"/>
    <w:rsid w:val="001864E7"/>
    <w:rsid w:val="0018695C"/>
    <w:rsid w:val="00186969"/>
    <w:rsid w:val="00186D8E"/>
    <w:rsid w:val="001870AA"/>
    <w:rsid w:val="0018782A"/>
    <w:rsid w:val="00187B55"/>
    <w:rsid w:val="00190AEC"/>
    <w:rsid w:val="0019191E"/>
    <w:rsid w:val="001937FA"/>
    <w:rsid w:val="001A009E"/>
    <w:rsid w:val="001A010E"/>
    <w:rsid w:val="001A1041"/>
    <w:rsid w:val="001A1C0A"/>
    <w:rsid w:val="001A352E"/>
    <w:rsid w:val="001A59A3"/>
    <w:rsid w:val="001A67A5"/>
    <w:rsid w:val="001A7135"/>
    <w:rsid w:val="001B39DB"/>
    <w:rsid w:val="001B4763"/>
    <w:rsid w:val="001B504D"/>
    <w:rsid w:val="001B52C0"/>
    <w:rsid w:val="001B5519"/>
    <w:rsid w:val="001B7F97"/>
    <w:rsid w:val="001C033F"/>
    <w:rsid w:val="001C03DF"/>
    <w:rsid w:val="001C12F5"/>
    <w:rsid w:val="001C3F66"/>
    <w:rsid w:val="001C413C"/>
    <w:rsid w:val="001C465A"/>
    <w:rsid w:val="001C4F86"/>
    <w:rsid w:val="001C6D5E"/>
    <w:rsid w:val="001D1E2A"/>
    <w:rsid w:val="001D50B5"/>
    <w:rsid w:val="001E09A2"/>
    <w:rsid w:val="001E14E0"/>
    <w:rsid w:val="001E1687"/>
    <w:rsid w:val="001E173C"/>
    <w:rsid w:val="001E1F2E"/>
    <w:rsid w:val="001E2A79"/>
    <w:rsid w:val="001E361E"/>
    <w:rsid w:val="001E4D73"/>
    <w:rsid w:val="001E5896"/>
    <w:rsid w:val="001E5FD2"/>
    <w:rsid w:val="001E6840"/>
    <w:rsid w:val="001E6C49"/>
    <w:rsid w:val="001E70F2"/>
    <w:rsid w:val="001E7B39"/>
    <w:rsid w:val="001E7DB8"/>
    <w:rsid w:val="001F1BCF"/>
    <w:rsid w:val="001F1F8A"/>
    <w:rsid w:val="001F2793"/>
    <w:rsid w:val="001F2EF1"/>
    <w:rsid w:val="001F3AEE"/>
    <w:rsid w:val="001F5224"/>
    <w:rsid w:val="001F740F"/>
    <w:rsid w:val="001F75E7"/>
    <w:rsid w:val="0020123C"/>
    <w:rsid w:val="00203B84"/>
    <w:rsid w:val="002044B3"/>
    <w:rsid w:val="0020545B"/>
    <w:rsid w:val="00207E38"/>
    <w:rsid w:val="0021264C"/>
    <w:rsid w:val="00215AA6"/>
    <w:rsid w:val="0021698D"/>
    <w:rsid w:val="00217891"/>
    <w:rsid w:val="002210B5"/>
    <w:rsid w:val="002214DA"/>
    <w:rsid w:val="00222348"/>
    <w:rsid w:val="0022251F"/>
    <w:rsid w:val="00223E38"/>
    <w:rsid w:val="0022536F"/>
    <w:rsid w:val="002255E8"/>
    <w:rsid w:val="00226A58"/>
    <w:rsid w:val="00230018"/>
    <w:rsid w:val="002305E8"/>
    <w:rsid w:val="00230863"/>
    <w:rsid w:val="0023308D"/>
    <w:rsid w:val="002347E6"/>
    <w:rsid w:val="002368E4"/>
    <w:rsid w:val="002415B1"/>
    <w:rsid w:val="00245872"/>
    <w:rsid w:val="0024667E"/>
    <w:rsid w:val="0024759C"/>
    <w:rsid w:val="00250D5A"/>
    <w:rsid w:val="00251CB7"/>
    <w:rsid w:val="002528C5"/>
    <w:rsid w:val="00253909"/>
    <w:rsid w:val="00253E73"/>
    <w:rsid w:val="0025595B"/>
    <w:rsid w:val="002575A8"/>
    <w:rsid w:val="002604BA"/>
    <w:rsid w:val="002612D4"/>
    <w:rsid w:val="0026196C"/>
    <w:rsid w:val="00266DFC"/>
    <w:rsid w:val="00267083"/>
    <w:rsid w:val="002706FD"/>
    <w:rsid w:val="00271735"/>
    <w:rsid w:val="002731DC"/>
    <w:rsid w:val="00273F5F"/>
    <w:rsid w:val="002740D9"/>
    <w:rsid w:val="00274CFE"/>
    <w:rsid w:val="00274FAD"/>
    <w:rsid w:val="00275F6B"/>
    <w:rsid w:val="00277D02"/>
    <w:rsid w:val="00280833"/>
    <w:rsid w:val="00280914"/>
    <w:rsid w:val="00282406"/>
    <w:rsid w:val="00284A25"/>
    <w:rsid w:val="00284F2A"/>
    <w:rsid w:val="00287697"/>
    <w:rsid w:val="00290AA9"/>
    <w:rsid w:val="002971E0"/>
    <w:rsid w:val="00297A57"/>
    <w:rsid w:val="002A030A"/>
    <w:rsid w:val="002A12F6"/>
    <w:rsid w:val="002A3109"/>
    <w:rsid w:val="002A460E"/>
    <w:rsid w:val="002A4B44"/>
    <w:rsid w:val="002A533E"/>
    <w:rsid w:val="002A5769"/>
    <w:rsid w:val="002A5F5D"/>
    <w:rsid w:val="002A7E2D"/>
    <w:rsid w:val="002B26B4"/>
    <w:rsid w:val="002B2781"/>
    <w:rsid w:val="002B4A66"/>
    <w:rsid w:val="002B5A1D"/>
    <w:rsid w:val="002B74C5"/>
    <w:rsid w:val="002B7657"/>
    <w:rsid w:val="002C3BBD"/>
    <w:rsid w:val="002C5B2C"/>
    <w:rsid w:val="002C6417"/>
    <w:rsid w:val="002C7D0A"/>
    <w:rsid w:val="002D147D"/>
    <w:rsid w:val="002D1F86"/>
    <w:rsid w:val="002D424E"/>
    <w:rsid w:val="002D4BE1"/>
    <w:rsid w:val="002D63CF"/>
    <w:rsid w:val="002D64D6"/>
    <w:rsid w:val="002D69D4"/>
    <w:rsid w:val="002D72AF"/>
    <w:rsid w:val="002E3548"/>
    <w:rsid w:val="002E385E"/>
    <w:rsid w:val="002E5BD9"/>
    <w:rsid w:val="002F00A9"/>
    <w:rsid w:val="002F039B"/>
    <w:rsid w:val="002F1B43"/>
    <w:rsid w:val="002F201C"/>
    <w:rsid w:val="002F3E3A"/>
    <w:rsid w:val="002F43F5"/>
    <w:rsid w:val="002F44C4"/>
    <w:rsid w:val="002F48FF"/>
    <w:rsid w:val="002F72D4"/>
    <w:rsid w:val="002F7BC6"/>
    <w:rsid w:val="00300EB6"/>
    <w:rsid w:val="00303296"/>
    <w:rsid w:val="003042B9"/>
    <w:rsid w:val="003046B9"/>
    <w:rsid w:val="00306D33"/>
    <w:rsid w:val="00313276"/>
    <w:rsid w:val="00313DF9"/>
    <w:rsid w:val="00314A0D"/>
    <w:rsid w:val="0031658B"/>
    <w:rsid w:val="003171FC"/>
    <w:rsid w:val="00317E4D"/>
    <w:rsid w:val="003223CC"/>
    <w:rsid w:val="00322E81"/>
    <w:rsid w:val="00323631"/>
    <w:rsid w:val="0032397A"/>
    <w:rsid w:val="00324B8B"/>
    <w:rsid w:val="003267DE"/>
    <w:rsid w:val="00327509"/>
    <w:rsid w:val="00327D06"/>
    <w:rsid w:val="00330E46"/>
    <w:rsid w:val="0033528A"/>
    <w:rsid w:val="003354CD"/>
    <w:rsid w:val="003361A4"/>
    <w:rsid w:val="00336239"/>
    <w:rsid w:val="00336C96"/>
    <w:rsid w:val="00340593"/>
    <w:rsid w:val="00340A97"/>
    <w:rsid w:val="003412F9"/>
    <w:rsid w:val="00341794"/>
    <w:rsid w:val="00342C57"/>
    <w:rsid w:val="003430C1"/>
    <w:rsid w:val="003445AE"/>
    <w:rsid w:val="0034462D"/>
    <w:rsid w:val="00344D85"/>
    <w:rsid w:val="00344E94"/>
    <w:rsid w:val="00345C67"/>
    <w:rsid w:val="00345F25"/>
    <w:rsid w:val="00347437"/>
    <w:rsid w:val="003509A4"/>
    <w:rsid w:val="00351871"/>
    <w:rsid w:val="00355DBC"/>
    <w:rsid w:val="00355E04"/>
    <w:rsid w:val="003626E8"/>
    <w:rsid w:val="003633C7"/>
    <w:rsid w:val="00363D3D"/>
    <w:rsid w:val="00363D61"/>
    <w:rsid w:val="0036420B"/>
    <w:rsid w:val="00365D65"/>
    <w:rsid w:val="0037059F"/>
    <w:rsid w:val="00370E5E"/>
    <w:rsid w:val="00370F39"/>
    <w:rsid w:val="00371D44"/>
    <w:rsid w:val="003737BB"/>
    <w:rsid w:val="00373D19"/>
    <w:rsid w:val="00376435"/>
    <w:rsid w:val="00376472"/>
    <w:rsid w:val="00376631"/>
    <w:rsid w:val="00376814"/>
    <w:rsid w:val="00376EFB"/>
    <w:rsid w:val="0037778E"/>
    <w:rsid w:val="00381D7F"/>
    <w:rsid w:val="003836E2"/>
    <w:rsid w:val="00383919"/>
    <w:rsid w:val="0038564F"/>
    <w:rsid w:val="00386B90"/>
    <w:rsid w:val="00390446"/>
    <w:rsid w:val="0039054C"/>
    <w:rsid w:val="00390FB2"/>
    <w:rsid w:val="003926CD"/>
    <w:rsid w:val="00394564"/>
    <w:rsid w:val="003A0679"/>
    <w:rsid w:val="003A1CB3"/>
    <w:rsid w:val="003A1D36"/>
    <w:rsid w:val="003A1D6E"/>
    <w:rsid w:val="003A1EA7"/>
    <w:rsid w:val="003A2BC4"/>
    <w:rsid w:val="003A303D"/>
    <w:rsid w:val="003A35E6"/>
    <w:rsid w:val="003A4016"/>
    <w:rsid w:val="003A54B4"/>
    <w:rsid w:val="003A7005"/>
    <w:rsid w:val="003B0949"/>
    <w:rsid w:val="003B0AF3"/>
    <w:rsid w:val="003B145E"/>
    <w:rsid w:val="003B1577"/>
    <w:rsid w:val="003B4495"/>
    <w:rsid w:val="003B479B"/>
    <w:rsid w:val="003B5F58"/>
    <w:rsid w:val="003B6245"/>
    <w:rsid w:val="003B6E58"/>
    <w:rsid w:val="003B7685"/>
    <w:rsid w:val="003C0398"/>
    <w:rsid w:val="003C050C"/>
    <w:rsid w:val="003C0534"/>
    <w:rsid w:val="003C0DA6"/>
    <w:rsid w:val="003C133D"/>
    <w:rsid w:val="003C21A6"/>
    <w:rsid w:val="003C26FD"/>
    <w:rsid w:val="003C3852"/>
    <w:rsid w:val="003C6A8C"/>
    <w:rsid w:val="003C6F1F"/>
    <w:rsid w:val="003D0D77"/>
    <w:rsid w:val="003D2135"/>
    <w:rsid w:val="003D5177"/>
    <w:rsid w:val="003D616A"/>
    <w:rsid w:val="003D73CB"/>
    <w:rsid w:val="003D7907"/>
    <w:rsid w:val="003D7D52"/>
    <w:rsid w:val="003E2920"/>
    <w:rsid w:val="003E2E3F"/>
    <w:rsid w:val="003E3B67"/>
    <w:rsid w:val="003E3E1A"/>
    <w:rsid w:val="003E46A3"/>
    <w:rsid w:val="003E5156"/>
    <w:rsid w:val="003E51E5"/>
    <w:rsid w:val="003E61E8"/>
    <w:rsid w:val="003E6CC0"/>
    <w:rsid w:val="003E6D44"/>
    <w:rsid w:val="003F087D"/>
    <w:rsid w:val="003F0EB6"/>
    <w:rsid w:val="003F1541"/>
    <w:rsid w:val="003F20C6"/>
    <w:rsid w:val="003F3660"/>
    <w:rsid w:val="003F3974"/>
    <w:rsid w:val="003F5B7B"/>
    <w:rsid w:val="004001F1"/>
    <w:rsid w:val="004015B5"/>
    <w:rsid w:val="00402F75"/>
    <w:rsid w:val="00405A5A"/>
    <w:rsid w:val="00405DE7"/>
    <w:rsid w:val="004061C3"/>
    <w:rsid w:val="00406D3D"/>
    <w:rsid w:val="004105C3"/>
    <w:rsid w:val="00411641"/>
    <w:rsid w:val="00413060"/>
    <w:rsid w:val="00414C7E"/>
    <w:rsid w:val="00417DC6"/>
    <w:rsid w:val="00417DE8"/>
    <w:rsid w:val="00417E50"/>
    <w:rsid w:val="00417F46"/>
    <w:rsid w:val="004216C1"/>
    <w:rsid w:val="004228E5"/>
    <w:rsid w:val="004238C2"/>
    <w:rsid w:val="00423BAD"/>
    <w:rsid w:val="00424B80"/>
    <w:rsid w:val="0042540D"/>
    <w:rsid w:val="004255CA"/>
    <w:rsid w:val="00426B60"/>
    <w:rsid w:val="004311ED"/>
    <w:rsid w:val="00431E0B"/>
    <w:rsid w:val="00435C4F"/>
    <w:rsid w:val="00436D51"/>
    <w:rsid w:val="004377D0"/>
    <w:rsid w:val="0044059F"/>
    <w:rsid w:val="00440C35"/>
    <w:rsid w:val="00441F42"/>
    <w:rsid w:val="00442412"/>
    <w:rsid w:val="00445F2B"/>
    <w:rsid w:val="00447586"/>
    <w:rsid w:val="0045060F"/>
    <w:rsid w:val="00452C4D"/>
    <w:rsid w:val="0045354B"/>
    <w:rsid w:val="004538F5"/>
    <w:rsid w:val="00453F81"/>
    <w:rsid w:val="00454311"/>
    <w:rsid w:val="00455CB8"/>
    <w:rsid w:val="00461EEF"/>
    <w:rsid w:val="00464A3C"/>
    <w:rsid w:val="004656EB"/>
    <w:rsid w:val="00466E3D"/>
    <w:rsid w:val="00470D1D"/>
    <w:rsid w:val="004711F4"/>
    <w:rsid w:val="0047347C"/>
    <w:rsid w:val="0047472D"/>
    <w:rsid w:val="00475529"/>
    <w:rsid w:val="00476E86"/>
    <w:rsid w:val="00477435"/>
    <w:rsid w:val="004776D2"/>
    <w:rsid w:val="00477D55"/>
    <w:rsid w:val="0048003D"/>
    <w:rsid w:val="00480345"/>
    <w:rsid w:val="00480E6B"/>
    <w:rsid w:val="00480F0E"/>
    <w:rsid w:val="004811F1"/>
    <w:rsid w:val="004816BA"/>
    <w:rsid w:val="00482A13"/>
    <w:rsid w:val="00482B69"/>
    <w:rsid w:val="00483043"/>
    <w:rsid w:val="00483C69"/>
    <w:rsid w:val="00483F9D"/>
    <w:rsid w:val="00492234"/>
    <w:rsid w:val="00496CEE"/>
    <w:rsid w:val="00497048"/>
    <w:rsid w:val="004A07FF"/>
    <w:rsid w:val="004A3C24"/>
    <w:rsid w:val="004A46F8"/>
    <w:rsid w:val="004A59BE"/>
    <w:rsid w:val="004A5F41"/>
    <w:rsid w:val="004A78B6"/>
    <w:rsid w:val="004B0237"/>
    <w:rsid w:val="004B02B2"/>
    <w:rsid w:val="004B07BD"/>
    <w:rsid w:val="004B152D"/>
    <w:rsid w:val="004B17F1"/>
    <w:rsid w:val="004B185E"/>
    <w:rsid w:val="004B4ACD"/>
    <w:rsid w:val="004B4CD7"/>
    <w:rsid w:val="004B5AEC"/>
    <w:rsid w:val="004B60AA"/>
    <w:rsid w:val="004B6687"/>
    <w:rsid w:val="004C02BE"/>
    <w:rsid w:val="004C119B"/>
    <w:rsid w:val="004C1266"/>
    <w:rsid w:val="004C17DF"/>
    <w:rsid w:val="004C4D6C"/>
    <w:rsid w:val="004C4FD6"/>
    <w:rsid w:val="004C61EC"/>
    <w:rsid w:val="004C7109"/>
    <w:rsid w:val="004D11A1"/>
    <w:rsid w:val="004D2D2C"/>
    <w:rsid w:val="004D3C85"/>
    <w:rsid w:val="004D491C"/>
    <w:rsid w:val="004D59C4"/>
    <w:rsid w:val="004D751A"/>
    <w:rsid w:val="004E1259"/>
    <w:rsid w:val="004E19FE"/>
    <w:rsid w:val="004E1A2C"/>
    <w:rsid w:val="004E58F6"/>
    <w:rsid w:val="004E5AB4"/>
    <w:rsid w:val="004E6860"/>
    <w:rsid w:val="004E74AB"/>
    <w:rsid w:val="004F0A50"/>
    <w:rsid w:val="004F1743"/>
    <w:rsid w:val="004F185C"/>
    <w:rsid w:val="004F2411"/>
    <w:rsid w:val="004F359F"/>
    <w:rsid w:val="004F3934"/>
    <w:rsid w:val="004F3B3C"/>
    <w:rsid w:val="004F5648"/>
    <w:rsid w:val="004F6446"/>
    <w:rsid w:val="00501A58"/>
    <w:rsid w:val="005032E3"/>
    <w:rsid w:val="00506E88"/>
    <w:rsid w:val="005077EA"/>
    <w:rsid w:val="00510259"/>
    <w:rsid w:val="005106E7"/>
    <w:rsid w:val="00510DAA"/>
    <w:rsid w:val="00511544"/>
    <w:rsid w:val="00511664"/>
    <w:rsid w:val="00511E59"/>
    <w:rsid w:val="00513303"/>
    <w:rsid w:val="00515F9B"/>
    <w:rsid w:val="00516A94"/>
    <w:rsid w:val="00517E61"/>
    <w:rsid w:val="00520F2D"/>
    <w:rsid w:val="00520F37"/>
    <w:rsid w:val="0052196E"/>
    <w:rsid w:val="00521BE1"/>
    <w:rsid w:val="00521C1A"/>
    <w:rsid w:val="00522F7C"/>
    <w:rsid w:val="0052304E"/>
    <w:rsid w:val="00524254"/>
    <w:rsid w:val="00527172"/>
    <w:rsid w:val="005336AA"/>
    <w:rsid w:val="005342BA"/>
    <w:rsid w:val="00534330"/>
    <w:rsid w:val="00535F61"/>
    <w:rsid w:val="0053692D"/>
    <w:rsid w:val="00536EFB"/>
    <w:rsid w:val="005370C7"/>
    <w:rsid w:val="00537FFD"/>
    <w:rsid w:val="00541F97"/>
    <w:rsid w:val="005428D8"/>
    <w:rsid w:val="00546497"/>
    <w:rsid w:val="00546CB1"/>
    <w:rsid w:val="00552341"/>
    <w:rsid w:val="00552928"/>
    <w:rsid w:val="00553415"/>
    <w:rsid w:val="00554C94"/>
    <w:rsid w:val="00556AD5"/>
    <w:rsid w:val="00556C46"/>
    <w:rsid w:val="00560BEF"/>
    <w:rsid w:val="00561152"/>
    <w:rsid w:val="00561B8A"/>
    <w:rsid w:val="00562440"/>
    <w:rsid w:val="00562E29"/>
    <w:rsid w:val="00563FD0"/>
    <w:rsid w:val="0056441A"/>
    <w:rsid w:val="00565AB9"/>
    <w:rsid w:val="00567CD9"/>
    <w:rsid w:val="00570E2C"/>
    <w:rsid w:val="005715DE"/>
    <w:rsid w:val="00571BDF"/>
    <w:rsid w:val="00572209"/>
    <w:rsid w:val="0057361D"/>
    <w:rsid w:val="00575836"/>
    <w:rsid w:val="00576183"/>
    <w:rsid w:val="005832F0"/>
    <w:rsid w:val="0058669B"/>
    <w:rsid w:val="00586A25"/>
    <w:rsid w:val="00586C32"/>
    <w:rsid w:val="0059073F"/>
    <w:rsid w:val="00591795"/>
    <w:rsid w:val="005929F1"/>
    <w:rsid w:val="00595989"/>
    <w:rsid w:val="00595A35"/>
    <w:rsid w:val="00597741"/>
    <w:rsid w:val="00597936"/>
    <w:rsid w:val="005A02BE"/>
    <w:rsid w:val="005A30F5"/>
    <w:rsid w:val="005A62CC"/>
    <w:rsid w:val="005A6DF0"/>
    <w:rsid w:val="005A7112"/>
    <w:rsid w:val="005A7597"/>
    <w:rsid w:val="005A771B"/>
    <w:rsid w:val="005B057C"/>
    <w:rsid w:val="005B060A"/>
    <w:rsid w:val="005B1633"/>
    <w:rsid w:val="005B3F9E"/>
    <w:rsid w:val="005B4CAF"/>
    <w:rsid w:val="005B6D9E"/>
    <w:rsid w:val="005C1D39"/>
    <w:rsid w:val="005C1DA2"/>
    <w:rsid w:val="005C37EB"/>
    <w:rsid w:val="005C38B3"/>
    <w:rsid w:val="005C3C2C"/>
    <w:rsid w:val="005C47F9"/>
    <w:rsid w:val="005C7C84"/>
    <w:rsid w:val="005D0094"/>
    <w:rsid w:val="005D077A"/>
    <w:rsid w:val="005D0B60"/>
    <w:rsid w:val="005D12E0"/>
    <w:rsid w:val="005D1D8D"/>
    <w:rsid w:val="005D211A"/>
    <w:rsid w:val="005D32B5"/>
    <w:rsid w:val="005D3486"/>
    <w:rsid w:val="005D760C"/>
    <w:rsid w:val="005D7839"/>
    <w:rsid w:val="005E004E"/>
    <w:rsid w:val="005E03E1"/>
    <w:rsid w:val="005E1750"/>
    <w:rsid w:val="005E2466"/>
    <w:rsid w:val="005E400F"/>
    <w:rsid w:val="005E40F7"/>
    <w:rsid w:val="005F01A6"/>
    <w:rsid w:val="005F0A3F"/>
    <w:rsid w:val="005F0ACB"/>
    <w:rsid w:val="005F1561"/>
    <w:rsid w:val="005F26F7"/>
    <w:rsid w:val="005F2878"/>
    <w:rsid w:val="005F29E5"/>
    <w:rsid w:val="005F34C4"/>
    <w:rsid w:val="005F41FE"/>
    <w:rsid w:val="005F5854"/>
    <w:rsid w:val="005F5EAE"/>
    <w:rsid w:val="005F70AC"/>
    <w:rsid w:val="005F75C0"/>
    <w:rsid w:val="006005A9"/>
    <w:rsid w:val="0060208E"/>
    <w:rsid w:val="006026E7"/>
    <w:rsid w:val="00602D89"/>
    <w:rsid w:val="00603EC2"/>
    <w:rsid w:val="00605C7D"/>
    <w:rsid w:val="00607DB1"/>
    <w:rsid w:val="00610FC9"/>
    <w:rsid w:val="006114BF"/>
    <w:rsid w:val="0061216D"/>
    <w:rsid w:val="00612492"/>
    <w:rsid w:val="00613948"/>
    <w:rsid w:val="006162B2"/>
    <w:rsid w:val="00616555"/>
    <w:rsid w:val="00616577"/>
    <w:rsid w:val="006167E2"/>
    <w:rsid w:val="00621136"/>
    <w:rsid w:val="0062165A"/>
    <w:rsid w:val="0062363D"/>
    <w:rsid w:val="006260C9"/>
    <w:rsid w:val="00630375"/>
    <w:rsid w:val="00630C21"/>
    <w:rsid w:val="00630E83"/>
    <w:rsid w:val="006350E8"/>
    <w:rsid w:val="00635839"/>
    <w:rsid w:val="00635AFC"/>
    <w:rsid w:val="00636EDF"/>
    <w:rsid w:val="00641036"/>
    <w:rsid w:val="0064412F"/>
    <w:rsid w:val="00644A4D"/>
    <w:rsid w:val="00645790"/>
    <w:rsid w:val="0064707B"/>
    <w:rsid w:val="00647547"/>
    <w:rsid w:val="00647D7D"/>
    <w:rsid w:val="0065208D"/>
    <w:rsid w:val="00652E94"/>
    <w:rsid w:val="00653684"/>
    <w:rsid w:val="00654C14"/>
    <w:rsid w:val="006559E8"/>
    <w:rsid w:val="006567F6"/>
    <w:rsid w:val="00656D98"/>
    <w:rsid w:val="006609B5"/>
    <w:rsid w:val="00660CF8"/>
    <w:rsid w:val="0066218C"/>
    <w:rsid w:val="00663F7C"/>
    <w:rsid w:val="0066545F"/>
    <w:rsid w:val="006664A9"/>
    <w:rsid w:val="006667AA"/>
    <w:rsid w:val="00667B7F"/>
    <w:rsid w:val="00667D9C"/>
    <w:rsid w:val="00667DAE"/>
    <w:rsid w:val="00667F0E"/>
    <w:rsid w:val="0067020C"/>
    <w:rsid w:val="006713CE"/>
    <w:rsid w:val="006715EE"/>
    <w:rsid w:val="00671ECD"/>
    <w:rsid w:val="00674EE8"/>
    <w:rsid w:val="006768E1"/>
    <w:rsid w:val="00676CC5"/>
    <w:rsid w:val="00682A84"/>
    <w:rsid w:val="00682E85"/>
    <w:rsid w:val="0068464B"/>
    <w:rsid w:val="006846BD"/>
    <w:rsid w:val="00684BC6"/>
    <w:rsid w:val="00691708"/>
    <w:rsid w:val="00691F39"/>
    <w:rsid w:val="00692D94"/>
    <w:rsid w:val="006934AA"/>
    <w:rsid w:val="006945C7"/>
    <w:rsid w:val="006952B9"/>
    <w:rsid w:val="006959F3"/>
    <w:rsid w:val="006976F9"/>
    <w:rsid w:val="006A0782"/>
    <w:rsid w:val="006A0A4B"/>
    <w:rsid w:val="006A1312"/>
    <w:rsid w:val="006A14F2"/>
    <w:rsid w:val="006A28C4"/>
    <w:rsid w:val="006A2E80"/>
    <w:rsid w:val="006A5D67"/>
    <w:rsid w:val="006A69FB"/>
    <w:rsid w:val="006A6ABB"/>
    <w:rsid w:val="006B0293"/>
    <w:rsid w:val="006B06A8"/>
    <w:rsid w:val="006B2BA7"/>
    <w:rsid w:val="006B36E6"/>
    <w:rsid w:val="006B370F"/>
    <w:rsid w:val="006B46CA"/>
    <w:rsid w:val="006B4E1B"/>
    <w:rsid w:val="006B523B"/>
    <w:rsid w:val="006B5B1E"/>
    <w:rsid w:val="006B5D04"/>
    <w:rsid w:val="006B6EC1"/>
    <w:rsid w:val="006C206C"/>
    <w:rsid w:val="006C5C48"/>
    <w:rsid w:val="006C7D4A"/>
    <w:rsid w:val="006D0AF3"/>
    <w:rsid w:val="006D2CBE"/>
    <w:rsid w:val="006D398F"/>
    <w:rsid w:val="006D3A4D"/>
    <w:rsid w:val="006D5246"/>
    <w:rsid w:val="006D670B"/>
    <w:rsid w:val="006D6F65"/>
    <w:rsid w:val="006D7827"/>
    <w:rsid w:val="006E4458"/>
    <w:rsid w:val="006E4576"/>
    <w:rsid w:val="006E475E"/>
    <w:rsid w:val="006E4DC0"/>
    <w:rsid w:val="006E711D"/>
    <w:rsid w:val="006E7336"/>
    <w:rsid w:val="006F0848"/>
    <w:rsid w:val="006F278B"/>
    <w:rsid w:val="006F442C"/>
    <w:rsid w:val="006F5802"/>
    <w:rsid w:val="007007BB"/>
    <w:rsid w:val="00700C07"/>
    <w:rsid w:val="007015CF"/>
    <w:rsid w:val="00702CBB"/>
    <w:rsid w:val="007038F4"/>
    <w:rsid w:val="00704390"/>
    <w:rsid w:val="0070444E"/>
    <w:rsid w:val="00704FC1"/>
    <w:rsid w:val="00705E0B"/>
    <w:rsid w:val="0070657C"/>
    <w:rsid w:val="007068E0"/>
    <w:rsid w:val="00707E32"/>
    <w:rsid w:val="00710C26"/>
    <w:rsid w:val="00710D09"/>
    <w:rsid w:val="00712D39"/>
    <w:rsid w:val="00713098"/>
    <w:rsid w:val="0071362B"/>
    <w:rsid w:val="00713783"/>
    <w:rsid w:val="00714975"/>
    <w:rsid w:val="00716838"/>
    <w:rsid w:val="00721F90"/>
    <w:rsid w:val="00725085"/>
    <w:rsid w:val="00726316"/>
    <w:rsid w:val="007332BC"/>
    <w:rsid w:val="00733D9F"/>
    <w:rsid w:val="007343F9"/>
    <w:rsid w:val="00734609"/>
    <w:rsid w:val="0073478F"/>
    <w:rsid w:val="0073769F"/>
    <w:rsid w:val="0074076F"/>
    <w:rsid w:val="00740CE4"/>
    <w:rsid w:val="00741C78"/>
    <w:rsid w:val="00741F89"/>
    <w:rsid w:val="00742730"/>
    <w:rsid w:val="00742C3E"/>
    <w:rsid w:val="00743CA6"/>
    <w:rsid w:val="00744E6E"/>
    <w:rsid w:val="00750799"/>
    <w:rsid w:val="00761F3D"/>
    <w:rsid w:val="00761FFA"/>
    <w:rsid w:val="00762B43"/>
    <w:rsid w:val="00762EBB"/>
    <w:rsid w:val="00764878"/>
    <w:rsid w:val="00764CAC"/>
    <w:rsid w:val="0076753D"/>
    <w:rsid w:val="00770D5B"/>
    <w:rsid w:val="0077136D"/>
    <w:rsid w:val="00772B6E"/>
    <w:rsid w:val="00774313"/>
    <w:rsid w:val="00774554"/>
    <w:rsid w:val="00774D12"/>
    <w:rsid w:val="00775F05"/>
    <w:rsid w:val="007776C0"/>
    <w:rsid w:val="00780F3E"/>
    <w:rsid w:val="00782075"/>
    <w:rsid w:val="00784807"/>
    <w:rsid w:val="007848A8"/>
    <w:rsid w:val="007901A5"/>
    <w:rsid w:val="00791AF3"/>
    <w:rsid w:val="00791E0D"/>
    <w:rsid w:val="00792E62"/>
    <w:rsid w:val="00792EC8"/>
    <w:rsid w:val="00793067"/>
    <w:rsid w:val="007932F1"/>
    <w:rsid w:val="00793CF4"/>
    <w:rsid w:val="0079479B"/>
    <w:rsid w:val="007949B2"/>
    <w:rsid w:val="00796B85"/>
    <w:rsid w:val="007A047B"/>
    <w:rsid w:val="007A05B2"/>
    <w:rsid w:val="007A086D"/>
    <w:rsid w:val="007A0FD4"/>
    <w:rsid w:val="007A1F0B"/>
    <w:rsid w:val="007A1FCB"/>
    <w:rsid w:val="007A2436"/>
    <w:rsid w:val="007A25D5"/>
    <w:rsid w:val="007A3560"/>
    <w:rsid w:val="007A3E4A"/>
    <w:rsid w:val="007A4426"/>
    <w:rsid w:val="007A60B6"/>
    <w:rsid w:val="007A7BF9"/>
    <w:rsid w:val="007A7D68"/>
    <w:rsid w:val="007B0A83"/>
    <w:rsid w:val="007B1F4A"/>
    <w:rsid w:val="007B2B6C"/>
    <w:rsid w:val="007B39F2"/>
    <w:rsid w:val="007B76D6"/>
    <w:rsid w:val="007C031D"/>
    <w:rsid w:val="007C0B2E"/>
    <w:rsid w:val="007C3D5F"/>
    <w:rsid w:val="007C3F09"/>
    <w:rsid w:val="007C5EA0"/>
    <w:rsid w:val="007C5F6F"/>
    <w:rsid w:val="007C647B"/>
    <w:rsid w:val="007C6ABE"/>
    <w:rsid w:val="007D13E9"/>
    <w:rsid w:val="007D151C"/>
    <w:rsid w:val="007D2850"/>
    <w:rsid w:val="007D295A"/>
    <w:rsid w:val="007D41A2"/>
    <w:rsid w:val="007D5509"/>
    <w:rsid w:val="007D771C"/>
    <w:rsid w:val="007D7A1A"/>
    <w:rsid w:val="007D7A94"/>
    <w:rsid w:val="007E0379"/>
    <w:rsid w:val="007E0D3D"/>
    <w:rsid w:val="007E0EAA"/>
    <w:rsid w:val="007E10E3"/>
    <w:rsid w:val="007E17E0"/>
    <w:rsid w:val="007E2050"/>
    <w:rsid w:val="007E2C6A"/>
    <w:rsid w:val="007E4C6E"/>
    <w:rsid w:val="007E4D21"/>
    <w:rsid w:val="007E5EB3"/>
    <w:rsid w:val="007E6A05"/>
    <w:rsid w:val="007E719D"/>
    <w:rsid w:val="007F102C"/>
    <w:rsid w:val="007F172E"/>
    <w:rsid w:val="007F31A7"/>
    <w:rsid w:val="007F3871"/>
    <w:rsid w:val="007F43B6"/>
    <w:rsid w:val="007F514C"/>
    <w:rsid w:val="007F61C7"/>
    <w:rsid w:val="007F6853"/>
    <w:rsid w:val="007F72BE"/>
    <w:rsid w:val="007F7553"/>
    <w:rsid w:val="007F7D1C"/>
    <w:rsid w:val="00805EB6"/>
    <w:rsid w:val="00810221"/>
    <w:rsid w:val="00810D0F"/>
    <w:rsid w:val="00814095"/>
    <w:rsid w:val="008150E4"/>
    <w:rsid w:val="008155EF"/>
    <w:rsid w:val="00815724"/>
    <w:rsid w:val="00817470"/>
    <w:rsid w:val="00817F7A"/>
    <w:rsid w:val="00820D17"/>
    <w:rsid w:val="00823AE8"/>
    <w:rsid w:val="00824331"/>
    <w:rsid w:val="00826C27"/>
    <w:rsid w:val="00830A66"/>
    <w:rsid w:val="008326D7"/>
    <w:rsid w:val="008329F9"/>
    <w:rsid w:val="00833F94"/>
    <w:rsid w:val="00834D9D"/>
    <w:rsid w:val="00835209"/>
    <w:rsid w:val="00836374"/>
    <w:rsid w:val="00836D85"/>
    <w:rsid w:val="008377A9"/>
    <w:rsid w:val="00837DA1"/>
    <w:rsid w:val="00837E3B"/>
    <w:rsid w:val="00840C6E"/>
    <w:rsid w:val="00843401"/>
    <w:rsid w:val="0084473E"/>
    <w:rsid w:val="00844C2C"/>
    <w:rsid w:val="00844C94"/>
    <w:rsid w:val="00844FBB"/>
    <w:rsid w:val="00846A08"/>
    <w:rsid w:val="008470AB"/>
    <w:rsid w:val="00847ECA"/>
    <w:rsid w:val="00847FFA"/>
    <w:rsid w:val="0085049D"/>
    <w:rsid w:val="0085069D"/>
    <w:rsid w:val="00852198"/>
    <w:rsid w:val="008524CA"/>
    <w:rsid w:val="0085378A"/>
    <w:rsid w:val="008540EB"/>
    <w:rsid w:val="00854A2C"/>
    <w:rsid w:val="00854BB5"/>
    <w:rsid w:val="00855996"/>
    <w:rsid w:val="008561CD"/>
    <w:rsid w:val="00857FE5"/>
    <w:rsid w:val="00860071"/>
    <w:rsid w:val="00861495"/>
    <w:rsid w:val="008638BF"/>
    <w:rsid w:val="00863BA1"/>
    <w:rsid w:val="00867000"/>
    <w:rsid w:val="00867F5A"/>
    <w:rsid w:val="00871FE4"/>
    <w:rsid w:val="00872177"/>
    <w:rsid w:val="008739C6"/>
    <w:rsid w:val="00874124"/>
    <w:rsid w:val="00880488"/>
    <w:rsid w:val="00880654"/>
    <w:rsid w:val="00881A63"/>
    <w:rsid w:val="008836C1"/>
    <w:rsid w:val="00884B54"/>
    <w:rsid w:val="008869C1"/>
    <w:rsid w:val="00890356"/>
    <w:rsid w:val="00890D8F"/>
    <w:rsid w:val="00891BF0"/>
    <w:rsid w:val="00892865"/>
    <w:rsid w:val="00893558"/>
    <w:rsid w:val="00893FAD"/>
    <w:rsid w:val="008956F3"/>
    <w:rsid w:val="00895A21"/>
    <w:rsid w:val="008962C6"/>
    <w:rsid w:val="008968AF"/>
    <w:rsid w:val="008A061D"/>
    <w:rsid w:val="008A0EA5"/>
    <w:rsid w:val="008A1D4C"/>
    <w:rsid w:val="008A320A"/>
    <w:rsid w:val="008A33F9"/>
    <w:rsid w:val="008A4A0A"/>
    <w:rsid w:val="008A7730"/>
    <w:rsid w:val="008B19C6"/>
    <w:rsid w:val="008B1B9D"/>
    <w:rsid w:val="008B2FAA"/>
    <w:rsid w:val="008B5092"/>
    <w:rsid w:val="008B5DA6"/>
    <w:rsid w:val="008B5EB3"/>
    <w:rsid w:val="008B5EFB"/>
    <w:rsid w:val="008C0E85"/>
    <w:rsid w:val="008C466E"/>
    <w:rsid w:val="008C668E"/>
    <w:rsid w:val="008C6B7C"/>
    <w:rsid w:val="008C6F2C"/>
    <w:rsid w:val="008C71AD"/>
    <w:rsid w:val="008C7301"/>
    <w:rsid w:val="008D2A85"/>
    <w:rsid w:val="008D3C41"/>
    <w:rsid w:val="008D4EEA"/>
    <w:rsid w:val="008D547D"/>
    <w:rsid w:val="008D6F9E"/>
    <w:rsid w:val="008D746B"/>
    <w:rsid w:val="008E0388"/>
    <w:rsid w:val="008E12BA"/>
    <w:rsid w:val="008E13C0"/>
    <w:rsid w:val="008E3429"/>
    <w:rsid w:val="008E4266"/>
    <w:rsid w:val="008E46D5"/>
    <w:rsid w:val="008E5709"/>
    <w:rsid w:val="008E67C2"/>
    <w:rsid w:val="008E6B9A"/>
    <w:rsid w:val="008E7796"/>
    <w:rsid w:val="008E7A4A"/>
    <w:rsid w:val="008E7B71"/>
    <w:rsid w:val="008F0E9A"/>
    <w:rsid w:val="008F1467"/>
    <w:rsid w:val="008F334C"/>
    <w:rsid w:val="008F35F0"/>
    <w:rsid w:val="008F4557"/>
    <w:rsid w:val="008F6B81"/>
    <w:rsid w:val="00900517"/>
    <w:rsid w:val="00901B0D"/>
    <w:rsid w:val="00904062"/>
    <w:rsid w:val="009048A7"/>
    <w:rsid w:val="00904ACE"/>
    <w:rsid w:val="0090548D"/>
    <w:rsid w:val="00907E6B"/>
    <w:rsid w:val="0091073B"/>
    <w:rsid w:val="00910B12"/>
    <w:rsid w:val="00910DEE"/>
    <w:rsid w:val="00911666"/>
    <w:rsid w:val="009119E3"/>
    <w:rsid w:val="00911B2B"/>
    <w:rsid w:val="00912DEC"/>
    <w:rsid w:val="00916D69"/>
    <w:rsid w:val="00916F49"/>
    <w:rsid w:val="00925B43"/>
    <w:rsid w:val="00925D4A"/>
    <w:rsid w:val="00926F91"/>
    <w:rsid w:val="009279E2"/>
    <w:rsid w:val="00927EDE"/>
    <w:rsid w:val="00930108"/>
    <w:rsid w:val="00931116"/>
    <w:rsid w:val="00931DF5"/>
    <w:rsid w:val="00932632"/>
    <w:rsid w:val="0093365C"/>
    <w:rsid w:val="00935FC0"/>
    <w:rsid w:val="00937844"/>
    <w:rsid w:val="009406DE"/>
    <w:rsid w:val="00941B9C"/>
    <w:rsid w:val="00943A2F"/>
    <w:rsid w:val="009455DC"/>
    <w:rsid w:val="00946EE4"/>
    <w:rsid w:val="009475C8"/>
    <w:rsid w:val="00950733"/>
    <w:rsid w:val="00953BC6"/>
    <w:rsid w:val="00954A73"/>
    <w:rsid w:val="00955051"/>
    <w:rsid w:val="009556CD"/>
    <w:rsid w:val="00960129"/>
    <w:rsid w:val="00961D8C"/>
    <w:rsid w:val="00962146"/>
    <w:rsid w:val="0096338C"/>
    <w:rsid w:val="00963CE5"/>
    <w:rsid w:val="00964406"/>
    <w:rsid w:val="00966DDC"/>
    <w:rsid w:val="00971EB6"/>
    <w:rsid w:val="009723F3"/>
    <w:rsid w:val="009725E8"/>
    <w:rsid w:val="00974FC3"/>
    <w:rsid w:val="0097567B"/>
    <w:rsid w:val="009763DA"/>
    <w:rsid w:val="00977382"/>
    <w:rsid w:val="00977AF0"/>
    <w:rsid w:val="00980615"/>
    <w:rsid w:val="0098173C"/>
    <w:rsid w:val="0098197C"/>
    <w:rsid w:val="00983BF8"/>
    <w:rsid w:val="009855D2"/>
    <w:rsid w:val="00985B79"/>
    <w:rsid w:val="00986755"/>
    <w:rsid w:val="0099066C"/>
    <w:rsid w:val="00990DA5"/>
    <w:rsid w:val="00994F42"/>
    <w:rsid w:val="00995E2F"/>
    <w:rsid w:val="009960B6"/>
    <w:rsid w:val="009966BC"/>
    <w:rsid w:val="009A012D"/>
    <w:rsid w:val="009A018C"/>
    <w:rsid w:val="009A3227"/>
    <w:rsid w:val="009A3F7D"/>
    <w:rsid w:val="009A4222"/>
    <w:rsid w:val="009A4858"/>
    <w:rsid w:val="009A721E"/>
    <w:rsid w:val="009B1435"/>
    <w:rsid w:val="009B2585"/>
    <w:rsid w:val="009B3BB7"/>
    <w:rsid w:val="009B501D"/>
    <w:rsid w:val="009B5441"/>
    <w:rsid w:val="009B63DB"/>
    <w:rsid w:val="009B756B"/>
    <w:rsid w:val="009C061F"/>
    <w:rsid w:val="009C0CA5"/>
    <w:rsid w:val="009C14B8"/>
    <w:rsid w:val="009C238D"/>
    <w:rsid w:val="009C3698"/>
    <w:rsid w:val="009C660E"/>
    <w:rsid w:val="009D0138"/>
    <w:rsid w:val="009D0998"/>
    <w:rsid w:val="009D0A2D"/>
    <w:rsid w:val="009D0FDD"/>
    <w:rsid w:val="009D4D79"/>
    <w:rsid w:val="009D5959"/>
    <w:rsid w:val="009D7B9B"/>
    <w:rsid w:val="009E137E"/>
    <w:rsid w:val="009E26D5"/>
    <w:rsid w:val="009E50EF"/>
    <w:rsid w:val="009E524E"/>
    <w:rsid w:val="009E7182"/>
    <w:rsid w:val="009E7CDF"/>
    <w:rsid w:val="009F0021"/>
    <w:rsid w:val="009F01B5"/>
    <w:rsid w:val="009F1E3D"/>
    <w:rsid w:val="009F2BD5"/>
    <w:rsid w:val="009F4176"/>
    <w:rsid w:val="009F5691"/>
    <w:rsid w:val="009F587E"/>
    <w:rsid w:val="009F5968"/>
    <w:rsid w:val="00A00C6D"/>
    <w:rsid w:val="00A00D71"/>
    <w:rsid w:val="00A027BB"/>
    <w:rsid w:val="00A0281C"/>
    <w:rsid w:val="00A028AE"/>
    <w:rsid w:val="00A033B3"/>
    <w:rsid w:val="00A04A09"/>
    <w:rsid w:val="00A04B6D"/>
    <w:rsid w:val="00A04D66"/>
    <w:rsid w:val="00A0735B"/>
    <w:rsid w:val="00A0793D"/>
    <w:rsid w:val="00A126C5"/>
    <w:rsid w:val="00A14D9B"/>
    <w:rsid w:val="00A160C6"/>
    <w:rsid w:val="00A167D8"/>
    <w:rsid w:val="00A20A20"/>
    <w:rsid w:val="00A215E7"/>
    <w:rsid w:val="00A2176C"/>
    <w:rsid w:val="00A21E8F"/>
    <w:rsid w:val="00A220CE"/>
    <w:rsid w:val="00A23ECA"/>
    <w:rsid w:val="00A24BE8"/>
    <w:rsid w:val="00A24D75"/>
    <w:rsid w:val="00A25D3D"/>
    <w:rsid w:val="00A25EAB"/>
    <w:rsid w:val="00A27524"/>
    <w:rsid w:val="00A27655"/>
    <w:rsid w:val="00A27689"/>
    <w:rsid w:val="00A32B4F"/>
    <w:rsid w:val="00A333BB"/>
    <w:rsid w:val="00A336EA"/>
    <w:rsid w:val="00A33890"/>
    <w:rsid w:val="00A34303"/>
    <w:rsid w:val="00A415E6"/>
    <w:rsid w:val="00A41696"/>
    <w:rsid w:val="00A424B7"/>
    <w:rsid w:val="00A42D97"/>
    <w:rsid w:val="00A4328C"/>
    <w:rsid w:val="00A435ED"/>
    <w:rsid w:val="00A4545A"/>
    <w:rsid w:val="00A455C8"/>
    <w:rsid w:val="00A4576C"/>
    <w:rsid w:val="00A460A1"/>
    <w:rsid w:val="00A469CF"/>
    <w:rsid w:val="00A470BE"/>
    <w:rsid w:val="00A47B5D"/>
    <w:rsid w:val="00A47CB1"/>
    <w:rsid w:val="00A522F8"/>
    <w:rsid w:val="00A54B7A"/>
    <w:rsid w:val="00A603CD"/>
    <w:rsid w:val="00A621C2"/>
    <w:rsid w:val="00A63997"/>
    <w:rsid w:val="00A63E07"/>
    <w:rsid w:val="00A65361"/>
    <w:rsid w:val="00A70B20"/>
    <w:rsid w:val="00A7196B"/>
    <w:rsid w:val="00A71B29"/>
    <w:rsid w:val="00A72106"/>
    <w:rsid w:val="00A7211D"/>
    <w:rsid w:val="00A72769"/>
    <w:rsid w:val="00A730FA"/>
    <w:rsid w:val="00A73C07"/>
    <w:rsid w:val="00A73CE2"/>
    <w:rsid w:val="00A76394"/>
    <w:rsid w:val="00A77308"/>
    <w:rsid w:val="00A7754E"/>
    <w:rsid w:val="00A77B98"/>
    <w:rsid w:val="00A80F2A"/>
    <w:rsid w:val="00A814DE"/>
    <w:rsid w:val="00A83B1E"/>
    <w:rsid w:val="00A841B3"/>
    <w:rsid w:val="00A84458"/>
    <w:rsid w:val="00A84696"/>
    <w:rsid w:val="00A870D2"/>
    <w:rsid w:val="00A87D02"/>
    <w:rsid w:val="00A90CF8"/>
    <w:rsid w:val="00A910E2"/>
    <w:rsid w:val="00A913DC"/>
    <w:rsid w:val="00A93C1A"/>
    <w:rsid w:val="00A94DE2"/>
    <w:rsid w:val="00A95F9C"/>
    <w:rsid w:val="00A97C40"/>
    <w:rsid w:val="00AA07D6"/>
    <w:rsid w:val="00AA18F4"/>
    <w:rsid w:val="00AA35EB"/>
    <w:rsid w:val="00AA3D8B"/>
    <w:rsid w:val="00AA43D3"/>
    <w:rsid w:val="00AA52E3"/>
    <w:rsid w:val="00AA543A"/>
    <w:rsid w:val="00AA76CB"/>
    <w:rsid w:val="00AA78D0"/>
    <w:rsid w:val="00AB08B6"/>
    <w:rsid w:val="00AB241F"/>
    <w:rsid w:val="00AB29BA"/>
    <w:rsid w:val="00AB2F65"/>
    <w:rsid w:val="00AB33B6"/>
    <w:rsid w:val="00AB3A50"/>
    <w:rsid w:val="00AB40BD"/>
    <w:rsid w:val="00AB4525"/>
    <w:rsid w:val="00AB4C8A"/>
    <w:rsid w:val="00AB5253"/>
    <w:rsid w:val="00AB5439"/>
    <w:rsid w:val="00AB5DA7"/>
    <w:rsid w:val="00AC0567"/>
    <w:rsid w:val="00AC1AC0"/>
    <w:rsid w:val="00AC440B"/>
    <w:rsid w:val="00AC4DD8"/>
    <w:rsid w:val="00AC6BAE"/>
    <w:rsid w:val="00AC70E1"/>
    <w:rsid w:val="00AD065C"/>
    <w:rsid w:val="00AD0A33"/>
    <w:rsid w:val="00AD1645"/>
    <w:rsid w:val="00AD35EF"/>
    <w:rsid w:val="00AD5A1A"/>
    <w:rsid w:val="00AD6E57"/>
    <w:rsid w:val="00AE0368"/>
    <w:rsid w:val="00AE11A9"/>
    <w:rsid w:val="00AE2907"/>
    <w:rsid w:val="00AE2DE2"/>
    <w:rsid w:val="00AE337E"/>
    <w:rsid w:val="00AE3DA0"/>
    <w:rsid w:val="00AE516E"/>
    <w:rsid w:val="00AE63C0"/>
    <w:rsid w:val="00AF01DB"/>
    <w:rsid w:val="00AF0A9D"/>
    <w:rsid w:val="00AF2568"/>
    <w:rsid w:val="00AF463B"/>
    <w:rsid w:val="00AF47E3"/>
    <w:rsid w:val="00B003EA"/>
    <w:rsid w:val="00B01BBE"/>
    <w:rsid w:val="00B0293F"/>
    <w:rsid w:val="00B0388E"/>
    <w:rsid w:val="00B03A7B"/>
    <w:rsid w:val="00B061D5"/>
    <w:rsid w:val="00B10BA0"/>
    <w:rsid w:val="00B11287"/>
    <w:rsid w:val="00B11D1A"/>
    <w:rsid w:val="00B11EDA"/>
    <w:rsid w:val="00B12A51"/>
    <w:rsid w:val="00B13AD3"/>
    <w:rsid w:val="00B13C1C"/>
    <w:rsid w:val="00B150B5"/>
    <w:rsid w:val="00B178F6"/>
    <w:rsid w:val="00B20490"/>
    <w:rsid w:val="00B20DCF"/>
    <w:rsid w:val="00B21E8A"/>
    <w:rsid w:val="00B21F17"/>
    <w:rsid w:val="00B23421"/>
    <w:rsid w:val="00B23441"/>
    <w:rsid w:val="00B24A61"/>
    <w:rsid w:val="00B25AC3"/>
    <w:rsid w:val="00B30992"/>
    <w:rsid w:val="00B316CF"/>
    <w:rsid w:val="00B32EBF"/>
    <w:rsid w:val="00B33E11"/>
    <w:rsid w:val="00B34E01"/>
    <w:rsid w:val="00B409B2"/>
    <w:rsid w:val="00B40B6E"/>
    <w:rsid w:val="00B4256E"/>
    <w:rsid w:val="00B4264C"/>
    <w:rsid w:val="00B4757C"/>
    <w:rsid w:val="00B51388"/>
    <w:rsid w:val="00B5155E"/>
    <w:rsid w:val="00B51DC7"/>
    <w:rsid w:val="00B52D8A"/>
    <w:rsid w:val="00B537EC"/>
    <w:rsid w:val="00B5487E"/>
    <w:rsid w:val="00B54B9B"/>
    <w:rsid w:val="00B54EE8"/>
    <w:rsid w:val="00B55BCD"/>
    <w:rsid w:val="00B55D4C"/>
    <w:rsid w:val="00B62EEE"/>
    <w:rsid w:val="00B633A8"/>
    <w:rsid w:val="00B654E7"/>
    <w:rsid w:val="00B659BE"/>
    <w:rsid w:val="00B65DDD"/>
    <w:rsid w:val="00B677C8"/>
    <w:rsid w:val="00B679F7"/>
    <w:rsid w:val="00B7005D"/>
    <w:rsid w:val="00B7081C"/>
    <w:rsid w:val="00B71920"/>
    <w:rsid w:val="00B72DF8"/>
    <w:rsid w:val="00B7388D"/>
    <w:rsid w:val="00B739FD"/>
    <w:rsid w:val="00B74F78"/>
    <w:rsid w:val="00B75515"/>
    <w:rsid w:val="00B75683"/>
    <w:rsid w:val="00B761CC"/>
    <w:rsid w:val="00B7679D"/>
    <w:rsid w:val="00B76A4C"/>
    <w:rsid w:val="00B7742C"/>
    <w:rsid w:val="00B800F5"/>
    <w:rsid w:val="00B813DB"/>
    <w:rsid w:val="00B82E6E"/>
    <w:rsid w:val="00B84811"/>
    <w:rsid w:val="00B872C4"/>
    <w:rsid w:val="00B87756"/>
    <w:rsid w:val="00B91D17"/>
    <w:rsid w:val="00B92F00"/>
    <w:rsid w:val="00B96D27"/>
    <w:rsid w:val="00BA2880"/>
    <w:rsid w:val="00BA3238"/>
    <w:rsid w:val="00BA3B28"/>
    <w:rsid w:val="00BA442C"/>
    <w:rsid w:val="00BA51E7"/>
    <w:rsid w:val="00BA5B7E"/>
    <w:rsid w:val="00BB28FB"/>
    <w:rsid w:val="00BB2A0A"/>
    <w:rsid w:val="00BB4A0F"/>
    <w:rsid w:val="00BB4B33"/>
    <w:rsid w:val="00BC22B6"/>
    <w:rsid w:val="00BC2B2B"/>
    <w:rsid w:val="00BC32B7"/>
    <w:rsid w:val="00BC3D8D"/>
    <w:rsid w:val="00BC5D97"/>
    <w:rsid w:val="00BC6A58"/>
    <w:rsid w:val="00BC6BD2"/>
    <w:rsid w:val="00BD0740"/>
    <w:rsid w:val="00BD15E8"/>
    <w:rsid w:val="00BD257C"/>
    <w:rsid w:val="00BD5B5C"/>
    <w:rsid w:val="00BD6459"/>
    <w:rsid w:val="00BD7300"/>
    <w:rsid w:val="00BE0DBB"/>
    <w:rsid w:val="00BE17A1"/>
    <w:rsid w:val="00BE384B"/>
    <w:rsid w:val="00BE4439"/>
    <w:rsid w:val="00BE488D"/>
    <w:rsid w:val="00BE5FE7"/>
    <w:rsid w:val="00BF1148"/>
    <w:rsid w:val="00BF1BBB"/>
    <w:rsid w:val="00BF1D41"/>
    <w:rsid w:val="00BF2BD5"/>
    <w:rsid w:val="00C02F79"/>
    <w:rsid w:val="00C02FFE"/>
    <w:rsid w:val="00C03B1B"/>
    <w:rsid w:val="00C03E77"/>
    <w:rsid w:val="00C05603"/>
    <w:rsid w:val="00C05D82"/>
    <w:rsid w:val="00C0608E"/>
    <w:rsid w:val="00C117AA"/>
    <w:rsid w:val="00C11C9A"/>
    <w:rsid w:val="00C13AE4"/>
    <w:rsid w:val="00C16664"/>
    <w:rsid w:val="00C16EC8"/>
    <w:rsid w:val="00C179B7"/>
    <w:rsid w:val="00C17ECC"/>
    <w:rsid w:val="00C22681"/>
    <w:rsid w:val="00C233FB"/>
    <w:rsid w:val="00C2388E"/>
    <w:rsid w:val="00C23DEA"/>
    <w:rsid w:val="00C25302"/>
    <w:rsid w:val="00C256AC"/>
    <w:rsid w:val="00C25A0D"/>
    <w:rsid w:val="00C264F4"/>
    <w:rsid w:val="00C27182"/>
    <w:rsid w:val="00C2723F"/>
    <w:rsid w:val="00C343DF"/>
    <w:rsid w:val="00C356D8"/>
    <w:rsid w:val="00C36948"/>
    <w:rsid w:val="00C36DB1"/>
    <w:rsid w:val="00C40011"/>
    <w:rsid w:val="00C4004A"/>
    <w:rsid w:val="00C40316"/>
    <w:rsid w:val="00C50360"/>
    <w:rsid w:val="00C50C7B"/>
    <w:rsid w:val="00C54624"/>
    <w:rsid w:val="00C555F5"/>
    <w:rsid w:val="00C56350"/>
    <w:rsid w:val="00C60344"/>
    <w:rsid w:val="00C623D9"/>
    <w:rsid w:val="00C62674"/>
    <w:rsid w:val="00C62984"/>
    <w:rsid w:val="00C62C86"/>
    <w:rsid w:val="00C660D1"/>
    <w:rsid w:val="00C6660D"/>
    <w:rsid w:val="00C669F8"/>
    <w:rsid w:val="00C66E1A"/>
    <w:rsid w:val="00C6735D"/>
    <w:rsid w:val="00C70194"/>
    <w:rsid w:val="00C7104E"/>
    <w:rsid w:val="00C726C9"/>
    <w:rsid w:val="00C738DA"/>
    <w:rsid w:val="00C7504B"/>
    <w:rsid w:val="00C754AF"/>
    <w:rsid w:val="00C75E52"/>
    <w:rsid w:val="00C800C4"/>
    <w:rsid w:val="00C83BDA"/>
    <w:rsid w:val="00C85A50"/>
    <w:rsid w:val="00C86E1A"/>
    <w:rsid w:val="00C8768C"/>
    <w:rsid w:val="00C90F6F"/>
    <w:rsid w:val="00C92D49"/>
    <w:rsid w:val="00C94B59"/>
    <w:rsid w:val="00C94C20"/>
    <w:rsid w:val="00C95F00"/>
    <w:rsid w:val="00C96D2D"/>
    <w:rsid w:val="00C97DF2"/>
    <w:rsid w:val="00CA52A1"/>
    <w:rsid w:val="00CA5458"/>
    <w:rsid w:val="00CB01CA"/>
    <w:rsid w:val="00CB14FA"/>
    <w:rsid w:val="00CB2F4B"/>
    <w:rsid w:val="00CB355F"/>
    <w:rsid w:val="00CB3E75"/>
    <w:rsid w:val="00CB5157"/>
    <w:rsid w:val="00CC0E2D"/>
    <w:rsid w:val="00CC1979"/>
    <w:rsid w:val="00CC350B"/>
    <w:rsid w:val="00CC46D9"/>
    <w:rsid w:val="00CD0066"/>
    <w:rsid w:val="00CD027F"/>
    <w:rsid w:val="00CD0620"/>
    <w:rsid w:val="00CD1B1D"/>
    <w:rsid w:val="00CD276C"/>
    <w:rsid w:val="00CD4ECD"/>
    <w:rsid w:val="00CD5A78"/>
    <w:rsid w:val="00CD7C95"/>
    <w:rsid w:val="00CD7F53"/>
    <w:rsid w:val="00CE168E"/>
    <w:rsid w:val="00CE1B1C"/>
    <w:rsid w:val="00CE1EB6"/>
    <w:rsid w:val="00CE2B5F"/>
    <w:rsid w:val="00CE3219"/>
    <w:rsid w:val="00CE3E52"/>
    <w:rsid w:val="00CE3F45"/>
    <w:rsid w:val="00CE61EB"/>
    <w:rsid w:val="00CE6654"/>
    <w:rsid w:val="00CE6A4F"/>
    <w:rsid w:val="00CF133C"/>
    <w:rsid w:val="00CF3133"/>
    <w:rsid w:val="00CF72EC"/>
    <w:rsid w:val="00D0143A"/>
    <w:rsid w:val="00D01A34"/>
    <w:rsid w:val="00D02843"/>
    <w:rsid w:val="00D04304"/>
    <w:rsid w:val="00D0536E"/>
    <w:rsid w:val="00D063B2"/>
    <w:rsid w:val="00D10086"/>
    <w:rsid w:val="00D10A3C"/>
    <w:rsid w:val="00D10A50"/>
    <w:rsid w:val="00D119CD"/>
    <w:rsid w:val="00D129A4"/>
    <w:rsid w:val="00D14433"/>
    <w:rsid w:val="00D148F0"/>
    <w:rsid w:val="00D1588A"/>
    <w:rsid w:val="00D15AC2"/>
    <w:rsid w:val="00D15DC2"/>
    <w:rsid w:val="00D1724D"/>
    <w:rsid w:val="00D1751D"/>
    <w:rsid w:val="00D22468"/>
    <w:rsid w:val="00D225A1"/>
    <w:rsid w:val="00D225D5"/>
    <w:rsid w:val="00D23576"/>
    <w:rsid w:val="00D239FD"/>
    <w:rsid w:val="00D25AEE"/>
    <w:rsid w:val="00D2649F"/>
    <w:rsid w:val="00D269C7"/>
    <w:rsid w:val="00D27E7A"/>
    <w:rsid w:val="00D32E04"/>
    <w:rsid w:val="00D330D9"/>
    <w:rsid w:val="00D33FCC"/>
    <w:rsid w:val="00D34609"/>
    <w:rsid w:val="00D36FC0"/>
    <w:rsid w:val="00D401DF"/>
    <w:rsid w:val="00D4109D"/>
    <w:rsid w:val="00D41FA7"/>
    <w:rsid w:val="00D44E4A"/>
    <w:rsid w:val="00D50DAC"/>
    <w:rsid w:val="00D51EE9"/>
    <w:rsid w:val="00D52B52"/>
    <w:rsid w:val="00D5534F"/>
    <w:rsid w:val="00D570F9"/>
    <w:rsid w:val="00D6013B"/>
    <w:rsid w:val="00D619F1"/>
    <w:rsid w:val="00D6471E"/>
    <w:rsid w:val="00D65024"/>
    <w:rsid w:val="00D704A5"/>
    <w:rsid w:val="00D71805"/>
    <w:rsid w:val="00D72B66"/>
    <w:rsid w:val="00D745D8"/>
    <w:rsid w:val="00D804D8"/>
    <w:rsid w:val="00D823A0"/>
    <w:rsid w:val="00D82507"/>
    <w:rsid w:val="00D83D8F"/>
    <w:rsid w:val="00D849C4"/>
    <w:rsid w:val="00D862A3"/>
    <w:rsid w:val="00D86569"/>
    <w:rsid w:val="00D9360A"/>
    <w:rsid w:val="00D9380C"/>
    <w:rsid w:val="00D94303"/>
    <w:rsid w:val="00D9538C"/>
    <w:rsid w:val="00D96A79"/>
    <w:rsid w:val="00D97087"/>
    <w:rsid w:val="00DA3491"/>
    <w:rsid w:val="00DA3AE9"/>
    <w:rsid w:val="00DA3B4C"/>
    <w:rsid w:val="00DA55B9"/>
    <w:rsid w:val="00DA5BEB"/>
    <w:rsid w:val="00DA71BD"/>
    <w:rsid w:val="00DA71D8"/>
    <w:rsid w:val="00DA78A8"/>
    <w:rsid w:val="00DB01C7"/>
    <w:rsid w:val="00DB0267"/>
    <w:rsid w:val="00DB02B7"/>
    <w:rsid w:val="00DB0AA1"/>
    <w:rsid w:val="00DB1E5A"/>
    <w:rsid w:val="00DB2A7C"/>
    <w:rsid w:val="00DB3A79"/>
    <w:rsid w:val="00DB3F58"/>
    <w:rsid w:val="00DB4DA0"/>
    <w:rsid w:val="00DB54A8"/>
    <w:rsid w:val="00DB6133"/>
    <w:rsid w:val="00DB6935"/>
    <w:rsid w:val="00DB6A36"/>
    <w:rsid w:val="00DB6D4F"/>
    <w:rsid w:val="00DC1029"/>
    <w:rsid w:val="00DC2148"/>
    <w:rsid w:val="00DC4D04"/>
    <w:rsid w:val="00DC5F77"/>
    <w:rsid w:val="00DC65A7"/>
    <w:rsid w:val="00DC7F13"/>
    <w:rsid w:val="00DD024B"/>
    <w:rsid w:val="00DD099E"/>
    <w:rsid w:val="00DD0FA9"/>
    <w:rsid w:val="00DD30E3"/>
    <w:rsid w:val="00DD3E0B"/>
    <w:rsid w:val="00DD48E6"/>
    <w:rsid w:val="00DD51ED"/>
    <w:rsid w:val="00DE01A0"/>
    <w:rsid w:val="00DE01B6"/>
    <w:rsid w:val="00DE0BE8"/>
    <w:rsid w:val="00DE1F44"/>
    <w:rsid w:val="00DE201B"/>
    <w:rsid w:val="00DE3069"/>
    <w:rsid w:val="00DE3FDD"/>
    <w:rsid w:val="00DE5ED3"/>
    <w:rsid w:val="00DE7BEC"/>
    <w:rsid w:val="00DF0B95"/>
    <w:rsid w:val="00DF0C41"/>
    <w:rsid w:val="00DF162D"/>
    <w:rsid w:val="00DF2716"/>
    <w:rsid w:val="00DF29FA"/>
    <w:rsid w:val="00E00046"/>
    <w:rsid w:val="00E001DE"/>
    <w:rsid w:val="00E0036D"/>
    <w:rsid w:val="00E0128B"/>
    <w:rsid w:val="00E012A8"/>
    <w:rsid w:val="00E014FA"/>
    <w:rsid w:val="00E017F3"/>
    <w:rsid w:val="00E042A5"/>
    <w:rsid w:val="00E05A71"/>
    <w:rsid w:val="00E05B3B"/>
    <w:rsid w:val="00E06540"/>
    <w:rsid w:val="00E07003"/>
    <w:rsid w:val="00E10B47"/>
    <w:rsid w:val="00E12829"/>
    <w:rsid w:val="00E15861"/>
    <w:rsid w:val="00E15EFE"/>
    <w:rsid w:val="00E1609F"/>
    <w:rsid w:val="00E174AA"/>
    <w:rsid w:val="00E17862"/>
    <w:rsid w:val="00E21316"/>
    <w:rsid w:val="00E22AD8"/>
    <w:rsid w:val="00E266EA"/>
    <w:rsid w:val="00E268A8"/>
    <w:rsid w:val="00E2775D"/>
    <w:rsid w:val="00E279E2"/>
    <w:rsid w:val="00E30FBF"/>
    <w:rsid w:val="00E3111C"/>
    <w:rsid w:val="00E33D61"/>
    <w:rsid w:val="00E340C7"/>
    <w:rsid w:val="00E342E1"/>
    <w:rsid w:val="00E3683C"/>
    <w:rsid w:val="00E37498"/>
    <w:rsid w:val="00E4090C"/>
    <w:rsid w:val="00E4146E"/>
    <w:rsid w:val="00E42D37"/>
    <w:rsid w:val="00E43BF0"/>
    <w:rsid w:val="00E45BB1"/>
    <w:rsid w:val="00E50C00"/>
    <w:rsid w:val="00E51467"/>
    <w:rsid w:val="00E54A3D"/>
    <w:rsid w:val="00E55BA1"/>
    <w:rsid w:val="00E577E3"/>
    <w:rsid w:val="00E57D9E"/>
    <w:rsid w:val="00E60060"/>
    <w:rsid w:val="00E60452"/>
    <w:rsid w:val="00E62A18"/>
    <w:rsid w:val="00E63468"/>
    <w:rsid w:val="00E642C2"/>
    <w:rsid w:val="00E653A1"/>
    <w:rsid w:val="00E667CB"/>
    <w:rsid w:val="00E676B2"/>
    <w:rsid w:val="00E7075C"/>
    <w:rsid w:val="00E7133A"/>
    <w:rsid w:val="00E72670"/>
    <w:rsid w:val="00E74C23"/>
    <w:rsid w:val="00E774C9"/>
    <w:rsid w:val="00E77974"/>
    <w:rsid w:val="00E81341"/>
    <w:rsid w:val="00E813B9"/>
    <w:rsid w:val="00E82CBE"/>
    <w:rsid w:val="00E82FE8"/>
    <w:rsid w:val="00E832F8"/>
    <w:rsid w:val="00E837F1"/>
    <w:rsid w:val="00E8517E"/>
    <w:rsid w:val="00E85C3C"/>
    <w:rsid w:val="00E85CBE"/>
    <w:rsid w:val="00E8709C"/>
    <w:rsid w:val="00E91692"/>
    <w:rsid w:val="00E91F46"/>
    <w:rsid w:val="00E930F6"/>
    <w:rsid w:val="00E947FC"/>
    <w:rsid w:val="00E952A2"/>
    <w:rsid w:val="00E96F66"/>
    <w:rsid w:val="00E97CD1"/>
    <w:rsid w:val="00EA02CA"/>
    <w:rsid w:val="00EA0681"/>
    <w:rsid w:val="00EA1DFF"/>
    <w:rsid w:val="00EA278B"/>
    <w:rsid w:val="00EA33C9"/>
    <w:rsid w:val="00EA479C"/>
    <w:rsid w:val="00EA50C6"/>
    <w:rsid w:val="00EB02C5"/>
    <w:rsid w:val="00EB12C0"/>
    <w:rsid w:val="00EB1CE7"/>
    <w:rsid w:val="00EB2CCF"/>
    <w:rsid w:val="00EB312D"/>
    <w:rsid w:val="00EB329A"/>
    <w:rsid w:val="00EB3DCC"/>
    <w:rsid w:val="00EB3EFC"/>
    <w:rsid w:val="00EB4CED"/>
    <w:rsid w:val="00EB543F"/>
    <w:rsid w:val="00EB5E0A"/>
    <w:rsid w:val="00EB7450"/>
    <w:rsid w:val="00EB7841"/>
    <w:rsid w:val="00EB78EA"/>
    <w:rsid w:val="00EC044E"/>
    <w:rsid w:val="00EC07AA"/>
    <w:rsid w:val="00EC0C60"/>
    <w:rsid w:val="00EC119B"/>
    <w:rsid w:val="00EC2A89"/>
    <w:rsid w:val="00EC33D7"/>
    <w:rsid w:val="00EC49F6"/>
    <w:rsid w:val="00EC4DF0"/>
    <w:rsid w:val="00EC5350"/>
    <w:rsid w:val="00ED06F0"/>
    <w:rsid w:val="00ED0FB0"/>
    <w:rsid w:val="00ED15EB"/>
    <w:rsid w:val="00ED4110"/>
    <w:rsid w:val="00ED541B"/>
    <w:rsid w:val="00ED5636"/>
    <w:rsid w:val="00ED59AB"/>
    <w:rsid w:val="00EE13EB"/>
    <w:rsid w:val="00EE1FCC"/>
    <w:rsid w:val="00EE2B34"/>
    <w:rsid w:val="00EE4C82"/>
    <w:rsid w:val="00EE6660"/>
    <w:rsid w:val="00EE6883"/>
    <w:rsid w:val="00EF1651"/>
    <w:rsid w:val="00EF231A"/>
    <w:rsid w:val="00EF284A"/>
    <w:rsid w:val="00EF4A8E"/>
    <w:rsid w:val="00EF6110"/>
    <w:rsid w:val="00F009AD"/>
    <w:rsid w:val="00F00CD1"/>
    <w:rsid w:val="00F0133B"/>
    <w:rsid w:val="00F02A13"/>
    <w:rsid w:val="00F03CC7"/>
    <w:rsid w:val="00F051DC"/>
    <w:rsid w:val="00F06C66"/>
    <w:rsid w:val="00F06D64"/>
    <w:rsid w:val="00F06F20"/>
    <w:rsid w:val="00F06F32"/>
    <w:rsid w:val="00F06FA4"/>
    <w:rsid w:val="00F10AE5"/>
    <w:rsid w:val="00F110E4"/>
    <w:rsid w:val="00F1131B"/>
    <w:rsid w:val="00F11ACE"/>
    <w:rsid w:val="00F11C7D"/>
    <w:rsid w:val="00F12551"/>
    <w:rsid w:val="00F12C39"/>
    <w:rsid w:val="00F13CB9"/>
    <w:rsid w:val="00F13D53"/>
    <w:rsid w:val="00F14050"/>
    <w:rsid w:val="00F140B6"/>
    <w:rsid w:val="00F14671"/>
    <w:rsid w:val="00F15250"/>
    <w:rsid w:val="00F17372"/>
    <w:rsid w:val="00F20745"/>
    <w:rsid w:val="00F2260D"/>
    <w:rsid w:val="00F234FD"/>
    <w:rsid w:val="00F247F7"/>
    <w:rsid w:val="00F26562"/>
    <w:rsid w:val="00F266F4"/>
    <w:rsid w:val="00F30676"/>
    <w:rsid w:val="00F309B3"/>
    <w:rsid w:val="00F31532"/>
    <w:rsid w:val="00F323D5"/>
    <w:rsid w:val="00F33CD1"/>
    <w:rsid w:val="00F34E2D"/>
    <w:rsid w:val="00F355B9"/>
    <w:rsid w:val="00F3754A"/>
    <w:rsid w:val="00F40686"/>
    <w:rsid w:val="00F40D2B"/>
    <w:rsid w:val="00F418BA"/>
    <w:rsid w:val="00F42156"/>
    <w:rsid w:val="00F44967"/>
    <w:rsid w:val="00F45C4A"/>
    <w:rsid w:val="00F45ED8"/>
    <w:rsid w:val="00F47877"/>
    <w:rsid w:val="00F506D8"/>
    <w:rsid w:val="00F510A8"/>
    <w:rsid w:val="00F52426"/>
    <w:rsid w:val="00F5243A"/>
    <w:rsid w:val="00F52FB3"/>
    <w:rsid w:val="00F53103"/>
    <w:rsid w:val="00F54C5C"/>
    <w:rsid w:val="00F5506D"/>
    <w:rsid w:val="00F56659"/>
    <w:rsid w:val="00F574B9"/>
    <w:rsid w:val="00F60519"/>
    <w:rsid w:val="00F6088D"/>
    <w:rsid w:val="00F60AF1"/>
    <w:rsid w:val="00F60CDA"/>
    <w:rsid w:val="00F61022"/>
    <w:rsid w:val="00F61B59"/>
    <w:rsid w:val="00F62028"/>
    <w:rsid w:val="00F63A75"/>
    <w:rsid w:val="00F63F34"/>
    <w:rsid w:val="00F65412"/>
    <w:rsid w:val="00F704C5"/>
    <w:rsid w:val="00F710ED"/>
    <w:rsid w:val="00F734C7"/>
    <w:rsid w:val="00F74CD2"/>
    <w:rsid w:val="00F756DC"/>
    <w:rsid w:val="00F75A73"/>
    <w:rsid w:val="00F75F0E"/>
    <w:rsid w:val="00F76525"/>
    <w:rsid w:val="00F768ED"/>
    <w:rsid w:val="00F77574"/>
    <w:rsid w:val="00F80ADA"/>
    <w:rsid w:val="00F824F2"/>
    <w:rsid w:val="00F82577"/>
    <w:rsid w:val="00F83324"/>
    <w:rsid w:val="00F847D9"/>
    <w:rsid w:val="00F84FA9"/>
    <w:rsid w:val="00F85C59"/>
    <w:rsid w:val="00F85C76"/>
    <w:rsid w:val="00F86510"/>
    <w:rsid w:val="00F8770C"/>
    <w:rsid w:val="00F906E7"/>
    <w:rsid w:val="00F9191C"/>
    <w:rsid w:val="00F91AE6"/>
    <w:rsid w:val="00F9288F"/>
    <w:rsid w:val="00F92962"/>
    <w:rsid w:val="00F92BCB"/>
    <w:rsid w:val="00F935AF"/>
    <w:rsid w:val="00F96118"/>
    <w:rsid w:val="00FA0E95"/>
    <w:rsid w:val="00FA1E29"/>
    <w:rsid w:val="00FA2E4A"/>
    <w:rsid w:val="00FA356B"/>
    <w:rsid w:val="00FA4586"/>
    <w:rsid w:val="00FA4C19"/>
    <w:rsid w:val="00FB0D3A"/>
    <w:rsid w:val="00FB109B"/>
    <w:rsid w:val="00FB170A"/>
    <w:rsid w:val="00FB1F82"/>
    <w:rsid w:val="00FB2C35"/>
    <w:rsid w:val="00FB2EBB"/>
    <w:rsid w:val="00FB3E2A"/>
    <w:rsid w:val="00FB550E"/>
    <w:rsid w:val="00FB57E0"/>
    <w:rsid w:val="00FB6C1A"/>
    <w:rsid w:val="00FB7A89"/>
    <w:rsid w:val="00FB7D3A"/>
    <w:rsid w:val="00FC1F5E"/>
    <w:rsid w:val="00FC21F1"/>
    <w:rsid w:val="00FC3A21"/>
    <w:rsid w:val="00FC406C"/>
    <w:rsid w:val="00FC479C"/>
    <w:rsid w:val="00FC4CF6"/>
    <w:rsid w:val="00FC54E1"/>
    <w:rsid w:val="00FC551F"/>
    <w:rsid w:val="00FC6FC8"/>
    <w:rsid w:val="00FC7A77"/>
    <w:rsid w:val="00FD0A3B"/>
    <w:rsid w:val="00FD133C"/>
    <w:rsid w:val="00FD16CA"/>
    <w:rsid w:val="00FD1AD9"/>
    <w:rsid w:val="00FD1BD9"/>
    <w:rsid w:val="00FD35C3"/>
    <w:rsid w:val="00FD5169"/>
    <w:rsid w:val="00FD5724"/>
    <w:rsid w:val="00FD57CA"/>
    <w:rsid w:val="00FD6EA9"/>
    <w:rsid w:val="00FD6FC8"/>
    <w:rsid w:val="00FE1C15"/>
    <w:rsid w:val="00FE2AA8"/>
    <w:rsid w:val="00FE3662"/>
    <w:rsid w:val="00FE3C18"/>
    <w:rsid w:val="00FE52EE"/>
    <w:rsid w:val="00FE5ADB"/>
    <w:rsid w:val="00FE5BD7"/>
    <w:rsid w:val="00FE7A07"/>
    <w:rsid w:val="00FF00C9"/>
    <w:rsid w:val="00FF1948"/>
    <w:rsid w:val="00FF27E4"/>
    <w:rsid w:val="00FF2A0E"/>
    <w:rsid w:val="00FF3971"/>
    <w:rsid w:val="00FF39C8"/>
    <w:rsid w:val="00FF3A48"/>
    <w:rsid w:val="00FF3B2E"/>
    <w:rsid w:val="00FF4A84"/>
    <w:rsid w:val="00FF61D4"/>
    <w:rsid w:val="00FF687F"/>
    <w:rsid w:val="00FF7F0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9306C2"/>
  <w15:docId w15:val="{D8FEFDB8-254D-417B-B55F-AA495CDC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B6"/>
    <w:pPr>
      <w:spacing w:after="120" w:line="264" w:lineRule="auto"/>
    </w:pPr>
    <w:rPr>
      <w:rFonts w:eastAsiaTheme="minorEastAsia"/>
      <w:kern w:val="0"/>
      <w:sz w:val="20"/>
      <w:szCs w:val="20"/>
    </w:rPr>
  </w:style>
  <w:style w:type="paragraph" w:styleId="Heading1">
    <w:name w:val="heading 1"/>
    <w:basedOn w:val="Normal"/>
    <w:link w:val="Heading1Char"/>
    <w:uiPriority w:val="9"/>
    <w:qFormat/>
    <w:rsid w:val="00980615"/>
    <w:pPr>
      <w:keepNext/>
      <w:keepLines/>
      <w:spacing w:before="240" w:after="120" w:line="240" w:lineRule="auto"/>
      <w:outlineLvl w:val="0"/>
    </w:pPr>
    <w:rPr>
      <w:kern w:val="36"/>
      <w:rFonts w:ascii="Times New Roman" w:hAnsi="Times New Roman" w:cs="Times New Roman"/>
      <w:b/>
      <w:bCs/>
      <w:color w:val="000000"/>
      <w:sz w:val="24"/>
      <w:szCs w:val="24"/>
    </w:rPr>
  </w:style>
  <w:style w:type="paragraph" w:styleId="Heading2">
    <w:name w:val="heading 2"/>
    <w:basedOn w:val="Normal"/>
    <w:next w:val="Normal"/>
    <w:link w:val="Heading2Char"/>
    <w:uiPriority w:val="9"/>
    <w:semiHidden/>
    <w:unhideWhenUsed/>
    <w:qFormat/>
    <w:rsid w:val="002D424E"/>
    <w:pPr>
      <w:keepNext/>
      <w:keepLines/>
      <w:spacing w:before="180" w:after="60" w:line="240" w:lineRule="auto"/>
      <w:outlineLvl w:val="1"/>
    </w:pPr>
    <w:rPr>
      <w:rFonts w:ascii="Times New Roman" w:hAnsi="Times New Roman" w:cs="Times New Roman"/>
      <w:b/>
      <w:bCs/>
      <w:color w:val="000000"/>
      <w:sz w:val="24"/>
      <w:szCs w:val="24"/>
    </w:rPr>
  </w:style>
  <w:style w:type="paragraph" w:styleId="Heading3">
    <w:name w:val="heading 3"/>
    <w:basedOn w:val="Normal"/>
    <w:next w:val="Normal"/>
    <w:link w:val="Heading3Char"/>
    <w:uiPriority w:val="9"/>
    <w:semiHidden/>
    <w:unhideWhenUsed/>
    <w:qFormat/>
    <w:rsid w:val="00F85C76"/>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semiHidden/>
    <w:unhideWhenUsed/>
    <w:qFormat/>
    <w:rsid w:val="00020B65"/>
    <w:pPr>
      <w:keepNext/>
      <w:keepLines/>
      <w:spacing w:before="40" w:after="0"/>
      <w:outlineLvl w:val="3"/>
    </w:pPr>
    <w:rPr>
      <w:rFonts w:asciiTheme="majorHAnsi" w:eastAsiaTheme="majorEastAsia" w:hAnsiTheme="majorHAnsi" w:cstheme="majorBidi"/>
      <w:i/>
      <w:iCs/>
      <w:color w:val="2F5496" w:themeColor="accent1" w:themeShade="BF"/>
      <w:szCs w:val="25"/>
    </w:rPr>
  </w:style>
  <w:style w:type="paragraph" w:styleId="Heading5">
    <w:name w:val="heading 5"/>
    <w:basedOn w:val="Normal"/>
    <w:next w:val="Normal"/>
    <w:link w:val="Heading5Char"/>
    <w:uiPriority w:val="9"/>
    <w:semiHidden/>
    <w:unhideWhenUsed/>
    <w:qFormat/>
    <w:rsid w:val="00570E2C"/>
    <w:pPr>
      <w:keepNext/>
      <w:keepLines/>
      <w:spacing w:before="40" w:after="0"/>
      <w:outlineLvl w:val="4"/>
    </w:pPr>
    <w:rPr>
      <w:rFonts w:asciiTheme="majorHAnsi" w:eastAsiaTheme="majorEastAsia" w:hAnsiTheme="majorHAnsi" w:cstheme="majorBidi"/>
      <w:color w:val="2F5496" w:themeColor="accent1" w:themeShade="BF"/>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3971"/>
    <w:rPr>
      <w:color w:val="0563C1" w:themeColor="hyperlink"/>
      <w:u w:val="single"/>
    </w:rPr>
  </w:style>
  <w:style w:type="character" w:styleId="Emphasis">
    <w:name w:val="Emphasis"/>
    <w:basedOn w:val="DefaultParagraphFont"/>
    <w:uiPriority w:val="20"/>
    <w:qFormat/>
    <w:rsid w:val="00FF3971"/>
    <w:rPr>
      <w:i/>
      <w:iCs/>
    </w:rPr>
  </w:style>
  <w:style w:type="table" w:styleId="TableGrid">
    <w:name w:val="Table Grid"/>
    <w:basedOn w:val="TableNormal"/>
    <w:uiPriority w:val="39"/>
    <w:rsid w:val="00FF3971"/>
    <w:pPr>
      <w:spacing w:after="0" w:line="240" w:lineRule="auto"/>
    </w:pPr>
    <w:rPr>
      <w:rFonts w:ascii="Times New Roman" w:eastAsia="Times New Roman" w:hAnsi="Times New Roman" w:cs="Times New Roman"/>
      <w:kern w:val="0"/>
      <w:sz w:val="20"/>
      <w:szCs w:val="20"/>
      <w:lang w:val="en-CA" w:eastAsia="en-CA"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entauthor--name">
    <w:name w:val="content__author--name"/>
    <w:basedOn w:val="DefaultParagraphFont"/>
    <w:rsid w:val="00FF3971"/>
  </w:style>
  <w:style w:type="character" w:customStyle="1" w:styleId="contentauthor--date">
    <w:name w:val="content__author--date"/>
    <w:basedOn w:val="DefaultParagraphFont"/>
    <w:rsid w:val="00FF3971"/>
  </w:style>
  <w:style w:type="character" w:styleId="LineNumber">
    <w:name w:val="line number"/>
    <w:basedOn w:val="DefaultParagraphFont"/>
    <w:uiPriority w:val="99"/>
    <w:semiHidden/>
    <w:unhideWhenUsed/>
    <w:rsid w:val="00FF3971"/>
  </w:style>
  <w:style w:type="character" w:customStyle="1" w:styleId="UnresolvedMention1">
    <w:name w:val="Unresolved Mention1"/>
    <w:basedOn w:val="DefaultParagraphFont"/>
    <w:uiPriority w:val="99"/>
    <w:semiHidden/>
    <w:unhideWhenUsed/>
    <w:rsid w:val="000A4D7E"/>
    <w:rPr>
      <w:color w:val="605E5C"/>
      <w:shd w:val="clear" w:color="auto" w:fill="E1DFDD"/>
    </w:rPr>
  </w:style>
  <w:style w:type="character" w:customStyle="1" w:styleId="Heading1Char">
    <w:name w:val="Heading 1 Char"/>
    <w:basedOn w:val="DefaultParagraphFont"/>
    <w:link w:val="Heading1"/>
    <w:uiPriority w:val="9"/>
    <w:rsid w:val="00980615"/>
    <w:rPr>
      <w:rFonts w:ascii="Times New Roman" w:eastAsia="Times New Roman" w:hAnsi="Times New Roman" w:cs="Times New Roman"/>
      <w:b/>
      <w:bCs/>
      <w:kern w:val="36"/>
      <w:sz w:val="48"/>
      <w:szCs w:val="48"/>
      <w14:ligatures w14:val="none"/>
    </w:rPr>
  </w:style>
  <w:style w:type="paragraph" w:customStyle="1" w:styleId="mb-0">
    <w:name w:val="mb-0"/>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wrap">
    <w:name w:val="nowrap"/>
    <w:basedOn w:val="DefaultParagraphFont"/>
    <w:rsid w:val="00980615"/>
  </w:style>
  <w:style w:type="paragraph" w:customStyle="1" w:styleId="small">
    <w:name w:val="small"/>
    <w:basedOn w:val="Normal"/>
    <w:rsid w:val="0098061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d-jnl-art-pub-date">
    <w:name w:val="wd-jnl-art-pub-date"/>
    <w:basedOn w:val="DefaultParagraphFont"/>
    <w:rsid w:val="00980615"/>
  </w:style>
  <w:style w:type="character" w:customStyle="1" w:styleId="wd-jnl-art-copyright">
    <w:name w:val="wd-jnl-art-copyright"/>
    <w:basedOn w:val="DefaultParagraphFont"/>
    <w:rsid w:val="00980615"/>
  </w:style>
  <w:style w:type="character" w:customStyle="1" w:styleId="wd-jnl-art-breadcrumb-title">
    <w:name w:val="wd-jnl-art-breadcrumb-title"/>
    <w:basedOn w:val="DefaultParagraphFont"/>
    <w:rsid w:val="00980615"/>
  </w:style>
  <w:style w:type="character" w:customStyle="1" w:styleId="wd-jnl-art-breadcrumb-vol">
    <w:name w:val="wd-jnl-art-breadcrumb-vol"/>
    <w:basedOn w:val="DefaultParagraphFont"/>
    <w:rsid w:val="00980615"/>
  </w:style>
  <w:style w:type="character" w:customStyle="1" w:styleId="wd-jnl-art-breadcrumb-issue">
    <w:name w:val="wd-jnl-art-breadcrumb-issue"/>
    <w:basedOn w:val="DefaultParagraphFont"/>
    <w:rsid w:val="00980615"/>
  </w:style>
  <w:style w:type="character" w:styleId="Strong">
    <w:name w:val="Strong"/>
    <w:basedOn w:val="DefaultParagraphFont"/>
    <w:uiPriority w:val="22"/>
    <w:qFormat/>
    <w:rsid w:val="00980615"/>
    <w:rPr>
      <w:b/>
      <w:bCs/>
    </w:rPr>
  </w:style>
  <w:style w:type="character" w:customStyle="1" w:styleId="anchor-text">
    <w:name w:val="anchor-text"/>
    <w:basedOn w:val="DefaultParagraphFont"/>
    <w:rsid w:val="003F087D"/>
  </w:style>
  <w:style w:type="character" w:customStyle="1" w:styleId="Heading3Char">
    <w:name w:val="Heading 3 Char"/>
    <w:basedOn w:val="DefaultParagraphFont"/>
    <w:link w:val="Heading3"/>
    <w:uiPriority w:val="9"/>
    <w:semiHidden/>
    <w:rsid w:val="00F85C76"/>
    <w:rPr>
      <w:rFonts w:asciiTheme="majorHAnsi" w:eastAsiaTheme="majorEastAsia" w:hAnsiTheme="majorHAnsi" w:cstheme="majorBidi"/>
      <w:color w:val="1F3763" w:themeColor="accent1" w:themeShade="7F"/>
      <w:kern w:val="0"/>
      <w:sz w:val="24"/>
      <w:szCs w:val="30"/>
      <w14:ligatures w14:val="none"/>
    </w:rPr>
  </w:style>
  <w:style w:type="paragraph" w:styleId="ListParagraph">
    <w:name w:val="List Paragraph"/>
    <w:basedOn w:val="Normal"/>
    <w:uiPriority w:val="34"/>
    <w:qFormat/>
    <w:rsid w:val="0052304E"/>
    <w:pPr>
      <w:ind w:left="720"/>
      <w:contextualSpacing/>
    </w:pPr>
    <w:rPr>
      <w:szCs w:val="25"/>
    </w:rPr>
  </w:style>
  <w:style w:type="character" w:customStyle="1" w:styleId="fontstyle01">
    <w:name w:val="fontstyle01"/>
    <w:basedOn w:val="DefaultParagraphFont"/>
    <w:rsid w:val="00941B9C"/>
    <w:rPr>
      <w:rFonts w:ascii="URWPalladioL-Roma" w:hAnsi="URWPalladioL-Roma" w:hint="default"/>
      <w:b w:val="0"/>
      <w:bCs w:val="0"/>
      <w:i w:val="0"/>
      <w:iCs w:val="0"/>
      <w:color w:val="000000"/>
      <w:sz w:val="18"/>
      <w:szCs w:val="18"/>
    </w:rPr>
  </w:style>
  <w:style w:type="character" w:customStyle="1" w:styleId="html-italic">
    <w:name w:val="html-italic"/>
    <w:basedOn w:val="DefaultParagraphFont"/>
    <w:rsid w:val="00203B84"/>
  </w:style>
  <w:style w:type="paragraph" w:styleId="CommentText">
    <w:name w:val="annotation text"/>
    <w:basedOn w:val="Normal"/>
    <w:link w:val="CommentTextChar"/>
    <w:uiPriority w:val="99"/>
    <w:unhideWhenUsed/>
    <w:rsid w:val="00B872C4"/>
    <w:pPr>
      <w:spacing w:line="240" w:lineRule="auto"/>
    </w:pPr>
    <w:rPr>
      <w:rFonts w:ascii="Times New Roman" w:hAnsi="Times New Roman" w:cs="Angsana New"/>
      <w:szCs w:val="25"/>
    </w:rPr>
  </w:style>
  <w:style w:type="character" w:customStyle="1" w:styleId="CommentTextChar">
    <w:name w:val="Comment Text Char"/>
    <w:basedOn w:val="DefaultParagraphFont"/>
    <w:link w:val="CommentText"/>
    <w:uiPriority w:val="99"/>
    <w:rsid w:val="00B872C4"/>
    <w:rPr>
      <w:rFonts w:ascii="Times New Roman" w:eastAsiaTheme="minorEastAsia" w:hAnsi="Times New Roman" w:cs="Angsana New"/>
      <w:kern w:val="0"/>
      <w:sz w:val="20"/>
      <w:szCs w:val="25"/>
      <w14:ligatures w14:val="none"/>
    </w:rPr>
  </w:style>
  <w:style w:type="character" w:styleId="CommentReference">
    <w:name w:val="annotation reference"/>
    <w:basedOn w:val="DefaultParagraphFont"/>
    <w:uiPriority w:val="99"/>
    <w:semiHidden/>
    <w:unhideWhenUsed/>
    <w:rsid w:val="00B872C4"/>
    <w:rPr>
      <w:sz w:val="16"/>
      <w:szCs w:val="16"/>
    </w:rPr>
  </w:style>
  <w:style w:type="character" w:customStyle="1" w:styleId="Heading2Char">
    <w:name w:val="Heading 2 Char"/>
    <w:basedOn w:val="DefaultParagraphFont"/>
    <w:link w:val="Heading2"/>
    <w:uiPriority w:val="9"/>
    <w:semiHidden/>
    <w:rsid w:val="002D424E"/>
    <w:rPr>
      <w:rFonts w:asciiTheme="majorHAnsi" w:eastAsiaTheme="majorEastAsia" w:hAnsiTheme="majorHAnsi" w:cstheme="majorBidi"/>
      <w:color w:val="2F5496" w:themeColor="accent1" w:themeShade="BF"/>
      <w:kern w:val="0"/>
      <w:sz w:val="26"/>
      <w:szCs w:val="33"/>
      <w14:ligatures w14:val="none"/>
    </w:rPr>
  </w:style>
  <w:style w:type="paragraph" w:styleId="NormalWeb">
    <w:name w:val="Normal (Web)"/>
    <w:basedOn w:val="Normal"/>
    <w:uiPriority w:val="99"/>
    <w:unhideWhenUsed/>
    <w:rsid w:val="009F5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9ycgxx">
    <w:name w:val="css-9ycgxx"/>
    <w:basedOn w:val="DefaultParagraphFont"/>
    <w:rsid w:val="00253E73"/>
  </w:style>
  <w:style w:type="character" w:customStyle="1" w:styleId="wdyuqq">
    <w:name w:val="wdyuqq"/>
    <w:basedOn w:val="DefaultParagraphFont"/>
    <w:rsid w:val="00414C7E"/>
  </w:style>
  <w:style w:type="paragraph" w:customStyle="1" w:styleId="04xlpa">
    <w:name w:val="_04xlpa"/>
    <w:basedOn w:val="Normal"/>
    <w:rsid w:val="000059B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cursor">
    <w:name w:val="ql-cursor"/>
    <w:basedOn w:val="DefaultParagraphFont"/>
    <w:rsid w:val="000059BE"/>
  </w:style>
  <w:style w:type="character" w:customStyle="1" w:styleId="fontstyle21">
    <w:name w:val="fontstyle21"/>
    <w:basedOn w:val="DefaultParagraphFont"/>
    <w:rsid w:val="00C75E52"/>
    <w:rPr>
      <w:rFonts w:ascii="URWPalladioL-Roma" w:hAnsi="URWPalladioL-Roma" w:hint="default"/>
      <w:b w:val="0"/>
      <w:bCs w:val="0"/>
      <w:i w:val="0"/>
      <w:iCs w:val="0"/>
      <w:color w:val="000000"/>
      <w:sz w:val="16"/>
      <w:szCs w:val="16"/>
    </w:rPr>
  </w:style>
  <w:style w:type="paragraph" w:styleId="CommentSubject">
    <w:name w:val="annotation subject"/>
    <w:basedOn w:val="CommentText"/>
    <w:next w:val="CommentText"/>
    <w:link w:val="CommentSubjectChar"/>
    <w:uiPriority w:val="99"/>
    <w:semiHidden/>
    <w:unhideWhenUsed/>
    <w:rsid w:val="00CB14FA"/>
    <w:rPr>
      <w:rFonts w:asciiTheme="minorHAnsi" w:hAnsiTheme="minorHAnsi" w:cstheme="minorBidi"/>
      <w:b/>
      <w:bCs/>
    </w:rPr>
  </w:style>
  <w:style w:type="character" w:customStyle="1" w:styleId="CommentSubjectChar">
    <w:name w:val="Comment Subject Char"/>
    <w:basedOn w:val="CommentTextChar"/>
    <w:link w:val="CommentSubject"/>
    <w:uiPriority w:val="99"/>
    <w:semiHidden/>
    <w:rsid w:val="00CB14FA"/>
    <w:rPr>
      <w:rFonts w:ascii="Times New Roman" w:eastAsiaTheme="minorEastAsia" w:hAnsi="Times New Roman" w:cs="Angsana New"/>
      <w:b/>
      <w:bCs/>
      <w:kern w:val="0"/>
      <w:sz w:val="20"/>
      <w:szCs w:val="25"/>
      <w14:ligatures w14:val="none"/>
    </w:rPr>
  </w:style>
  <w:style w:type="paragraph" w:styleId="Revision">
    <w:name w:val="Revision"/>
    <w:hidden/>
    <w:uiPriority w:val="99"/>
    <w:semiHidden/>
    <w:rsid w:val="00CB14FA"/>
    <w:pPr>
      <w:spacing w:after="0" w:line="240" w:lineRule="auto"/>
    </w:pPr>
    <w:rPr>
      <w:rFonts w:eastAsiaTheme="minorEastAsia"/>
      <w:kern w:val="0"/>
      <w:sz w:val="20"/>
      <w:szCs w:val="25"/>
      <w14:ligatures w14:val="none"/>
    </w:rPr>
  </w:style>
  <w:style w:type="paragraph" w:styleId="BalloonText">
    <w:name w:val="Balloon Text"/>
    <w:basedOn w:val="Normal"/>
    <w:link w:val="BalloonTextChar"/>
    <w:uiPriority w:val="99"/>
    <w:semiHidden/>
    <w:unhideWhenUsed/>
    <w:rsid w:val="00CB14FA"/>
    <w:pPr>
      <w:spacing w:after="0" w:line="240" w:lineRule="auto"/>
    </w:pPr>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CB14FA"/>
    <w:rPr>
      <w:rFonts w:ascii="Segoe UI" w:eastAsiaTheme="minorEastAsia" w:hAnsi="Segoe UI" w:cs="Angsana New"/>
      <w:kern w:val="0"/>
      <w:sz w:val="18"/>
      <w:szCs w:val="22"/>
      <w14:ligatures w14:val="none"/>
    </w:rPr>
  </w:style>
  <w:style w:type="paragraph" w:customStyle="1" w:styleId="EndNoteBibliographyTitle">
    <w:name w:val="EndNote Bibliography Title"/>
    <w:basedOn w:val="Normal"/>
    <w:link w:val="EndNoteBibliographyTitleChar"/>
    <w:rsid w:val="00F75A7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F75A73"/>
    <w:rPr>
      <w:rFonts w:ascii="Calibri" w:eastAsiaTheme="minorEastAsia" w:hAnsi="Calibri" w:cs="Calibri"/>
      <w:noProof/>
      <w:kern w:val="0"/>
      <w:sz w:val="20"/>
      <w:szCs w:val="20"/>
    </w:rPr>
  </w:style>
  <w:style w:type="paragraph" w:customStyle="1" w:styleId="EndNoteBibliography">
    <w:name w:val="EndNote Bibliography"/>
    <w:basedOn w:val="Normal"/>
    <w:link w:val="EndNoteBibliographyChar"/>
    <w:rsid w:val="00F75A7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F75A73"/>
    <w:rPr>
      <w:rFonts w:ascii="Calibri" w:eastAsiaTheme="minorEastAsia" w:hAnsi="Calibri" w:cs="Calibri"/>
      <w:noProof/>
      <w:kern w:val="0"/>
      <w:sz w:val="20"/>
      <w:szCs w:val="20"/>
    </w:rPr>
  </w:style>
  <w:style w:type="character" w:customStyle="1" w:styleId="UnresolvedMention2">
    <w:name w:val="Unresolved Mention2"/>
    <w:basedOn w:val="DefaultParagraphFont"/>
    <w:uiPriority w:val="99"/>
    <w:semiHidden/>
    <w:unhideWhenUsed/>
    <w:rsid w:val="00892865"/>
    <w:rPr>
      <w:color w:val="605E5C"/>
      <w:shd w:val="clear" w:color="auto" w:fill="E1DFDD"/>
    </w:rPr>
  </w:style>
  <w:style w:type="character" w:styleId="UnresolvedMention">
    <w:name w:val="Unresolved Mention"/>
    <w:basedOn w:val="DefaultParagraphFont"/>
    <w:uiPriority w:val="99"/>
    <w:semiHidden/>
    <w:unhideWhenUsed/>
    <w:rsid w:val="00431E0B"/>
    <w:rPr>
      <w:color w:val="605E5C"/>
      <w:shd w:val="clear" w:color="auto" w:fill="E1DFDD"/>
    </w:rPr>
  </w:style>
  <w:style w:type="character" w:styleId="PlaceholderText">
    <w:name w:val="Placeholder Text"/>
    <w:basedOn w:val="DefaultParagraphFont"/>
    <w:uiPriority w:val="99"/>
    <w:semiHidden/>
    <w:rsid w:val="00CE3219"/>
    <w:rPr>
      <w:color w:val="666666"/>
    </w:rPr>
  </w:style>
  <w:style w:type="character" w:customStyle="1" w:styleId="Heading4Char">
    <w:name w:val="Heading 4 Char"/>
    <w:basedOn w:val="DefaultParagraphFont"/>
    <w:link w:val="Heading4"/>
    <w:uiPriority w:val="9"/>
    <w:semiHidden/>
    <w:rsid w:val="00020B65"/>
    <w:rPr>
      <w:rFonts w:asciiTheme="majorHAnsi" w:eastAsiaTheme="majorEastAsia" w:hAnsiTheme="majorHAnsi" w:cstheme="majorBidi"/>
      <w:i/>
      <w:iCs/>
      <w:color w:val="2F5496" w:themeColor="accent1" w:themeShade="BF"/>
      <w:kern w:val="0"/>
      <w:sz w:val="20"/>
      <w:szCs w:val="25"/>
    </w:rPr>
  </w:style>
  <w:style w:type="character" w:customStyle="1" w:styleId="Heading5Char">
    <w:name w:val="Heading 5 Char"/>
    <w:basedOn w:val="DefaultParagraphFont"/>
    <w:link w:val="Heading5"/>
    <w:uiPriority w:val="9"/>
    <w:semiHidden/>
    <w:rsid w:val="00570E2C"/>
    <w:rPr>
      <w:rFonts w:asciiTheme="majorHAnsi" w:eastAsiaTheme="majorEastAsia" w:hAnsiTheme="majorHAnsi" w:cstheme="majorBidi"/>
      <w:color w:val="2F5496" w:themeColor="accent1" w:themeShade="BF"/>
      <w:kern w:val="0"/>
      <w:sz w:val="20"/>
      <w:szCs w:val="25"/>
    </w:rPr>
  </w:style>
  <w:style w:type="paragraph" w:styleId="Date">
    <w:name w:val="Date"/>
    <w:basedOn w:val="Normal"/>
    <w:next w:val="Normal"/>
    <w:link w:val="DateChar"/>
    <w:uiPriority w:val="99"/>
    <w:semiHidden/>
    <w:unhideWhenUsed/>
    <w:rsid w:val="00890356"/>
    <w:rPr>
      <w:szCs w:val="25"/>
    </w:rPr>
  </w:style>
  <w:style w:type="character" w:customStyle="1" w:styleId="DateChar">
    <w:name w:val="Date Char"/>
    <w:basedOn w:val="DefaultParagraphFont"/>
    <w:link w:val="Date"/>
    <w:uiPriority w:val="99"/>
    <w:semiHidden/>
    <w:rsid w:val="00890356"/>
    <w:rPr>
      <w:rFonts w:eastAsiaTheme="minorEastAsia"/>
      <w:kern w:val="0"/>
      <w:sz w:val="20"/>
      <w:szCs w:val="25"/>
    </w:rPr>
  </w:style>
  <w:style w:type="character" w:styleId="FollowedHyperlink">
    <w:name w:val="FollowedHyperlink"/>
    <w:basedOn w:val="DefaultParagraphFont"/>
    <w:uiPriority w:val="99"/>
    <w:semiHidden/>
    <w:unhideWhenUsed/>
    <w:rsid w:val="00FD1BD9"/>
    <w:rPr>
      <w:color w:val="954F72" w:themeColor="followedHyperlink"/>
      <w:u w:val="single"/>
    </w:rPr>
  </w:style>
  <w:style w:type="paragraph" w:styleId="Header">
    <w:name w:val="header"/>
    <w:basedOn w:val="Normal"/>
    <w:link w:val="HeaderChar"/>
    <w:uiPriority w:val="99"/>
    <w:unhideWhenUsed/>
    <w:rsid w:val="0021264C"/>
    <w:pPr>
      <w:tabs>
        <w:tab w:val="center" w:pos="4680"/>
        <w:tab w:val="right" w:pos="9360"/>
      </w:tabs>
      <w:spacing w:after="0" w:line="240" w:lineRule="auto"/>
    </w:pPr>
    <w:rPr>
      <w:szCs w:val="25"/>
    </w:rPr>
  </w:style>
  <w:style w:type="character" w:customStyle="1" w:styleId="HeaderChar">
    <w:name w:val="Header Char"/>
    <w:basedOn w:val="DefaultParagraphFont"/>
    <w:link w:val="Header"/>
    <w:uiPriority w:val="99"/>
    <w:rsid w:val="0021264C"/>
    <w:rPr>
      <w:rFonts w:eastAsiaTheme="minorEastAsia"/>
      <w:kern w:val="0"/>
      <w:sz w:val="20"/>
      <w:szCs w:val="25"/>
    </w:rPr>
  </w:style>
  <w:style w:type="paragraph" w:styleId="Footer">
    <w:name w:val="footer"/>
    <w:basedOn w:val="Normal"/>
    <w:link w:val="FooterChar"/>
    <w:uiPriority w:val="99"/>
    <w:unhideWhenUsed/>
    <w:rsid w:val="0021264C"/>
    <w:pPr>
      <w:tabs>
        <w:tab w:val="center" w:pos="4680"/>
        <w:tab w:val="right" w:pos="9360"/>
      </w:tabs>
      <w:spacing w:after="0" w:line="240" w:lineRule="auto"/>
    </w:pPr>
    <w:rPr>
      <w:szCs w:val="25"/>
    </w:rPr>
  </w:style>
  <w:style w:type="character" w:customStyle="1" w:styleId="FooterChar">
    <w:name w:val="Footer Char"/>
    <w:basedOn w:val="DefaultParagraphFont"/>
    <w:link w:val="Footer"/>
    <w:uiPriority w:val="99"/>
    <w:rsid w:val="0021264C"/>
    <w:rPr>
      <w:rFonts w:eastAsiaTheme="minorEastAsia"/>
      <w:kern w:val="0"/>
      <w:sz w:val="20"/>
      <w:szCs w:val="25"/>
    </w:rPr>
  </w:style>
  <w:style w:type="paragraph" w:styleId="BodyText">
    <w:name w:val="Body Text"/>
    <w:basedOn w:val="Normal"/>
    <w:link w:val="BodyTextChar"/>
    <w:qFormat/>
    <w:rsid w:val="001041B3"/>
    <w:pPr>
      <w:spacing w:before="180" w:after="180" w:line="240" w:lineRule="auto"/>
    </w:pPr>
    <w:rPr>
      <w:sz w:val="24"/>
      <w:szCs w:val="24"/>
      <w:lang w:eastAsia="zh-CN" w:bidi="ar-SA"/>
      <w14:ligatures w14:val="none"/>
    </w:rPr>
  </w:style>
  <w:style w:type="character" w:customStyle="1" w:styleId="BodyTextChar">
    <w:name w:val="Body Text Char"/>
    <w:basedOn w:val="DefaultParagraphFont"/>
    <w:link w:val="BodyText"/>
    <w:rsid w:val="001041B3"/>
    <w:rPr>
      <w:rFonts w:eastAsiaTheme="minorEastAsia"/>
      <w:kern w:val="0"/>
      <w:sz w:val="24"/>
      <w:szCs w:val="24"/>
      <w:lang w:eastAsia="zh-CN" w:bidi="ar-SA"/>
      <w14:ligatures w14:val="none"/>
    </w:rPr>
  </w:style>
  <w:style w:type="paragraph" w:customStyle="1" w:styleId="Compact">
    <w:name w:val="Compact"/>
    <w:basedOn w:val="BodyText"/>
    <w:qFormat/>
    <w:rsid w:val="00FD1AD9"/>
    <w:pPr>
      <w:spacing w:before="36" w:after="36"/>
    </w:pPr>
  </w:style>
  <w:style w:type="paragraph" w:customStyle="1" w:styleId="FirstParagraph">
    <w:name w:val="First Paragraph"/>
    <w:basedOn w:val="BodyText"/>
    <w:next w:val="BodyText"/>
    <w:qFormat/>
    <w:rsid w:val="00483F9D"/>
  </w:style>
  <w:style w:type="character" w:customStyle="1" w:styleId="VerbatimChar">
    <w:name w:val="Verbatim Char"/>
    <w:basedOn w:val="DefaultParagraphFont"/>
    <w:link w:val="SourceCode"/>
    <w:rsid w:val="00176299"/>
    <w:rPr>
      <w:rFonts w:ascii="Consolas" w:hAnsi="Consolas"/>
    </w:rPr>
  </w:style>
  <w:style w:type="paragraph" w:customStyle="1" w:styleId="SourceCode">
    <w:name w:val="Source Code"/>
    <w:basedOn w:val="Normal"/>
    <w:link w:val="VerbatimChar"/>
    <w:rsid w:val="00176299"/>
    <w:pPr>
      <w:wordWrap w:val="0"/>
      <w:spacing w:after="200" w:line="240" w:lineRule="auto"/>
    </w:pPr>
    <w:rPr>
      <w:rFonts w:ascii="Consolas" w:eastAsia="MS Mincho" w:hAnsi="Consolas"/>
      <w:kern w:val="2"/>
      <w:sz w:val="22"/>
      <w:szCs w:val="28"/>
    </w:rPr>
  </w:style>
  <w:style w:type="paragraph" w:styleId="Bibliography">
    <w:name w:val="Bibliography"/>
    <w:basedOn w:val="Normal"/>
    <w:next w:val="Normal"/>
    <w:uiPriority w:val="37"/>
    <w:unhideWhenUsed/>
    <w:rsid w:val="00100CEA"/>
    <w:pPr>
      <w:spacing w:after="0" w:line="480" w:lineRule="auto"/>
      <w:ind w:left="720" w:hanging="720"/>
    </w:pPr>
    <w:rPr>
      <w:szCs w:val="25"/>
    </w:rPr>
  </w:style>
  <w:style w:type="paragraph" w:styleId="Caption" w:customStyle="1">
    <w:name w:val="Caption"/>
    <w:basedOn w:val="Normal"/>
    <w:next w:val="Normal"/>
    <w:qFormat/>
    <w:pPr>
      <w:keepLines/>
      <w:spacing w:before="60" w:after="120" w:line="240" w:lineRule="auto"/>
    </w:pPr>
    <w:rPr>
      <w:rFonts w:ascii="Times New Roman" w:hAnsi="Times New Roman"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1780">
      <w:bodyDiv w:val="1"/>
      <w:marLeft w:val="0"/>
      <w:marRight w:val="0"/>
      <w:marTop w:val="0"/>
      <w:marBottom w:val="0"/>
      <w:divBdr>
        <w:top w:val="none" w:sz="0" w:space="0" w:color="auto"/>
        <w:left w:val="none" w:sz="0" w:space="0" w:color="auto"/>
        <w:bottom w:val="none" w:sz="0" w:space="0" w:color="auto"/>
        <w:right w:val="none" w:sz="0" w:space="0" w:color="auto"/>
      </w:divBdr>
    </w:div>
    <w:div w:id="11808399">
      <w:bodyDiv w:val="1"/>
      <w:marLeft w:val="0"/>
      <w:marRight w:val="0"/>
      <w:marTop w:val="0"/>
      <w:marBottom w:val="0"/>
      <w:divBdr>
        <w:top w:val="none" w:sz="0" w:space="0" w:color="auto"/>
        <w:left w:val="none" w:sz="0" w:space="0" w:color="auto"/>
        <w:bottom w:val="none" w:sz="0" w:space="0" w:color="auto"/>
        <w:right w:val="none" w:sz="0" w:space="0" w:color="auto"/>
      </w:divBdr>
    </w:div>
    <w:div w:id="19166171">
      <w:bodyDiv w:val="1"/>
      <w:marLeft w:val="0"/>
      <w:marRight w:val="0"/>
      <w:marTop w:val="0"/>
      <w:marBottom w:val="0"/>
      <w:divBdr>
        <w:top w:val="none" w:sz="0" w:space="0" w:color="auto"/>
        <w:left w:val="none" w:sz="0" w:space="0" w:color="auto"/>
        <w:bottom w:val="none" w:sz="0" w:space="0" w:color="auto"/>
        <w:right w:val="none" w:sz="0" w:space="0" w:color="auto"/>
      </w:divBdr>
    </w:div>
    <w:div w:id="19865028">
      <w:bodyDiv w:val="1"/>
      <w:marLeft w:val="0"/>
      <w:marRight w:val="0"/>
      <w:marTop w:val="0"/>
      <w:marBottom w:val="0"/>
      <w:divBdr>
        <w:top w:val="none" w:sz="0" w:space="0" w:color="auto"/>
        <w:left w:val="none" w:sz="0" w:space="0" w:color="auto"/>
        <w:bottom w:val="none" w:sz="0" w:space="0" w:color="auto"/>
        <w:right w:val="none" w:sz="0" w:space="0" w:color="auto"/>
      </w:divBdr>
    </w:div>
    <w:div w:id="53938416">
      <w:bodyDiv w:val="1"/>
      <w:marLeft w:val="0"/>
      <w:marRight w:val="0"/>
      <w:marTop w:val="0"/>
      <w:marBottom w:val="0"/>
      <w:divBdr>
        <w:top w:val="none" w:sz="0" w:space="0" w:color="auto"/>
        <w:left w:val="none" w:sz="0" w:space="0" w:color="auto"/>
        <w:bottom w:val="none" w:sz="0" w:space="0" w:color="auto"/>
        <w:right w:val="none" w:sz="0" w:space="0" w:color="auto"/>
      </w:divBdr>
      <w:divsChild>
        <w:div w:id="1233395850">
          <w:marLeft w:val="0"/>
          <w:marRight w:val="0"/>
          <w:marTop w:val="0"/>
          <w:marBottom w:val="0"/>
          <w:divBdr>
            <w:top w:val="none" w:sz="0" w:space="0" w:color="auto"/>
            <w:left w:val="none" w:sz="0" w:space="0" w:color="auto"/>
            <w:bottom w:val="none" w:sz="0" w:space="0" w:color="auto"/>
            <w:right w:val="none" w:sz="0" w:space="0" w:color="auto"/>
          </w:divBdr>
          <w:divsChild>
            <w:div w:id="238095656">
              <w:marLeft w:val="0"/>
              <w:marRight w:val="0"/>
              <w:marTop w:val="0"/>
              <w:marBottom w:val="0"/>
              <w:divBdr>
                <w:top w:val="none" w:sz="0" w:space="0" w:color="auto"/>
                <w:left w:val="none" w:sz="0" w:space="0" w:color="auto"/>
                <w:bottom w:val="none" w:sz="0" w:space="0" w:color="auto"/>
                <w:right w:val="none" w:sz="0" w:space="0" w:color="auto"/>
              </w:divBdr>
              <w:divsChild>
                <w:div w:id="1057047747">
                  <w:marLeft w:val="0"/>
                  <w:marRight w:val="0"/>
                  <w:marTop w:val="0"/>
                  <w:marBottom w:val="0"/>
                  <w:divBdr>
                    <w:top w:val="none" w:sz="0" w:space="0" w:color="auto"/>
                    <w:left w:val="none" w:sz="0" w:space="0" w:color="auto"/>
                    <w:bottom w:val="none" w:sz="0" w:space="0" w:color="auto"/>
                    <w:right w:val="none" w:sz="0" w:space="0" w:color="auto"/>
                  </w:divBdr>
                  <w:divsChild>
                    <w:div w:id="72988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767865">
          <w:marLeft w:val="0"/>
          <w:marRight w:val="0"/>
          <w:marTop w:val="0"/>
          <w:marBottom w:val="0"/>
          <w:divBdr>
            <w:top w:val="none" w:sz="0" w:space="0" w:color="auto"/>
            <w:left w:val="none" w:sz="0" w:space="0" w:color="auto"/>
            <w:bottom w:val="none" w:sz="0" w:space="0" w:color="auto"/>
            <w:right w:val="none" w:sz="0" w:space="0" w:color="auto"/>
          </w:divBdr>
          <w:divsChild>
            <w:div w:id="706560961">
              <w:marLeft w:val="0"/>
              <w:marRight w:val="0"/>
              <w:marTop w:val="0"/>
              <w:marBottom w:val="0"/>
              <w:divBdr>
                <w:top w:val="none" w:sz="0" w:space="0" w:color="auto"/>
                <w:left w:val="none" w:sz="0" w:space="0" w:color="auto"/>
                <w:bottom w:val="none" w:sz="0" w:space="0" w:color="auto"/>
                <w:right w:val="none" w:sz="0" w:space="0" w:color="auto"/>
              </w:divBdr>
              <w:divsChild>
                <w:div w:id="429156874">
                  <w:marLeft w:val="0"/>
                  <w:marRight w:val="0"/>
                  <w:marTop w:val="0"/>
                  <w:marBottom w:val="0"/>
                  <w:divBdr>
                    <w:top w:val="none" w:sz="0" w:space="0" w:color="auto"/>
                    <w:left w:val="none" w:sz="0" w:space="0" w:color="auto"/>
                    <w:bottom w:val="none" w:sz="0" w:space="0" w:color="auto"/>
                    <w:right w:val="none" w:sz="0" w:space="0" w:color="auto"/>
                  </w:divBdr>
                  <w:divsChild>
                    <w:div w:id="191230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82539">
      <w:bodyDiv w:val="1"/>
      <w:marLeft w:val="0"/>
      <w:marRight w:val="0"/>
      <w:marTop w:val="0"/>
      <w:marBottom w:val="0"/>
      <w:divBdr>
        <w:top w:val="none" w:sz="0" w:space="0" w:color="auto"/>
        <w:left w:val="none" w:sz="0" w:space="0" w:color="auto"/>
        <w:bottom w:val="none" w:sz="0" w:space="0" w:color="auto"/>
        <w:right w:val="none" w:sz="0" w:space="0" w:color="auto"/>
      </w:divBdr>
    </w:div>
    <w:div w:id="86654021">
      <w:bodyDiv w:val="1"/>
      <w:marLeft w:val="0"/>
      <w:marRight w:val="0"/>
      <w:marTop w:val="0"/>
      <w:marBottom w:val="0"/>
      <w:divBdr>
        <w:top w:val="none" w:sz="0" w:space="0" w:color="auto"/>
        <w:left w:val="none" w:sz="0" w:space="0" w:color="auto"/>
        <w:bottom w:val="none" w:sz="0" w:space="0" w:color="auto"/>
        <w:right w:val="none" w:sz="0" w:space="0" w:color="auto"/>
      </w:divBdr>
    </w:div>
    <w:div w:id="88822041">
      <w:bodyDiv w:val="1"/>
      <w:marLeft w:val="0"/>
      <w:marRight w:val="0"/>
      <w:marTop w:val="0"/>
      <w:marBottom w:val="0"/>
      <w:divBdr>
        <w:top w:val="none" w:sz="0" w:space="0" w:color="auto"/>
        <w:left w:val="none" w:sz="0" w:space="0" w:color="auto"/>
        <w:bottom w:val="none" w:sz="0" w:space="0" w:color="auto"/>
        <w:right w:val="none" w:sz="0" w:space="0" w:color="auto"/>
      </w:divBdr>
    </w:div>
    <w:div w:id="111018307">
      <w:bodyDiv w:val="1"/>
      <w:marLeft w:val="0"/>
      <w:marRight w:val="0"/>
      <w:marTop w:val="0"/>
      <w:marBottom w:val="0"/>
      <w:divBdr>
        <w:top w:val="none" w:sz="0" w:space="0" w:color="auto"/>
        <w:left w:val="none" w:sz="0" w:space="0" w:color="auto"/>
        <w:bottom w:val="none" w:sz="0" w:space="0" w:color="auto"/>
        <w:right w:val="none" w:sz="0" w:space="0" w:color="auto"/>
      </w:divBdr>
    </w:div>
    <w:div w:id="128669850">
      <w:bodyDiv w:val="1"/>
      <w:marLeft w:val="0"/>
      <w:marRight w:val="0"/>
      <w:marTop w:val="0"/>
      <w:marBottom w:val="0"/>
      <w:divBdr>
        <w:top w:val="none" w:sz="0" w:space="0" w:color="auto"/>
        <w:left w:val="none" w:sz="0" w:space="0" w:color="auto"/>
        <w:bottom w:val="none" w:sz="0" w:space="0" w:color="auto"/>
        <w:right w:val="none" w:sz="0" w:space="0" w:color="auto"/>
      </w:divBdr>
    </w:div>
    <w:div w:id="140537058">
      <w:bodyDiv w:val="1"/>
      <w:marLeft w:val="0"/>
      <w:marRight w:val="0"/>
      <w:marTop w:val="0"/>
      <w:marBottom w:val="0"/>
      <w:divBdr>
        <w:top w:val="none" w:sz="0" w:space="0" w:color="auto"/>
        <w:left w:val="none" w:sz="0" w:space="0" w:color="auto"/>
        <w:bottom w:val="none" w:sz="0" w:space="0" w:color="auto"/>
        <w:right w:val="none" w:sz="0" w:space="0" w:color="auto"/>
      </w:divBdr>
    </w:div>
    <w:div w:id="153837491">
      <w:bodyDiv w:val="1"/>
      <w:marLeft w:val="0"/>
      <w:marRight w:val="0"/>
      <w:marTop w:val="0"/>
      <w:marBottom w:val="0"/>
      <w:divBdr>
        <w:top w:val="none" w:sz="0" w:space="0" w:color="auto"/>
        <w:left w:val="none" w:sz="0" w:space="0" w:color="auto"/>
        <w:bottom w:val="none" w:sz="0" w:space="0" w:color="auto"/>
        <w:right w:val="none" w:sz="0" w:space="0" w:color="auto"/>
      </w:divBdr>
    </w:div>
    <w:div w:id="171066804">
      <w:bodyDiv w:val="1"/>
      <w:marLeft w:val="0"/>
      <w:marRight w:val="0"/>
      <w:marTop w:val="0"/>
      <w:marBottom w:val="0"/>
      <w:divBdr>
        <w:top w:val="none" w:sz="0" w:space="0" w:color="auto"/>
        <w:left w:val="none" w:sz="0" w:space="0" w:color="auto"/>
        <w:bottom w:val="none" w:sz="0" w:space="0" w:color="auto"/>
        <w:right w:val="none" w:sz="0" w:space="0" w:color="auto"/>
      </w:divBdr>
    </w:div>
    <w:div w:id="213278514">
      <w:bodyDiv w:val="1"/>
      <w:marLeft w:val="0"/>
      <w:marRight w:val="0"/>
      <w:marTop w:val="0"/>
      <w:marBottom w:val="0"/>
      <w:divBdr>
        <w:top w:val="none" w:sz="0" w:space="0" w:color="auto"/>
        <w:left w:val="none" w:sz="0" w:space="0" w:color="auto"/>
        <w:bottom w:val="none" w:sz="0" w:space="0" w:color="auto"/>
        <w:right w:val="none" w:sz="0" w:space="0" w:color="auto"/>
      </w:divBdr>
    </w:div>
    <w:div w:id="216479886">
      <w:bodyDiv w:val="1"/>
      <w:marLeft w:val="0"/>
      <w:marRight w:val="0"/>
      <w:marTop w:val="0"/>
      <w:marBottom w:val="0"/>
      <w:divBdr>
        <w:top w:val="none" w:sz="0" w:space="0" w:color="auto"/>
        <w:left w:val="none" w:sz="0" w:space="0" w:color="auto"/>
        <w:bottom w:val="none" w:sz="0" w:space="0" w:color="auto"/>
        <w:right w:val="none" w:sz="0" w:space="0" w:color="auto"/>
      </w:divBdr>
    </w:div>
    <w:div w:id="216824913">
      <w:bodyDiv w:val="1"/>
      <w:marLeft w:val="0"/>
      <w:marRight w:val="0"/>
      <w:marTop w:val="0"/>
      <w:marBottom w:val="0"/>
      <w:divBdr>
        <w:top w:val="none" w:sz="0" w:space="0" w:color="auto"/>
        <w:left w:val="none" w:sz="0" w:space="0" w:color="auto"/>
        <w:bottom w:val="none" w:sz="0" w:space="0" w:color="auto"/>
        <w:right w:val="none" w:sz="0" w:space="0" w:color="auto"/>
      </w:divBdr>
    </w:div>
    <w:div w:id="221530249">
      <w:bodyDiv w:val="1"/>
      <w:marLeft w:val="0"/>
      <w:marRight w:val="0"/>
      <w:marTop w:val="0"/>
      <w:marBottom w:val="0"/>
      <w:divBdr>
        <w:top w:val="none" w:sz="0" w:space="0" w:color="auto"/>
        <w:left w:val="none" w:sz="0" w:space="0" w:color="auto"/>
        <w:bottom w:val="none" w:sz="0" w:space="0" w:color="auto"/>
        <w:right w:val="none" w:sz="0" w:space="0" w:color="auto"/>
      </w:divBdr>
      <w:divsChild>
        <w:div w:id="334580498">
          <w:marLeft w:val="0"/>
          <w:marRight w:val="0"/>
          <w:marTop w:val="0"/>
          <w:marBottom w:val="0"/>
          <w:divBdr>
            <w:top w:val="none" w:sz="0" w:space="0" w:color="auto"/>
            <w:left w:val="none" w:sz="0" w:space="0" w:color="auto"/>
            <w:bottom w:val="none" w:sz="0" w:space="0" w:color="auto"/>
            <w:right w:val="none" w:sz="0" w:space="0" w:color="auto"/>
          </w:divBdr>
        </w:div>
      </w:divsChild>
    </w:div>
    <w:div w:id="228424928">
      <w:bodyDiv w:val="1"/>
      <w:marLeft w:val="0"/>
      <w:marRight w:val="0"/>
      <w:marTop w:val="0"/>
      <w:marBottom w:val="0"/>
      <w:divBdr>
        <w:top w:val="none" w:sz="0" w:space="0" w:color="auto"/>
        <w:left w:val="none" w:sz="0" w:space="0" w:color="auto"/>
        <w:bottom w:val="none" w:sz="0" w:space="0" w:color="auto"/>
        <w:right w:val="none" w:sz="0" w:space="0" w:color="auto"/>
      </w:divBdr>
    </w:div>
    <w:div w:id="229654183">
      <w:bodyDiv w:val="1"/>
      <w:marLeft w:val="0"/>
      <w:marRight w:val="0"/>
      <w:marTop w:val="0"/>
      <w:marBottom w:val="0"/>
      <w:divBdr>
        <w:top w:val="none" w:sz="0" w:space="0" w:color="auto"/>
        <w:left w:val="none" w:sz="0" w:space="0" w:color="auto"/>
        <w:bottom w:val="none" w:sz="0" w:space="0" w:color="auto"/>
        <w:right w:val="none" w:sz="0" w:space="0" w:color="auto"/>
      </w:divBdr>
    </w:div>
    <w:div w:id="233703134">
      <w:bodyDiv w:val="1"/>
      <w:marLeft w:val="0"/>
      <w:marRight w:val="0"/>
      <w:marTop w:val="0"/>
      <w:marBottom w:val="0"/>
      <w:divBdr>
        <w:top w:val="none" w:sz="0" w:space="0" w:color="auto"/>
        <w:left w:val="none" w:sz="0" w:space="0" w:color="auto"/>
        <w:bottom w:val="none" w:sz="0" w:space="0" w:color="auto"/>
        <w:right w:val="none" w:sz="0" w:space="0" w:color="auto"/>
      </w:divBdr>
    </w:div>
    <w:div w:id="244342855">
      <w:bodyDiv w:val="1"/>
      <w:marLeft w:val="0"/>
      <w:marRight w:val="0"/>
      <w:marTop w:val="0"/>
      <w:marBottom w:val="0"/>
      <w:divBdr>
        <w:top w:val="none" w:sz="0" w:space="0" w:color="auto"/>
        <w:left w:val="none" w:sz="0" w:space="0" w:color="auto"/>
        <w:bottom w:val="none" w:sz="0" w:space="0" w:color="auto"/>
        <w:right w:val="none" w:sz="0" w:space="0" w:color="auto"/>
      </w:divBdr>
    </w:div>
    <w:div w:id="258761667">
      <w:bodyDiv w:val="1"/>
      <w:marLeft w:val="0"/>
      <w:marRight w:val="0"/>
      <w:marTop w:val="0"/>
      <w:marBottom w:val="0"/>
      <w:divBdr>
        <w:top w:val="none" w:sz="0" w:space="0" w:color="auto"/>
        <w:left w:val="none" w:sz="0" w:space="0" w:color="auto"/>
        <w:bottom w:val="none" w:sz="0" w:space="0" w:color="auto"/>
        <w:right w:val="none" w:sz="0" w:space="0" w:color="auto"/>
      </w:divBdr>
    </w:div>
    <w:div w:id="266742497">
      <w:bodyDiv w:val="1"/>
      <w:marLeft w:val="0"/>
      <w:marRight w:val="0"/>
      <w:marTop w:val="0"/>
      <w:marBottom w:val="0"/>
      <w:divBdr>
        <w:top w:val="none" w:sz="0" w:space="0" w:color="auto"/>
        <w:left w:val="none" w:sz="0" w:space="0" w:color="auto"/>
        <w:bottom w:val="none" w:sz="0" w:space="0" w:color="auto"/>
        <w:right w:val="none" w:sz="0" w:space="0" w:color="auto"/>
      </w:divBdr>
    </w:div>
    <w:div w:id="280260940">
      <w:bodyDiv w:val="1"/>
      <w:marLeft w:val="0"/>
      <w:marRight w:val="0"/>
      <w:marTop w:val="0"/>
      <w:marBottom w:val="0"/>
      <w:divBdr>
        <w:top w:val="none" w:sz="0" w:space="0" w:color="auto"/>
        <w:left w:val="none" w:sz="0" w:space="0" w:color="auto"/>
        <w:bottom w:val="none" w:sz="0" w:space="0" w:color="auto"/>
        <w:right w:val="none" w:sz="0" w:space="0" w:color="auto"/>
      </w:divBdr>
    </w:div>
    <w:div w:id="286854788">
      <w:bodyDiv w:val="1"/>
      <w:marLeft w:val="0"/>
      <w:marRight w:val="0"/>
      <w:marTop w:val="0"/>
      <w:marBottom w:val="0"/>
      <w:divBdr>
        <w:top w:val="none" w:sz="0" w:space="0" w:color="auto"/>
        <w:left w:val="none" w:sz="0" w:space="0" w:color="auto"/>
        <w:bottom w:val="none" w:sz="0" w:space="0" w:color="auto"/>
        <w:right w:val="none" w:sz="0" w:space="0" w:color="auto"/>
      </w:divBdr>
    </w:div>
    <w:div w:id="289359416">
      <w:bodyDiv w:val="1"/>
      <w:marLeft w:val="0"/>
      <w:marRight w:val="0"/>
      <w:marTop w:val="0"/>
      <w:marBottom w:val="0"/>
      <w:divBdr>
        <w:top w:val="none" w:sz="0" w:space="0" w:color="auto"/>
        <w:left w:val="none" w:sz="0" w:space="0" w:color="auto"/>
        <w:bottom w:val="none" w:sz="0" w:space="0" w:color="auto"/>
        <w:right w:val="none" w:sz="0" w:space="0" w:color="auto"/>
      </w:divBdr>
    </w:div>
    <w:div w:id="291442193">
      <w:bodyDiv w:val="1"/>
      <w:marLeft w:val="0"/>
      <w:marRight w:val="0"/>
      <w:marTop w:val="0"/>
      <w:marBottom w:val="0"/>
      <w:divBdr>
        <w:top w:val="none" w:sz="0" w:space="0" w:color="auto"/>
        <w:left w:val="none" w:sz="0" w:space="0" w:color="auto"/>
        <w:bottom w:val="none" w:sz="0" w:space="0" w:color="auto"/>
        <w:right w:val="none" w:sz="0" w:space="0" w:color="auto"/>
      </w:divBdr>
      <w:divsChild>
        <w:div w:id="1524784158">
          <w:marLeft w:val="300"/>
          <w:marRight w:val="0"/>
          <w:marTop w:val="120"/>
          <w:marBottom w:val="120"/>
          <w:divBdr>
            <w:top w:val="none" w:sz="0" w:space="0" w:color="auto"/>
            <w:left w:val="none" w:sz="0" w:space="0" w:color="auto"/>
            <w:bottom w:val="none" w:sz="0" w:space="0" w:color="auto"/>
            <w:right w:val="none" w:sz="0" w:space="0" w:color="auto"/>
          </w:divBdr>
        </w:div>
      </w:divsChild>
    </w:div>
    <w:div w:id="294456095">
      <w:bodyDiv w:val="1"/>
      <w:marLeft w:val="0"/>
      <w:marRight w:val="0"/>
      <w:marTop w:val="0"/>
      <w:marBottom w:val="0"/>
      <w:divBdr>
        <w:top w:val="none" w:sz="0" w:space="0" w:color="auto"/>
        <w:left w:val="none" w:sz="0" w:space="0" w:color="auto"/>
        <w:bottom w:val="none" w:sz="0" w:space="0" w:color="auto"/>
        <w:right w:val="none" w:sz="0" w:space="0" w:color="auto"/>
      </w:divBdr>
    </w:div>
    <w:div w:id="298461438">
      <w:bodyDiv w:val="1"/>
      <w:marLeft w:val="0"/>
      <w:marRight w:val="0"/>
      <w:marTop w:val="0"/>
      <w:marBottom w:val="0"/>
      <w:divBdr>
        <w:top w:val="none" w:sz="0" w:space="0" w:color="auto"/>
        <w:left w:val="none" w:sz="0" w:space="0" w:color="auto"/>
        <w:bottom w:val="none" w:sz="0" w:space="0" w:color="auto"/>
        <w:right w:val="none" w:sz="0" w:space="0" w:color="auto"/>
      </w:divBdr>
    </w:div>
    <w:div w:id="303583287">
      <w:bodyDiv w:val="1"/>
      <w:marLeft w:val="0"/>
      <w:marRight w:val="0"/>
      <w:marTop w:val="0"/>
      <w:marBottom w:val="0"/>
      <w:divBdr>
        <w:top w:val="none" w:sz="0" w:space="0" w:color="auto"/>
        <w:left w:val="none" w:sz="0" w:space="0" w:color="auto"/>
        <w:bottom w:val="none" w:sz="0" w:space="0" w:color="auto"/>
        <w:right w:val="none" w:sz="0" w:space="0" w:color="auto"/>
      </w:divBdr>
      <w:divsChild>
        <w:div w:id="738333007">
          <w:marLeft w:val="0"/>
          <w:marRight w:val="0"/>
          <w:marTop w:val="0"/>
          <w:marBottom w:val="0"/>
          <w:divBdr>
            <w:top w:val="none" w:sz="0" w:space="0" w:color="auto"/>
            <w:left w:val="none" w:sz="0" w:space="0" w:color="auto"/>
            <w:bottom w:val="none" w:sz="0" w:space="0" w:color="auto"/>
            <w:right w:val="none" w:sz="0" w:space="0" w:color="auto"/>
          </w:divBdr>
        </w:div>
      </w:divsChild>
    </w:div>
    <w:div w:id="303851994">
      <w:bodyDiv w:val="1"/>
      <w:marLeft w:val="0"/>
      <w:marRight w:val="0"/>
      <w:marTop w:val="0"/>
      <w:marBottom w:val="0"/>
      <w:divBdr>
        <w:top w:val="none" w:sz="0" w:space="0" w:color="auto"/>
        <w:left w:val="none" w:sz="0" w:space="0" w:color="auto"/>
        <w:bottom w:val="none" w:sz="0" w:space="0" w:color="auto"/>
        <w:right w:val="none" w:sz="0" w:space="0" w:color="auto"/>
      </w:divBdr>
    </w:div>
    <w:div w:id="307637688">
      <w:bodyDiv w:val="1"/>
      <w:marLeft w:val="0"/>
      <w:marRight w:val="0"/>
      <w:marTop w:val="0"/>
      <w:marBottom w:val="0"/>
      <w:divBdr>
        <w:top w:val="none" w:sz="0" w:space="0" w:color="auto"/>
        <w:left w:val="none" w:sz="0" w:space="0" w:color="auto"/>
        <w:bottom w:val="none" w:sz="0" w:space="0" w:color="auto"/>
        <w:right w:val="none" w:sz="0" w:space="0" w:color="auto"/>
      </w:divBdr>
    </w:div>
    <w:div w:id="309140977">
      <w:bodyDiv w:val="1"/>
      <w:marLeft w:val="0"/>
      <w:marRight w:val="0"/>
      <w:marTop w:val="0"/>
      <w:marBottom w:val="0"/>
      <w:divBdr>
        <w:top w:val="none" w:sz="0" w:space="0" w:color="auto"/>
        <w:left w:val="none" w:sz="0" w:space="0" w:color="auto"/>
        <w:bottom w:val="none" w:sz="0" w:space="0" w:color="auto"/>
        <w:right w:val="none" w:sz="0" w:space="0" w:color="auto"/>
      </w:divBdr>
    </w:div>
    <w:div w:id="310597365">
      <w:bodyDiv w:val="1"/>
      <w:marLeft w:val="0"/>
      <w:marRight w:val="0"/>
      <w:marTop w:val="0"/>
      <w:marBottom w:val="0"/>
      <w:divBdr>
        <w:top w:val="none" w:sz="0" w:space="0" w:color="auto"/>
        <w:left w:val="none" w:sz="0" w:space="0" w:color="auto"/>
        <w:bottom w:val="none" w:sz="0" w:space="0" w:color="auto"/>
        <w:right w:val="none" w:sz="0" w:space="0" w:color="auto"/>
      </w:divBdr>
    </w:div>
    <w:div w:id="312372651">
      <w:bodyDiv w:val="1"/>
      <w:marLeft w:val="0"/>
      <w:marRight w:val="0"/>
      <w:marTop w:val="0"/>
      <w:marBottom w:val="0"/>
      <w:divBdr>
        <w:top w:val="none" w:sz="0" w:space="0" w:color="auto"/>
        <w:left w:val="none" w:sz="0" w:space="0" w:color="auto"/>
        <w:bottom w:val="none" w:sz="0" w:space="0" w:color="auto"/>
        <w:right w:val="none" w:sz="0" w:space="0" w:color="auto"/>
      </w:divBdr>
    </w:div>
    <w:div w:id="331421343">
      <w:bodyDiv w:val="1"/>
      <w:marLeft w:val="0"/>
      <w:marRight w:val="0"/>
      <w:marTop w:val="0"/>
      <w:marBottom w:val="0"/>
      <w:divBdr>
        <w:top w:val="none" w:sz="0" w:space="0" w:color="auto"/>
        <w:left w:val="none" w:sz="0" w:space="0" w:color="auto"/>
        <w:bottom w:val="none" w:sz="0" w:space="0" w:color="auto"/>
        <w:right w:val="none" w:sz="0" w:space="0" w:color="auto"/>
      </w:divBdr>
    </w:div>
    <w:div w:id="343479233">
      <w:bodyDiv w:val="1"/>
      <w:marLeft w:val="0"/>
      <w:marRight w:val="0"/>
      <w:marTop w:val="0"/>
      <w:marBottom w:val="0"/>
      <w:divBdr>
        <w:top w:val="none" w:sz="0" w:space="0" w:color="auto"/>
        <w:left w:val="none" w:sz="0" w:space="0" w:color="auto"/>
        <w:bottom w:val="none" w:sz="0" w:space="0" w:color="auto"/>
        <w:right w:val="none" w:sz="0" w:space="0" w:color="auto"/>
      </w:divBdr>
    </w:div>
    <w:div w:id="344131969">
      <w:bodyDiv w:val="1"/>
      <w:marLeft w:val="0"/>
      <w:marRight w:val="0"/>
      <w:marTop w:val="0"/>
      <w:marBottom w:val="0"/>
      <w:divBdr>
        <w:top w:val="none" w:sz="0" w:space="0" w:color="auto"/>
        <w:left w:val="none" w:sz="0" w:space="0" w:color="auto"/>
        <w:bottom w:val="none" w:sz="0" w:space="0" w:color="auto"/>
        <w:right w:val="none" w:sz="0" w:space="0" w:color="auto"/>
      </w:divBdr>
    </w:div>
    <w:div w:id="351152389">
      <w:bodyDiv w:val="1"/>
      <w:marLeft w:val="0"/>
      <w:marRight w:val="0"/>
      <w:marTop w:val="0"/>
      <w:marBottom w:val="0"/>
      <w:divBdr>
        <w:top w:val="none" w:sz="0" w:space="0" w:color="auto"/>
        <w:left w:val="none" w:sz="0" w:space="0" w:color="auto"/>
        <w:bottom w:val="none" w:sz="0" w:space="0" w:color="auto"/>
        <w:right w:val="none" w:sz="0" w:space="0" w:color="auto"/>
      </w:divBdr>
    </w:div>
    <w:div w:id="354622902">
      <w:bodyDiv w:val="1"/>
      <w:marLeft w:val="0"/>
      <w:marRight w:val="0"/>
      <w:marTop w:val="0"/>
      <w:marBottom w:val="0"/>
      <w:divBdr>
        <w:top w:val="none" w:sz="0" w:space="0" w:color="auto"/>
        <w:left w:val="none" w:sz="0" w:space="0" w:color="auto"/>
        <w:bottom w:val="none" w:sz="0" w:space="0" w:color="auto"/>
        <w:right w:val="none" w:sz="0" w:space="0" w:color="auto"/>
      </w:divBdr>
    </w:div>
    <w:div w:id="355738532">
      <w:bodyDiv w:val="1"/>
      <w:marLeft w:val="0"/>
      <w:marRight w:val="0"/>
      <w:marTop w:val="0"/>
      <w:marBottom w:val="0"/>
      <w:divBdr>
        <w:top w:val="none" w:sz="0" w:space="0" w:color="auto"/>
        <w:left w:val="none" w:sz="0" w:space="0" w:color="auto"/>
        <w:bottom w:val="none" w:sz="0" w:space="0" w:color="auto"/>
        <w:right w:val="none" w:sz="0" w:space="0" w:color="auto"/>
      </w:divBdr>
    </w:div>
    <w:div w:id="357119951">
      <w:bodyDiv w:val="1"/>
      <w:marLeft w:val="0"/>
      <w:marRight w:val="0"/>
      <w:marTop w:val="0"/>
      <w:marBottom w:val="0"/>
      <w:divBdr>
        <w:top w:val="none" w:sz="0" w:space="0" w:color="auto"/>
        <w:left w:val="none" w:sz="0" w:space="0" w:color="auto"/>
        <w:bottom w:val="none" w:sz="0" w:space="0" w:color="auto"/>
        <w:right w:val="none" w:sz="0" w:space="0" w:color="auto"/>
      </w:divBdr>
    </w:div>
    <w:div w:id="364210128">
      <w:bodyDiv w:val="1"/>
      <w:marLeft w:val="0"/>
      <w:marRight w:val="0"/>
      <w:marTop w:val="0"/>
      <w:marBottom w:val="0"/>
      <w:divBdr>
        <w:top w:val="none" w:sz="0" w:space="0" w:color="auto"/>
        <w:left w:val="none" w:sz="0" w:space="0" w:color="auto"/>
        <w:bottom w:val="none" w:sz="0" w:space="0" w:color="auto"/>
        <w:right w:val="none" w:sz="0" w:space="0" w:color="auto"/>
      </w:divBdr>
    </w:div>
    <w:div w:id="367339957">
      <w:bodyDiv w:val="1"/>
      <w:marLeft w:val="0"/>
      <w:marRight w:val="0"/>
      <w:marTop w:val="0"/>
      <w:marBottom w:val="0"/>
      <w:divBdr>
        <w:top w:val="none" w:sz="0" w:space="0" w:color="auto"/>
        <w:left w:val="none" w:sz="0" w:space="0" w:color="auto"/>
        <w:bottom w:val="none" w:sz="0" w:space="0" w:color="auto"/>
        <w:right w:val="none" w:sz="0" w:space="0" w:color="auto"/>
      </w:divBdr>
    </w:div>
    <w:div w:id="367607961">
      <w:bodyDiv w:val="1"/>
      <w:marLeft w:val="0"/>
      <w:marRight w:val="0"/>
      <w:marTop w:val="0"/>
      <w:marBottom w:val="0"/>
      <w:divBdr>
        <w:top w:val="none" w:sz="0" w:space="0" w:color="auto"/>
        <w:left w:val="none" w:sz="0" w:space="0" w:color="auto"/>
        <w:bottom w:val="none" w:sz="0" w:space="0" w:color="auto"/>
        <w:right w:val="none" w:sz="0" w:space="0" w:color="auto"/>
      </w:divBdr>
    </w:div>
    <w:div w:id="370307037">
      <w:bodyDiv w:val="1"/>
      <w:marLeft w:val="0"/>
      <w:marRight w:val="0"/>
      <w:marTop w:val="0"/>
      <w:marBottom w:val="0"/>
      <w:divBdr>
        <w:top w:val="none" w:sz="0" w:space="0" w:color="auto"/>
        <w:left w:val="none" w:sz="0" w:space="0" w:color="auto"/>
        <w:bottom w:val="none" w:sz="0" w:space="0" w:color="auto"/>
        <w:right w:val="none" w:sz="0" w:space="0" w:color="auto"/>
      </w:divBdr>
    </w:div>
    <w:div w:id="373313013">
      <w:bodyDiv w:val="1"/>
      <w:marLeft w:val="0"/>
      <w:marRight w:val="0"/>
      <w:marTop w:val="0"/>
      <w:marBottom w:val="0"/>
      <w:divBdr>
        <w:top w:val="none" w:sz="0" w:space="0" w:color="auto"/>
        <w:left w:val="none" w:sz="0" w:space="0" w:color="auto"/>
        <w:bottom w:val="none" w:sz="0" w:space="0" w:color="auto"/>
        <w:right w:val="none" w:sz="0" w:space="0" w:color="auto"/>
      </w:divBdr>
    </w:div>
    <w:div w:id="376273665">
      <w:bodyDiv w:val="1"/>
      <w:marLeft w:val="0"/>
      <w:marRight w:val="0"/>
      <w:marTop w:val="0"/>
      <w:marBottom w:val="0"/>
      <w:divBdr>
        <w:top w:val="none" w:sz="0" w:space="0" w:color="auto"/>
        <w:left w:val="none" w:sz="0" w:space="0" w:color="auto"/>
        <w:bottom w:val="none" w:sz="0" w:space="0" w:color="auto"/>
        <w:right w:val="none" w:sz="0" w:space="0" w:color="auto"/>
      </w:divBdr>
    </w:div>
    <w:div w:id="393695904">
      <w:bodyDiv w:val="1"/>
      <w:marLeft w:val="0"/>
      <w:marRight w:val="0"/>
      <w:marTop w:val="0"/>
      <w:marBottom w:val="0"/>
      <w:divBdr>
        <w:top w:val="none" w:sz="0" w:space="0" w:color="auto"/>
        <w:left w:val="none" w:sz="0" w:space="0" w:color="auto"/>
        <w:bottom w:val="none" w:sz="0" w:space="0" w:color="auto"/>
        <w:right w:val="none" w:sz="0" w:space="0" w:color="auto"/>
      </w:divBdr>
    </w:div>
    <w:div w:id="422727612">
      <w:bodyDiv w:val="1"/>
      <w:marLeft w:val="0"/>
      <w:marRight w:val="0"/>
      <w:marTop w:val="0"/>
      <w:marBottom w:val="0"/>
      <w:divBdr>
        <w:top w:val="none" w:sz="0" w:space="0" w:color="auto"/>
        <w:left w:val="none" w:sz="0" w:space="0" w:color="auto"/>
        <w:bottom w:val="none" w:sz="0" w:space="0" w:color="auto"/>
        <w:right w:val="none" w:sz="0" w:space="0" w:color="auto"/>
      </w:divBdr>
    </w:div>
    <w:div w:id="430592258">
      <w:bodyDiv w:val="1"/>
      <w:marLeft w:val="0"/>
      <w:marRight w:val="0"/>
      <w:marTop w:val="0"/>
      <w:marBottom w:val="0"/>
      <w:divBdr>
        <w:top w:val="none" w:sz="0" w:space="0" w:color="auto"/>
        <w:left w:val="none" w:sz="0" w:space="0" w:color="auto"/>
        <w:bottom w:val="none" w:sz="0" w:space="0" w:color="auto"/>
        <w:right w:val="none" w:sz="0" w:space="0" w:color="auto"/>
      </w:divBdr>
    </w:div>
    <w:div w:id="431437828">
      <w:bodyDiv w:val="1"/>
      <w:marLeft w:val="0"/>
      <w:marRight w:val="0"/>
      <w:marTop w:val="0"/>
      <w:marBottom w:val="0"/>
      <w:divBdr>
        <w:top w:val="none" w:sz="0" w:space="0" w:color="auto"/>
        <w:left w:val="none" w:sz="0" w:space="0" w:color="auto"/>
        <w:bottom w:val="none" w:sz="0" w:space="0" w:color="auto"/>
        <w:right w:val="none" w:sz="0" w:space="0" w:color="auto"/>
      </w:divBdr>
    </w:div>
    <w:div w:id="450783900">
      <w:bodyDiv w:val="1"/>
      <w:marLeft w:val="0"/>
      <w:marRight w:val="0"/>
      <w:marTop w:val="0"/>
      <w:marBottom w:val="0"/>
      <w:divBdr>
        <w:top w:val="none" w:sz="0" w:space="0" w:color="auto"/>
        <w:left w:val="none" w:sz="0" w:space="0" w:color="auto"/>
        <w:bottom w:val="none" w:sz="0" w:space="0" w:color="auto"/>
        <w:right w:val="none" w:sz="0" w:space="0" w:color="auto"/>
      </w:divBdr>
    </w:div>
    <w:div w:id="484661977">
      <w:bodyDiv w:val="1"/>
      <w:marLeft w:val="0"/>
      <w:marRight w:val="0"/>
      <w:marTop w:val="0"/>
      <w:marBottom w:val="0"/>
      <w:divBdr>
        <w:top w:val="none" w:sz="0" w:space="0" w:color="auto"/>
        <w:left w:val="none" w:sz="0" w:space="0" w:color="auto"/>
        <w:bottom w:val="none" w:sz="0" w:space="0" w:color="auto"/>
        <w:right w:val="none" w:sz="0" w:space="0" w:color="auto"/>
      </w:divBdr>
      <w:divsChild>
        <w:div w:id="591855964">
          <w:marLeft w:val="0"/>
          <w:marRight w:val="0"/>
          <w:marTop w:val="0"/>
          <w:marBottom w:val="0"/>
          <w:divBdr>
            <w:top w:val="none" w:sz="0" w:space="0" w:color="auto"/>
            <w:left w:val="none" w:sz="0" w:space="0" w:color="auto"/>
            <w:bottom w:val="none" w:sz="0" w:space="0" w:color="auto"/>
            <w:right w:val="none" w:sz="0" w:space="0" w:color="auto"/>
          </w:divBdr>
          <w:divsChild>
            <w:div w:id="1950434740">
              <w:marLeft w:val="0"/>
              <w:marRight w:val="0"/>
              <w:marTop w:val="0"/>
              <w:marBottom w:val="0"/>
              <w:divBdr>
                <w:top w:val="none" w:sz="0" w:space="0" w:color="auto"/>
                <w:left w:val="none" w:sz="0" w:space="0" w:color="auto"/>
                <w:bottom w:val="none" w:sz="0" w:space="0" w:color="auto"/>
                <w:right w:val="none" w:sz="0" w:space="0" w:color="auto"/>
              </w:divBdr>
              <w:divsChild>
                <w:div w:id="981425932">
                  <w:marLeft w:val="0"/>
                  <w:marRight w:val="0"/>
                  <w:marTop w:val="0"/>
                  <w:marBottom w:val="0"/>
                  <w:divBdr>
                    <w:top w:val="none" w:sz="0" w:space="0" w:color="auto"/>
                    <w:left w:val="none" w:sz="0" w:space="0" w:color="auto"/>
                    <w:bottom w:val="none" w:sz="0" w:space="0" w:color="auto"/>
                    <w:right w:val="none" w:sz="0" w:space="0" w:color="auto"/>
                  </w:divBdr>
                  <w:divsChild>
                    <w:div w:id="10602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818487">
          <w:marLeft w:val="0"/>
          <w:marRight w:val="0"/>
          <w:marTop w:val="0"/>
          <w:marBottom w:val="0"/>
          <w:divBdr>
            <w:top w:val="none" w:sz="0" w:space="0" w:color="auto"/>
            <w:left w:val="none" w:sz="0" w:space="0" w:color="auto"/>
            <w:bottom w:val="none" w:sz="0" w:space="0" w:color="auto"/>
            <w:right w:val="none" w:sz="0" w:space="0" w:color="auto"/>
          </w:divBdr>
          <w:divsChild>
            <w:div w:id="1837377270">
              <w:marLeft w:val="0"/>
              <w:marRight w:val="0"/>
              <w:marTop w:val="0"/>
              <w:marBottom w:val="0"/>
              <w:divBdr>
                <w:top w:val="none" w:sz="0" w:space="0" w:color="auto"/>
                <w:left w:val="none" w:sz="0" w:space="0" w:color="auto"/>
                <w:bottom w:val="none" w:sz="0" w:space="0" w:color="auto"/>
                <w:right w:val="none" w:sz="0" w:space="0" w:color="auto"/>
              </w:divBdr>
              <w:divsChild>
                <w:div w:id="1983072360">
                  <w:marLeft w:val="0"/>
                  <w:marRight w:val="0"/>
                  <w:marTop w:val="0"/>
                  <w:marBottom w:val="0"/>
                  <w:divBdr>
                    <w:top w:val="none" w:sz="0" w:space="0" w:color="auto"/>
                    <w:left w:val="none" w:sz="0" w:space="0" w:color="auto"/>
                    <w:bottom w:val="none" w:sz="0" w:space="0" w:color="auto"/>
                    <w:right w:val="none" w:sz="0" w:space="0" w:color="auto"/>
                  </w:divBdr>
                  <w:divsChild>
                    <w:div w:id="141750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085291">
      <w:bodyDiv w:val="1"/>
      <w:marLeft w:val="0"/>
      <w:marRight w:val="0"/>
      <w:marTop w:val="0"/>
      <w:marBottom w:val="0"/>
      <w:divBdr>
        <w:top w:val="none" w:sz="0" w:space="0" w:color="auto"/>
        <w:left w:val="none" w:sz="0" w:space="0" w:color="auto"/>
        <w:bottom w:val="none" w:sz="0" w:space="0" w:color="auto"/>
        <w:right w:val="none" w:sz="0" w:space="0" w:color="auto"/>
      </w:divBdr>
    </w:div>
    <w:div w:id="506528660">
      <w:bodyDiv w:val="1"/>
      <w:marLeft w:val="0"/>
      <w:marRight w:val="0"/>
      <w:marTop w:val="0"/>
      <w:marBottom w:val="0"/>
      <w:divBdr>
        <w:top w:val="none" w:sz="0" w:space="0" w:color="auto"/>
        <w:left w:val="none" w:sz="0" w:space="0" w:color="auto"/>
        <w:bottom w:val="none" w:sz="0" w:space="0" w:color="auto"/>
        <w:right w:val="none" w:sz="0" w:space="0" w:color="auto"/>
      </w:divBdr>
    </w:div>
    <w:div w:id="508835487">
      <w:bodyDiv w:val="1"/>
      <w:marLeft w:val="0"/>
      <w:marRight w:val="0"/>
      <w:marTop w:val="0"/>
      <w:marBottom w:val="0"/>
      <w:divBdr>
        <w:top w:val="none" w:sz="0" w:space="0" w:color="auto"/>
        <w:left w:val="none" w:sz="0" w:space="0" w:color="auto"/>
        <w:bottom w:val="none" w:sz="0" w:space="0" w:color="auto"/>
        <w:right w:val="none" w:sz="0" w:space="0" w:color="auto"/>
      </w:divBdr>
    </w:div>
    <w:div w:id="524907082">
      <w:bodyDiv w:val="1"/>
      <w:marLeft w:val="0"/>
      <w:marRight w:val="0"/>
      <w:marTop w:val="0"/>
      <w:marBottom w:val="0"/>
      <w:divBdr>
        <w:top w:val="none" w:sz="0" w:space="0" w:color="auto"/>
        <w:left w:val="none" w:sz="0" w:space="0" w:color="auto"/>
        <w:bottom w:val="none" w:sz="0" w:space="0" w:color="auto"/>
        <w:right w:val="none" w:sz="0" w:space="0" w:color="auto"/>
      </w:divBdr>
    </w:div>
    <w:div w:id="540244741">
      <w:bodyDiv w:val="1"/>
      <w:marLeft w:val="0"/>
      <w:marRight w:val="0"/>
      <w:marTop w:val="0"/>
      <w:marBottom w:val="0"/>
      <w:divBdr>
        <w:top w:val="none" w:sz="0" w:space="0" w:color="auto"/>
        <w:left w:val="none" w:sz="0" w:space="0" w:color="auto"/>
        <w:bottom w:val="none" w:sz="0" w:space="0" w:color="auto"/>
        <w:right w:val="none" w:sz="0" w:space="0" w:color="auto"/>
      </w:divBdr>
      <w:divsChild>
        <w:div w:id="147400974">
          <w:marLeft w:val="0"/>
          <w:marRight w:val="0"/>
          <w:marTop w:val="0"/>
          <w:marBottom w:val="0"/>
          <w:divBdr>
            <w:top w:val="none" w:sz="0" w:space="0" w:color="auto"/>
            <w:left w:val="none" w:sz="0" w:space="0" w:color="auto"/>
            <w:bottom w:val="none" w:sz="0" w:space="0" w:color="auto"/>
            <w:right w:val="none" w:sz="0" w:space="0" w:color="auto"/>
          </w:divBdr>
        </w:div>
        <w:div w:id="200750499">
          <w:marLeft w:val="0"/>
          <w:marRight w:val="0"/>
          <w:marTop w:val="0"/>
          <w:marBottom w:val="0"/>
          <w:divBdr>
            <w:top w:val="none" w:sz="0" w:space="0" w:color="auto"/>
            <w:left w:val="none" w:sz="0" w:space="0" w:color="auto"/>
            <w:bottom w:val="none" w:sz="0" w:space="0" w:color="auto"/>
            <w:right w:val="none" w:sz="0" w:space="0" w:color="auto"/>
          </w:divBdr>
        </w:div>
        <w:div w:id="355616867">
          <w:marLeft w:val="0"/>
          <w:marRight w:val="0"/>
          <w:marTop w:val="0"/>
          <w:marBottom w:val="0"/>
          <w:divBdr>
            <w:top w:val="none" w:sz="0" w:space="0" w:color="auto"/>
            <w:left w:val="none" w:sz="0" w:space="0" w:color="auto"/>
            <w:bottom w:val="none" w:sz="0" w:space="0" w:color="auto"/>
            <w:right w:val="none" w:sz="0" w:space="0" w:color="auto"/>
          </w:divBdr>
        </w:div>
        <w:div w:id="1047990517">
          <w:marLeft w:val="0"/>
          <w:marRight w:val="0"/>
          <w:marTop w:val="0"/>
          <w:marBottom w:val="0"/>
          <w:divBdr>
            <w:top w:val="none" w:sz="0" w:space="0" w:color="auto"/>
            <w:left w:val="none" w:sz="0" w:space="0" w:color="auto"/>
            <w:bottom w:val="none" w:sz="0" w:space="0" w:color="auto"/>
            <w:right w:val="none" w:sz="0" w:space="0" w:color="auto"/>
          </w:divBdr>
        </w:div>
        <w:div w:id="1066758692">
          <w:marLeft w:val="0"/>
          <w:marRight w:val="0"/>
          <w:marTop w:val="0"/>
          <w:marBottom w:val="0"/>
          <w:divBdr>
            <w:top w:val="none" w:sz="0" w:space="0" w:color="auto"/>
            <w:left w:val="none" w:sz="0" w:space="0" w:color="auto"/>
            <w:bottom w:val="none" w:sz="0" w:space="0" w:color="auto"/>
            <w:right w:val="none" w:sz="0" w:space="0" w:color="auto"/>
          </w:divBdr>
        </w:div>
      </w:divsChild>
    </w:div>
    <w:div w:id="545263916">
      <w:bodyDiv w:val="1"/>
      <w:marLeft w:val="0"/>
      <w:marRight w:val="0"/>
      <w:marTop w:val="0"/>
      <w:marBottom w:val="0"/>
      <w:divBdr>
        <w:top w:val="none" w:sz="0" w:space="0" w:color="auto"/>
        <w:left w:val="none" w:sz="0" w:space="0" w:color="auto"/>
        <w:bottom w:val="none" w:sz="0" w:space="0" w:color="auto"/>
        <w:right w:val="none" w:sz="0" w:space="0" w:color="auto"/>
      </w:divBdr>
    </w:div>
    <w:div w:id="569463393">
      <w:bodyDiv w:val="1"/>
      <w:marLeft w:val="0"/>
      <w:marRight w:val="0"/>
      <w:marTop w:val="0"/>
      <w:marBottom w:val="0"/>
      <w:divBdr>
        <w:top w:val="none" w:sz="0" w:space="0" w:color="auto"/>
        <w:left w:val="none" w:sz="0" w:space="0" w:color="auto"/>
        <w:bottom w:val="none" w:sz="0" w:space="0" w:color="auto"/>
        <w:right w:val="none" w:sz="0" w:space="0" w:color="auto"/>
      </w:divBdr>
    </w:div>
    <w:div w:id="578832280">
      <w:bodyDiv w:val="1"/>
      <w:marLeft w:val="0"/>
      <w:marRight w:val="0"/>
      <w:marTop w:val="0"/>
      <w:marBottom w:val="0"/>
      <w:divBdr>
        <w:top w:val="none" w:sz="0" w:space="0" w:color="auto"/>
        <w:left w:val="none" w:sz="0" w:space="0" w:color="auto"/>
        <w:bottom w:val="none" w:sz="0" w:space="0" w:color="auto"/>
        <w:right w:val="none" w:sz="0" w:space="0" w:color="auto"/>
      </w:divBdr>
    </w:div>
    <w:div w:id="579676357">
      <w:bodyDiv w:val="1"/>
      <w:marLeft w:val="0"/>
      <w:marRight w:val="0"/>
      <w:marTop w:val="0"/>
      <w:marBottom w:val="0"/>
      <w:divBdr>
        <w:top w:val="none" w:sz="0" w:space="0" w:color="auto"/>
        <w:left w:val="none" w:sz="0" w:space="0" w:color="auto"/>
        <w:bottom w:val="none" w:sz="0" w:space="0" w:color="auto"/>
        <w:right w:val="none" w:sz="0" w:space="0" w:color="auto"/>
      </w:divBdr>
    </w:div>
    <w:div w:id="581648559">
      <w:bodyDiv w:val="1"/>
      <w:marLeft w:val="0"/>
      <w:marRight w:val="0"/>
      <w:marTop w:val="0"/>
      <w:marBottom w:val="0"/>
      <w:divBdr>
        <w:top w:val="none" w:sz="0" w:space="0" w:color="auto"/>
        <w:left w:val="none" w:sz="0" w:space="0" w:color="auto"/>
        <w:bottom w:val="none" w:sz="0" w:space="0" w:color="auto"/>
        <w:right w:val="none" w:sz="0" w:space="0" w:color="auto"/>
      </w:divBdr>
    </w:div>
    <w:div w:id="582179554">
      <w:bodyDiv w:val="1"/>
      <w:marLeft w:val="0"/>
      <w:marRight w:val="0"/>
      <w:marTop w:val="0"/>
      <w:marBottom w:val="0"/>
      <w:divBdr>
        <w:top w:val="none" w:sz="0" w:space="0" w:color="auto"/>
        <w:left w:val="none" w:sz="0" w:space="0" w:color="auto"/>
        <w:bottom w:val="none" w:sz="0" w:space="0" w:color="auto"/>
        <w:right w:val="none" w:sz="0" w:space="0" w:color="auto"/>
      </w:divBdr>
      <w:divsChild>
        <w:div w:id="545947283">
          <w:marLeft w:val="0"/>
          <w:marRight w:val="0"/>
          <w:marTop w:val="0"/>
          <w:marBottom w:val="0"/>
          <w:divBdr>
            <w:top w:val="none" w:sz="0" w:space="0" w:color="auto"/>
            <w:left w:val="none" w:sz="0" w:space="0" w:color="auto"/>
            <w:bottom w:val="none" w:sz="0" w:space="0" w:color="auto"/>
            <w:right w:val="none" w:sz="0" w:space="0" w:color="auto"/>
          </w:divBdr>
        </w:div>
      </w:divsChild>
    </w:div>
    <w:div w:id="582299443">
      <w:bodyDiv w:val="1"/>
      <w:marLeft w:val="0"/>
      <w:marRight w:val="0"/>
      <w:marTop w:val="0"/>
      <w:marBottom w:val="0"/>
      <w:divBdr>
        <w:top w:val="none" w:sz="0" w:space="0" w:color="auto"/>
        <w:left w:val="none" w:sz="0" w:space="0" w:color="auto"/>
        <w:bottom w:val="none" w:sz="0" w:space="0" w:color="auto"/>
        <w:right w:val="none" w:sz="0" w:space="0" w:color="auto"/>
      </w:divBdr>
    </w:div>
    <w:div w:id="611016522">
      <w:bodyDiv w:val="1"/>
      <w:marLeft w:val="0"/>
      <w:marRight w:val="0"/>
      <w:marTop w:val="0"/>
      <w:marBottom w:val="0"/>
      <w:divBdr>
        <w:top w:val="none" w:sz="0" w:space="0" w:color="auto"/>
        <w:left w:val="none" w:sz="0" w:space="0" w:color="auto"/>
        <w:bottom w:val="none" w:sz="0" w:space="0" w:color="auto"/>
        <w:right w:val="none" w:sz="0" w:space="0" w:color="auto"/>
      </w:divBdr>
    </w:div>
    <w:div w:id="627663841">
      <w:bodyDiv w:val="1"/>
      <w:marLeft w:val="0"/>
      <w:marRight w:val="0"/>
      <w:marTop w:val="0"/>
      <w:marBottom w:val="0"/>
      <w:divBdr>
        <w:top w:val="none" w:sz="0" w:space="0" w:color="auto"/>
        <w:left w:val="none" w:sz="0" w:space="0" w:color="auto"/>
        <w:bottom w:val="none" w:sz="0" w:space="0" w:color="auto"/>
        <w:right w:val="none" w:sz="0" w:space="0" w:color="auto"/>
      </w:divBdr>
    </w:div>
    <w:div w:id="630944312">
      <w:bodyDiv w:val="1"/>
      <w:marLeft w:val="0"/>
      <w:marRight w:val="0"/>
      <w:marTop w:val="0"/>
      <w:marBottom w:val="0"/>
      <w:divBdr>
        <w:top w:val="none" w:sz="0" w:space="0" w:color="auto"/>
        <w:left w:val="none" w:sz="0" w:space="0" w:color="auto"/>
        <w:bottom w:val="none" w:sz="0" w:space="0" w:color="auto"/>
        <w:right w:val="none" w:sz="0" w:space="0" w:color="auto"/>
      </w:divBdr>
    </w:div>
    <w:div w:id="647440062">
      <w:bodyDiv w:val="1"/>
      <w:marLeft w:val="0"/>
      <w:marRight w:val="0"/>
      <w:marTop w:val="0"/>
      <w:marBottom w:val="0"/>
      <w:divBdr>
        <w:top w:val="none" w:sz="0" w:space="0" w:color="auto"/>
        <w:left w:val="none" w:sz="0" w:space="0" w:color="auto"/>
        <w:bottom w:val="none" w:sz="0" w:space="0" w:color="auto"/>
        <w:right w:val="none" w:sz="0" w:space="0" w:color="auto"/>
      </w:divBdr>
    </w:div>
    <w:div w:id="674577102">
      <w:bodyDiv w:val="1"/>
      <w:marLeft w:val="0"/>
      <w:marRight w:val="0"/>
      <w:marTop w:val="0"/>
      <w:marBottom w:val="0"/>
      <w:divBdr>
        <w:top w:val="none" w:sz="0" w:space="0" w:color="auto"/>
        <w:left w:val="none" w:sz="0" w:space="0" w:color="auto"/>
        <w:bottom w:val="none" w:sz="0" w:space="0" w:color="auto"/>
        <w:right w:val="none" w:sz="0" w:space="0" w:color="auto"/>
      </w:divBdr>
    </w:div>
    <w:div w:id="680737697">
      <w:bodyDiv w:val="1"/>
      <w:marLeft w:val="0"/>
      <w:marRight w:val="0"/>
      <w:marTop w:val="0"/>
      <w:marBottom w:val="0"/>
      <w:divBdr>
        <w:top w:val="none" w:sz="0" w:space="0" w:color="auto"/>
        <w:left w:val="none" w:sz="0" w:space="0" w:color="auto"/>
        <w:bottom w:val="none" w:sz="0" w:space="0" w:color="auto"/>
        <w:right w:val="none" w:sz="0" w:space="0" w:color="auto"/>
      </w:divBdr>
      <w:divsChild>
        <w:div w:id="2081781182">
          <w:marLeft w:val="0"/>
          <w:marRight w:val="0"/>
          <w:marTop w:val="0"/>
          <w:marBottom w:val="0"/>
          <w:divBdr>
            <w:top w:val="none" w:sz="0" w:space="0" w:color="auto"/>
            <w:left w:val="none" w:sz="0" w:space="0" w:color="auto"/>
            <w:bottom w:val="none" w:sz="0" w:space="0" w:color="auto"/>
            <w:right w:val="none" w:sz="0" w:space="0" w:color="auto"/>
          </w:divBdr>
        </w:div>
      </w:divsChild>
    </w:div>
    <w:div w:id="691541704">
      <w:bodyDiv w:val="1"/>
      <w:marLeft w:val="0"/>
      <w:marRight w:val="0"/>
      <w:marTop w:val="0"/>
      <w:marBottom w:val="0"/>
      <w:divBdr>
        <w:top w:val="none" w:sz="0" w:space="0" w:color="auto"/>
        <w:left w:val="none" w:sz="0" w:space="0" w:color="auto"/>
        <w:bottom w:val="none" w:sz="0" w:space="0" w:color="auto"/>
        <w:right w:val="none" w:sz="0" w:space="0" w:color="auto"/>
      </w:divBdr>
    </w:div>
    <w:div w:id="718824851">
      <w:bodyDiv w:val="1"/>
      <w:marLeft w:val="0"/>
      <w:marRight w:val="0"/>
      <w:marTop w:val="0"/>
      <w:marBottom w:val="0"/>
      <w:divBdr>
        <w:top w:val="none" w:sz="0" w:space="0" w:color="auto"/>
        <w:left w:val="none" w:sz="0" w:space="0" w:color="auto"/>
        <w:bottom w:val="none" w:sz="0" w:space="0" w:color="auto"/>
        <w:right w:val="none" w:sz="0" w:space="0" w:color="auto"/>
      </w:divBdr>
    </w:div>
    <w:div w:id="727848326">
      <w:bodyDiv w:val="1"/>
      <w:marLeft w:val="0"/>
      <w:marRight w:val="0"/>
      <w:marTop w:val="0"/>
      <w:marBottom w:val="0"/>
      <w:divBdr>
        <w:top w:val="none" w:sz="0" w:space="0" w:color="auto"/>
        <w:left w:val="none" w:sz="0" w:space="0" w:color="auto"/>
        <w:bottom w:val="none" w:sz="0" w:space="0" w:color="auto"/>
        <w:right w:val="none" w:sz="0" w:space="0" w:color="auto"/>
      </w:divBdr>
    </w:div>
    <w:div w:id="741215761">
      <w:bodyDiv w:val="1"/>
      <w:marLeft w:val="0"/>
      <w:marRight w:val="0"/>
      <w:marTop w:val="0"/>
      <w:marBottom w:val="0"/>
      <w:divBdr>
        <w:top w:val="none" w:sz="0" w:space="0" w:color="auto"/>
        <w:left w:val="none" w:sz="0" w:space="0" w:color="auto"/>
        <w:bottom w:val="none" w:sz="0" w:space="0" w:color="auto"/>
        <w:right w:val="none" w:sz="0" w:space="0" w:color="auto"/>
      </w:divBdr>
    </w:div>
    <w:div w:id="752051394">
      <w:bodyDiv w:val="1"/>
      <w:marLeft w:val="0"/>
      <w:marRight w:val="0"/>
      <w:marTop w:val="0"/>
      <w:marBottom w:val="0"/>
      <w:divBdr>
        <w:top w:val="none" w:sz="0" w:space="0" w:color="auto"/>
        <w:left w:val="none" w:sz="0" w:space="0" w:color="auto"/>
        <w:bottom w:val="none" w:sz="0" w:space="0" w:color="auto"/>
        <w:right w:val="none" w:sz="0" w:space="0" w:color="auto"/>
      </w:divBdr>
    </w:div>
    <w:div w:id="766343197">
      <w:bodyDiv w:val="1"/>
      <w:marLeft w:val="0"/>
      <w:marRight w:val="0"/>
      <w:marTop w:val="0"/>
      <w:marBottom w:val="0"/>
      <w:divBdr>
        <w:top w:val="none" w:sz="0" w:space="0" w:color="auto"/>
        <w:left w:val="none" w:sz="0" w:space="0" w:color="auto"/>
        <w:bottom w:val="none" w:sz="0" w:space="0" w:color="auto"/>
        <w:right w:val="none" w:sz="0" w:space="0" w:color="auto"/>
      </w:divBdr>
      <w:divsChild>
        <w:div w:id="1096436198">
          <w:marLeft w:val="0"/>
          <w:marRight w:val="0"/>
          <w:marTop w:val="0"/>
          <w:marBottom w:val="0"/>
          <w:divBdr>
            <w:top w:val="none" w:sz="0" w:space="0" w:color="auto"/>
            <w:left w:val="none" w:sz="0" w:space="0" w:color="auto"/>
            <w:bottom w:val="none" w:sz="0" w:space="0" w:color="auto"/>
            <w:right w:val="none" w:sz="0" w:space="0" w:color="auto"/>
          </w:divBdr>
          <w:divsChild>
            <w:div w:id="1350451276">
              <w:marLeft w:val="0"/>
              <w:marRight w:val="0"/>
              <w:marTop w:val="0"/>
              <w:marBottom w:val="0"/>
              <w:divBdr>
                <w:top w:val="none" w:sz="0" w:space="0" w:color="auto"/>
                <w:left w:val="none" w:sz="0" w:space="0" w:color="auto"/>
                <w:bottom w:val="none" w:sz="0" w:space="0" w:color="auto"/>
                <w:right w:val="none" w:sz="0" w:space="0" w:color="auto"/>
              </w:divBdr>
              <w:divsChild>
                <w:div w:id="584610376">
                  <w:marLeft w:val="0"/>
                  <w:marRight w:val="0"/>
                  <w:marTop w:val="0"/>
                  <w:marBottom w:val="0"/>
                  <w:divBdr>
                    <w:top w:val="none" w:sz="0" w:space="0" w:color="auto"/>
                    <w:left w:val="none" w:sz="0" w:space="0" w:color="auto"/>
                    <w:bottom w:val="none" w:sz="0" w:space="0" w:color="auto"/>
                    <w:right w:val="none" w:sz="0" w:space="0" w:color="auto"/>
                  </w:divBdr>
                  <w:divsChild>
                    <w:div w:id="158822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477073">
      <w:bodyDiv w:val="1"/>
      <w:marLeft w:val="0"/>
      <w:marRight w:val="0"/>
      <w:marTop w:val="0"/>
      <w:marBottom w:val="0"/>
      <w:divBdr>
        <w:top w:val="none" w:sz="0" w:space="0" w:color="auto"/>
        <w:left w:val="none" w:sz="0" w:space="0" w:color="auto"/>
        <w:bottom w:val="none" w:sz="0" w:space="0" w:color="auto"/>
        <w:right w:val="none" w:sz="0" w:space="0" w:color="auto"/>
      </w:divBdr>
      <w:divsChild>
        <w:div w:id="257909344">
          <w:marLeft w:val="0"/>
          <w:marRight w:val="0"/>
          <w:marTop w:val="0"/>
          <w:marBottom w:val="0"/>
          <w:divBdr>
            <w:top w:val="single" w:sz="2" w:space="0" w:color="E3E3E3"/>
            <w:left w:val="single" w:sz="2" w:space="0" w:color="E3E3E3"/>
            <w:bottom w:val="single" w:sz="2" w:space="0" w:color="E3E3E3"/>
            <w:right w:val="single" w:sz="2" w:space="0" w:color="E3E3E3"/>
          </w:divBdr>
          <w:divsChild>
            <w:div w:id="690225633">
              <w:marLeft w:val="0"/>
              <w:marRight w:val="0"/>
              <w:marTop w:val="100"/>
              <w:marBottom w:val="100"/>
              <w:divBdr>
                <w:top w:val="single" w:sz="2" w:space="0" w:color="E3E3E3"/>
                <w:left w:val="single" w:sz="2" w:space="0" w:color="E3E3E3"/>
                <w:bottom w:val="single" w:sz="2" w:space="0" w:color="E3E3E3"/>
                <w:right w:val="single" w:sz="2" w:space="0" w:color="E3E3E3"/>
              </w:divBdr>
              <w:divsChild>
                <w:div w:id="1577394016">
                  <w:marLeft w:val="0"/>
                  <w:marRight w:val="0"/>
                  <w:marTop w:val="0"/>
                  <w:marBottom w:val="0"/>
                  <w:divBdr>
                    <w:top w:val="single" w:sz="2" w:space="0" w:color="E3E3E3"/>
                    <w:left w:val="single" w:sz="2" w:space="0" w:color="E3E3E3"/>
                    <w:bottom w:val="single" w:sz="2" w:space="0" w:color="E3E3E3"/>
                    <w:right w:val="single" w:sz="2" w:space="0" w:color="E3E3E3"/>
                  </w:divBdr>
                  <w:divsChild>
                    <w:div w:id="98566760">
                      <w:marLeft w:val="0"/>
                      <w:marRight w:val="0"/>
                      <w:marTop w:val="0"/>
                      <w:marBottom w:val="0"/>
                      <w:divBdr>
                        <w:top w:val="single" w:sz="2" w:space="0" w:color="E3E3E3"/>
                        <w:left w:val="single" w:sz="2" w:space="0" w:color="E3E3E3"/>
                        <w:bottom w:val="single" w:sz="2" w:space="0" w:color="E3E3E3"/>
                        <w:right w:val="single" w:sz="2" w:space="0" w:color="E3E3E3"/>
                      </w:divBdr>
                      <w:divsChild>
                        <w:div w:id="735666484">
                          <w:marLeft w:val="0"/>
                          <w:marRight w:val="0"/>
                          <w:marTop w:val="0"/>
                          <w:marBottom w:val="0"/>
                          <w:divBdr>
                            <w:top w:val="single" w:sz="2" w:space="0" w:color="E3E3E3"/>
                            <w:left w:val="single" w:sz="2" w:space="0" w:color="E3E3E3"/>
                            <w:bottom w:val="single" w:sz="2" w:space="0" w:color="E3E3E3"/>
                            <w:right w:val="single" w:sz="2" w:space="0" w:color="E3E3E3"/>
                          </w:divBdr>
                        </w:div>
                        <w:div w:id="827287139">
                          <w:marLeft w:val="0"/>
                          <w:marRight w:val="0"/>
                          <w:marTop w:val="0"/>
                          <w:marBottom w:val="0"/>
                          <w:divBdr>
                            <w:top w:val="single" w:sz="2" w:space="0" w:color="E3E3E3"/>
                            <w:left w:val="single" w:sz="2" w:space="0" w:color="E3E3E3"/>
                            <w:bottom w:val="single" w:sz="2" w:space="0" w:color="E3E3E3"/>
                            <w:right w:val="single" w:sz="2" w:space="0" w:color="E3E3E3"/>
                          </w:divBdr>
                          <w:divsChild>
                            <w:div w:id="1689990736">
                              <w:marLeft w:val="0"/>
                              <w:marRight w:val="0"/>
                              <w:marTop w:val="0"/>
                              <w:marBottom w:val="0"/>
                              <w:divBdr>
                                <w:top w:val="single" w:sz="2" w:space="0" w:color="E3E3E3"/>
                                <w:left w:val="single" w:sz="2" w:space="0" w:color="E3E3E3"/>
                                <w:bottom w:val="single" w:sz="2" w:space="0" w:color="E3E3E3"/>
                                <w:right w:val="single" w:sz="2" w:space="0" w:color="E3E3E3"/>
                              </w:divBdr>
                              <w:divsChild>
                                <w:div w:id="1423648710">
                                  <w:marLeft w:val="0"/>
                                  <w:marRight w:val="0"/>
                                  <w:marTop w:val="0"/>
                                  <w:marBottom w:val="0"/>
                                  <w:divBdr>
                                    <w:top w:val="single" w:sz="2" w:space="0" w:color="E3E3E3"/>
                                    <w:left w:val="single" w:sz="2" w:space="0" w:color="E3E3E3"/>
                                    <w:bottom w:val="single" w:sz="2" w:space="0" w:color="E3E3E3"/>
                                    <w:right w:val="single" w:sz="2" w:space="0" w:color="E3E3E3"/>
                                  </w:divBdr>
                                  <w:divsChild>
                                    <w:div w:id="124842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781267002">
                      <w:marLeft w:val="0"/>
                      <w:marRight w:val="0"/>
                      <w:marTop w:val="0"/>
                      <w:marBottom w:val="0"/>
                      <w:divBdr>
                        <w:top w:val="single" w:sz="2" w:space="0" w:color="E3E3E3"/>
                        <w:left w:val="single" w:sz="2" w:space="0" w:color="E3E3E3"/>
                        <w:bottom w:val="single" w:sz="2" w:space="0" w:color="E3E3E3"/>
                        <w:right w:val="single" w:sz="2" w:space="0" w:color="E3E3E3"/>
                      </w:divBdr>
                      <w:divsChild>
                        <w:div w:id="794252625">
                          <w:marLeft w:val="0"/>
                          <w:marRight w:val="0"/>
                          <w:marTop w:val="0"/>
                          <w:marBottom w:val="0"/>
                          <w:divBdr>
                            <w:top w:val="single" w:sz="2" w:space="0" w:color="E3E3E3"/>
                            <w:left w:val="single" w:sz="2" w:space="0" w:color="E3E3E3"/>
                            <w:bottom w:val="single" w:sz="2" w:space="0" w:color="E3E3E3"/>
                            <w:right w:val="single" w:sz="2" w:space="0" w:color="E3E3E3"/>
                          </w:divBdr>
                          <w:divsChild>
                            <w:div w:id="488865302">
                              <w:marLeft w:val="0"/>
                              <w:marRight w:val="0"/>
                              <w:marTop w:val="0"/>
                              <w:marBottom w:val="0"/>
                              <w:divBdr>
                                <w:top w:val="single" w:sz="2" w:space="0" w:color="E3E3E3"/>
                                <w:left w:val="single" w:sz="2" w:space="0" w:color="E3E3E3"/>
                                <w:bottom w:val="single" w:sz="2" w:space="0" w:color="E3E3E3"/>
                                <w:right w:val="single" w:sz="2" w:space="0" w:color="E3E3E3"/>
                              </w:divBdr>
                              <w:divsChild>
                                <w:div w:id="1502163775">
                                  <w:marLeft w:val="0"/>
                                  <w:marRight w:val="0"/>
                                  <w:marTop w:val="0"/>
                                  <w:marBottom w:val="0"/>
                                  <w:divBdr>
                                    <w:top w:val="single" w:sz="2" w:space="0" w:color="E3E3E3"/>
                                    <w:left w:val="single" w:sz="2" w:space="0" w:color="E3E3E3"/>
                                    <w:bottom w:val="single" w:sz="2" w:space="0" w:color="E3E3E3"/>
                                    <w:right w:val="single" w:sz="2" w:space="0" w:color="E3E3E3"/>
                                  </w:divBdr>
                                  <w:divsChild>
                                    <w:div w:id="15667184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3715252">
          <w:marLeft w:val="0"/>
          <w:marRight w:val="0"/>
          <w:marTop w:val="0"/>
          <w:marBottom w:val="0"/>
          <w:divBdr>
            <w:top w:val="single" w:sz="2" w:space="0" w:color="E3E3E3"/>
            <w:left w:val="single" w:sz="2" w:space="0" w:color="E3E3E3"/>
            <w:bottom w:val="single" w:sz="2" w:space="0" w:color="E3E3E3"/>
            <w:right w:val="single" w:sz="2" w:space="0" w:color="E3E3E3"/>
          </w:divBdr>
          <w:divsChild>
            <w:div w:id="973557173">
              <w:marLeft w:val="0"/>
              <w:marRight w:val="0"/>
              <w:marTop w:val="100"/>
              <w:marBottom w:val="100"/>
              <w:divBdr>
                <w:top w:val="single" w:sz="2" w:space="0" w:color="E3E3E3"/>
                <w:left w:val="single" w:sz="2" w:space="0" w:color="E3E3E3"/>
                <w:bottom w:val="single" w:sz="2" w:space="0" w:color="E3E3E3"/>
                <w:right w:val="single" w:sz="2" w:space="0" w:color="E3E3E3"/>
              </w:divBdr>
              <w:divsChild>
                <w:div w:id="1256018741">
                  <w:marLeft w:val="0"/>
                  <w:marRight w:val="0"/>
                  <w:marTop w:val="0"/>
                  <w:marBottom w:val="0"/>
                  <w:divBdr>
                    <w:top w:val="single" w:sz="2" w:space="0" w:color="E3E3E3"/>
                    <w:left w:val="single" w:sz="2" w:space="0" w:color="E3E3E3"/>
                    <w:bottom w:val="single" w:sz="2" w:space="0" w:color="E3E3E3"/>
                    <w:right w:val="single" w:sz="2" w:space="0" w:color="E3E3E3"/>
                  </w:divBdr>
                  <w:divsChild>
                    <w:div w:id="1087654769">
                      <w:marLeft w:val="0"/>
                      <w:marRight w:val="0"/>
                      <w:marTop w:val="0"/>
                      <w:marBottom w:val="0"/>
                      <w:divBdr>
                        <w:top w:val="single" w:sz="2" w:space="0" w:color="E3E3E3"/>
                        <w:left w:val="single" w:sz="2" w:space="0" w:color="E3E3E3"/>
                        <w:bottom w:val="single" w:sz="2" w:space="0" w:color="E3E3E3"/>
                        <w:right w:val="single" w:sz="2" w:space="0" w:color="E3E3E3"/>
                      </w:divBdr>
                      <w:divsChild>
                        <w:div w:id="286133134">
                          <w:marLeft w:val="0"/>
                          <w:marRight w:val="0"/>
                          <w:marTop w:val="0"/>
                          <w:marBottom w:val="0"/>
                          <w:divBdr>
                            <w:top w:val="single" w:sz="2" w:space="0" w:color="E3E3E3"/>
                            <w:left w:val="single" w:sz="2" w:space="0" w:color="E3E3E3"/>
                            <w:bottom w:val="single" w:sz="2" w:space="0" w:color="E3E3E3"/>
                            <w:right w:val="single" w:sz="2" w:space="0" w:color="E3E3E3"/>
                          </w:divBdr>
                          <w:divsChild>
                            <w:div w:id="180749249">
                              <w:marLeft w:val="0"/>
                              <w:marRight w:val="0"/>
                              <w:marTop w:val="0"/>
                              <w:marBottom w:val="0"/>
                              <w:divBdr>
                                <w:top w:val="single" w:sz="2" w:space="0" w:color="E3E3E3"/>
                                <w:left w:val="single" w:sz="2" w:space="0" w:color="E3E3E3"/>
                                <w:bottom w:val="single" w:sz="2" w:space="0" w:color="E3E3E3"/>
                                <w:right w:val="single" w:sz="2" w:space="0" w:color="E3E3E3"/>
                              </w:divBdr>
                              <w:divsChild>
                                <w:div w:id="1085565286">
                                  <w:marLeft w:val="0"/>
                                  <w:marRight w:val="0"/>
                                  <w:marTop w:val="0"/>
                                  <w:marBottom w:val="0"/>
                                  <w:divBdr>
                                    <w:top w:val="single" w:sz="2" w:space="0" w:color="E3E3E3"/>
                                    <w:left w:val="single" w:sz="2" w:space="0" w:color="E3E3E3"/>
                                    <w:bottom w:val="single" w:sz="2" w:space="0" w:color="E3E3E3"/>
                                    <w:right w:val="single" w:sz="2" w:space="0" w:color="E3E3E3"/>
                                  </w:divBdr>
                                  <w:divsChild>
                                    <w:div w:id="1818181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75101300">
      <w:bodyDiv w:val="1"/>
      <w:marLeft w:val="0"/>
      <w:marRight w:val="0"/>
      <w:marTop w:val="0"/>
      <w:marBottom w:val="0"/>
      <w:divBdr>
        <w:top w:val="none" w:sz="0" w:space="0" w:color="auto"/>
        <w:left w:val="none" w:sz="0" w:space="0" w:color="auto"/>
        <w:bottom w:val="none" w:sz="0" w:space="0" w:color="auto"/>
        <w:right w:val="none" w:sz="0" w:space="0" w:color="auto"/>
      </w:divBdr>
    </w:div>
    <w:div w:id="790242371">
      <w:bodyDiv w:val="1"/>
      <w:marLeft w:val="0"/>
      <w:marRight w:val="0"/>
      <w:marTop w:val="0"/>
      <w:marBottom w:val="0"/>
      <w:divBdr>
        <w:top w:val="none" w:sz="0" w:space="0" w:color="auto"/>
        <w:left w:val="none" w:sz="0" w:space="0" w:color="auto"/>
        <w:bottom w:val="none" w:sz="0" w:space="0" w:color="auto"/>
        <w:right w:val="none" w:sz="0" w:space="0" w:color="auto"/>
      </w:divBdr>
    </w:div>
    <w:div w:id="794101101">
      <w:bodyDiv w:val="1"/>
      <w:marLeft w:val="0"/>
      <w:marRight w:val="0"/>
      <w:marTop w:val="0"/>
      <w:marBottom w:val="0"/>
      <w:divBdr>
        <w:top w:val="none" w:sz="0" w:space="0" w:color="auto"/>
        <w:left w:val="none" w:sz="0" w:space="0" w:color="auto"/>
        <w:bottom w:val="none" w:sz="0" w:space="0" w:color="auto"/>
        <w:right w:val="none" w:sz="0" w:space="0" w:color="auto"/>
      </w:divBdr>
    </w:div>
    <w:div w:id="808279129">
      <w:bodyDiv w:val="1"/>
      <w:marLeft w:val="0"/>
      <w:marRight w:val="0"/>
      <w:marTop w:val="0"/>
      <w:marBottom w:val="0"/>
      <w:divBdr>
        <w:top w:val="none" w:sz="0" w:space="0" w:color="auto"/>
        <w:left w:val="none" w:sz="0" w:space="0" w:color="auto"/>
        <w:bottom w:val="none" w:sz="0" w:space="0" w:color="auto"/>
        <w:right w:val="none" w:sz="0" w:space="0" w:color="auto"/>
      </w:divBdr>
    </w:div>
    <w:div w:id="843864159">
      <w:bodyDiv w:val="1"/>
      <w:marLeft w:val="0"/>
      <w:marRight w:val="0"/>
      <w:marTop w:val="0"/>
      <w:marBottom w:val="0"/>
      <w:divBdr>
        <w:top w:val="none" w:sz="0" w:space="0" w:color="auto"/>
        <w:left w:val="none" w:sz="0" w:space="0" w:color="auto"/>
        <w:bottom w:val="none" w:sz="0" w:space="0" w:color="auto"/>
        <w:right w:val="none" w:sz="0" w:space="0" w:color="auto"/>
      </w:divBdr>
    </w:div>
    <w:div w:id="864904980">
      <w:bodyDiv w:val="1"/>
      <w:marLeft w:val="0"/>
      <w:marRight w:val="0"/>
      <w:marTop w:val="0"/>
      <w:marBottom w:val="0"/>
      <w:divBdr>
        <w:top w:val="none" w:sz="0" w:space="0" w:color="auto"/>
        <w:left w:val="none" w:sz="0" w:space="0" w:color="auto"/>
        <w:bottom w:val="none" w:sz="0" w:space="0" w:color="auto"/>
        <w:right w:val="none" w:sz="0" w:space="0" w:color="auto"/>
      </w:divBdr>
    </w:div>
    <w:div w:id="878594094">
      <w:bodyDiv w:val="1"/>
      <w:marLeft w:val="0"/>
      <w:marRight w:val="0"/>
      <w:marTop w:val="0"/>
      <w:marBottom w:val="0"/>
      <w:divBdr>
        <w:top w:val="none" w:sz="0" w:space="0" w:color="auto"/>
        <w:left w:val="none" w:sz="0" w:space="0" w:color="auto"/>
        <w:bottom w:val="none" w:sz="0" w:space="0" w:color="auto"/>
        <w:right w:val="none" w:sz="0" w:space="0" w:color="auto"/>
      </w:divBdr>
    </w:div>
    <w:div w:id="889000167">
      <w:bodyDiv w:val="1"/>
      <w:marLeft w:val="0"/>
      <w:marRight w:val="0"/>
      <w:marTop w:val="0"/>
      <w:marBottom w:val="0"/>
      <w:divBdr>
        <w:top w:val="none" w:sz="0" w:space="0" w:color="auto"/>
        <w:left w:val="none" w:sz="0" w:space="0" w:color="auto"/>
        <w:bottom w:val="none" w:sz="0" w:space="0" w:color="auto"/>
        <w:right w:val="none" w:sz="0" w:space="0" w:color="auto"/>
      </w:divBdr>
    </w:div>
    <w:div w:id="893469618">
      <w:bodyDiv w:val="1"/>
      <w:marLeft w:val="0"/>
      <w:marRight w:val="0"/>
      <w:marTop w:val="0"/>
      <w:marBottom w:val="0"/>
      <w:divBdr>
        <w:top w:val="none" w:sz="0" w:space="0" w:color="auto"/>
        <w:left w:val="none" w:sz="0" w:space="0" w:color="auto"/>
        <w:bottom w:val="none" w:sz="0" w:space="0" w:color="auto"/>
        <w:right w:val="none" w:sz="0" w:space="0" w:color="auto"/>
      </w:divBdr>
    </w:div>
    <w:div w:id="894314367">
      <w:bodyDiv w:val="1"/>
      <w:marLeft w:val="0"/>
      <w:marRight w:val="0"/>
      <w:marTop w:val="0"/>
      <w:marBottom w:val="0"/>
      <w:divBdr>
        <w:top w:val="none" w:sz="0" w:space="0" w:color="auto"/>
        <w:left w:val="none" w:sz="0" w:space="0" w:color="auto"/>
        <w:bottom w:val="none" w:sz="0" w:space="0" w:color="auto"/>
        <w:right w:val="none" w:sz="0" w:space="0" w:color="auto"/>
      </w:divBdr>
    </w:div>
    <w:div w:id="894659891">
      <w:bodyDiv w:val="1"/>
      <w:marLeft w:val="0"/>
      <w:marRight w:val="0"/>
      <w:marTop w:val="0"/>
      <w:marBottom w:val="0"/>
      <w:divBdr>
        <w:top w:val="none" w:sz="0" w:space="0" w:color="auto"/>
        <w:left w:val="none" w:sz="0" w:space="0" w:color="auto"/>
        <w:bottom w:val="none" w:sz="0" w:space="0" w:color="auto"/>
        <w:right w:val="none" w:sz="0" w:space="0" w:color="auto"/>
      </w:divBdr>
    </w:div>
    <w:div w:id="899514363">
      <w:bodyDiv w:val="1"/>
      <w:marLeft w:val="0"/>
      <w:marRight w:val="0"/>
      <w:marTop w:val="0"/>
      <w:marBottom w:val="0"/>
      <w:divBdr>
        <w:top w:val="none" w:sz="0" w:space="0" w:color="auto"/>
        <w:left w:val="none" w:sz="0" w:space="0" w:color="auto"/>
        <w:bottom w:val="none" w:sz="0" w:space="0" w:color="auto"/>
        <w:right w:val="none" w:sz="0" w:space="0" w:color="auto"/>
      </w:divBdr>
    </w:div>
    <w:div w:id="901794004">
      <w:bodyDiv w:val="1"/>
      <w:marLeft w:val="0"/>
      <w:marRight w:val="0"/>
      <w:marTop w:val="0"/>
      <w:marBottom w:val="0"/>
      <w:divBdr>
        <w:top w:val="none" w:sz="0" w:space="0" w:color="auto"/>
        <w:left w:val="none" w:sz="0" w:space="0" w:color="auto"/>
        <w:bottom w:val="none" w:sz="0" w:space="0" w:color="auto"/>
        <w:right w:val="none" w:sz="0" w:space="0" w:color="auto"/>
      </w:divBdr>
      <w:divsChild>
        <w:div w:id="45839970">
          <w:marLeft w:val="0"/>
          <w:marRight w:val="0"/>
          <w:marTop w:val="0"/>
          <w:marBottom w:val="0"/>
          <w:divBdr>
            <w:top w:val="none" w:sz="0" w:space="0" w:color="auto"/>
            <w:left w:val="none" w:sz="0" w:space="0" w:color="auto"/>
            <w:bottom w:val="none" w:sz="0" w:space="0" w:color="auto"/>
            <w:right w:val="none" w:sz="0" w:space="0" w:color="auto"/>
          </w:divBdr>
        </w:div>
        <w:div w:id="1152481348">
          <w:marLeft w:val="0"/>
          <w:marRight w:val="0"/>
          <w:marTop w:val="0"/>
          <w:marBottom w:val="0"/>
          <w:divBdr>
            <w:top w:val="single" w:sz="2" w:space="0" w:color="E3E3E3"/>
            <w:left w:val="single" w:sz="2" w:space="0" w:color="E3E3E3"/>
            <w:bottom w:val="single" w:sz="2" w:space="0" w:color="E3E3E3"/>
            <w:right w:val="single" w:sz="2" w:space="0" w:color="E3E3E3"/>
          </w:divBdr>
          <w:divsChild>
            <w:div w:id="602303871">
              <w:marLeft w:val="0"/>
              <w:marRight w:val="0"/>
              <w:marTop w:val="0"/>
              <w:marBottom w:val="0"/>
              <w:divBdr>
                <w:top w:val="single" w:sz="2" w:space="0" w:color="E3E3E3"/>
                <w:left w:val="single" w:sz="2" w:space="0" w:color="E3E3E3"/>
                <w:bottom w:val="single" w:sz="2" w:space="0" w:color="E3E3E3"/>
                <w:right w:val="single" w:sz="2" w:space="0" w:color="E3E3E3"/>
              </w:divBdr>
              <w:divsChild>
                <w:div w:id="1326470171">
                  <w:marLeft w:val="0"/>
                  <w:marRight w:val="0"/>
                  <w:marTop w:val="0"/>
                  <w:marBottom w:val="0"/>
                  <w:divBdr>
                    <w:top w:val="single" w:sz="2" w:space="0" w:color="E3E3E3"/>
                    <w:left w:val="single" w:sz="2" w:space="0" w:color="E3E3E3"/>
                    <w:bottom w:val="single" w:sz="2" w:space="0" w:color="E3E3E3"/>
                    <w:right w:val="single" w:sz="2" w:space="0" w:color="E3E3E3"/>
                  </w:divBdr>
                  <w:divsChild>
                    <w:div w:id="841819818">
                      <w:marLeft w:val="0"/>
                      <w:marRight w:val="0"/>
                      <w:marTop w:val="0"/>
                      <w:marBottom w:val="0"/>
                      <w:divBdr>
                        <w:top w:val="single" w:sz="2" w:space="0" w:color="E3E3E3"/>
                        <w:left w:val="single" w:sz="2" w:space="0" w:color="E3E3E3"/>
                        <w:bottom w:val="single" w:sz="2" w:space="0" w:color="E3E3E3"/>
                        <w:right w:val="single" w:sz="2" w:space="0" w:color="E3E3E3"/>
                      </w:divBdr>
                      <w:divsChild>
                        <w:div w:id="1780103367">
                          <w:marLeft w:val="0"/>
                          <w:marRight w:val="0"/>
                          <w:marTop w:val="0"/>
                          <w:marBottom w:val="0"/>
                          <w:divBdr>
                            <w:top w:val="single" w:sz="2" w:space="0" w:color="E3E3E3"/>
                            <w:left w:val="single" w:sz="2" w:space="0" w:color="E3E3E3"/>
                            <w:bottom w:val="single" w:sz="2" w:space="0" w:color="E3E3E3"/>
                            <w:right w:val="single" w:sz="2" w:space="0" w:color="E3E3E3"/>
                          </w:divBdr>
                          <w:divsChild>
                            <w:div w:id="474225565">
                              <w:marLeft w:val="0"/>
                              <w:marRight w:val="0"/>
                              <w:marTop w:val="0"/>
                              <w:marBottom w:val="0"/>
                              <w:divBdr>
                                <w:top w:val="single" w:sz="2" w:space="0" w:color="E3E3E3"/>
                                <w:left w:val="single" w:sz="2" w:space="0" w:color="E3E3E3"/>
                                <w:bottom w:val="single" w:sz="2" w:space="0" w:color="E3E3E3"/>
                                <w:right w:val="single" w:sz="2" w:space="0" w:color="E3E3E3"/>
                              </w:divBdr>
                              <w:divsChild>
                                <w:div w:id="2114737178">
                                  <w:marLeft w:val="0"/>
                                  <w:marRight w:val="0"/>
                                  <w:marTop w:val="100"/>
                                  <w:marBottom w:val="100"/>
                                  <w:divBdr>
                                    <w:top w:val="single" w:sz="2" w:space="0" w:color="E3E3E3"/>
                                    <w:left w:val="single" w:sz="2" w:space="0" w:color="E3E3E3"/>
                                    <w:bottom w:val="single" w:sz="2" w:space="0" w:color="E3E3E3"/>
                                    <w:right w:val="single" w:sz="2" w:space="0" w:color="E3E3E3"/>
                                  </w:divBdr>
                                  <w:divsChild>
                                    <w:div w:id="1297950295">
                                      <w:marLeft w:val="0"/>
                                      <w:marRight w:val="0"/>
                                      <w:marTop w:val="0"/>
                                      <w:marBottom w:val="0"/>
                                      <w:divBdr>
                                        <w:top w:val="single" w:sz="2" w:space="0" w:color="E3E3E3"/>
                                        <w:left w:val="single" w:sz="2" w:space="0" w:color="E3E3E3"/>
                                        <w:bottom w:val="single" w:sz="2" w:space="0" w:color="E3E3E3"/>
                                        <w:right w:val="single" w:sz="2" w:space="0" w:color="E3E3E3"/>
                                      </w:divBdr>
                                      <w:divsChild>
                                        <w:div w:id="1840651438">
                                          <w:marLeft w:val="0"/>
                                          <w:marRight w:val="0"/>
                                          <w:marTop w:val="0"/>
                                          <w:marBottom w:val="0"/>
                                          <w:divBdr>
                                            <w:top w:val="single" w:sz="2" w:space="0" w:color="E3E3E3"/>
                                            <w:left w:val="single" w:sz="2" w:space="0" w:color="E3E3E3"/>
                                            <w:bottom w:val="single" w:sz="2" w:space="0" w:color="E3E3E3"/>
                                            <w:right w:val="single" w:sz="2" w:space="0" w:color="E3E3E3"/>
                                          </w:divBdr>
                                          <w:divsChild>
                                            <w:div w:id="735469044">
                                              <w:marLeft w:val="0"/>
                                              <w:marRight w:val="0"/>
                                              <w:marTop w:val="0"/>
                                              <w:marBottom w:val="0"/>
                                              <w:divBdr>
                                                <w:top w:val="single" w:sz="2" w:space="0" w:color="E3E3E3"/>
                                                <w:left w:val="single" w:sz="2" w:space="0" w:color="E3E3E3"/>
                                                <w:bottom w:val="single" w:sz="2" w:space="0" w:color="E3E3E3"/>
                                                <w:right w:val="single" w:sz="2" w:space="0" w:color="E3E3E3"/>
                                              </w:divBdr>
                                              <w:divsChild>
                                                <w:div w:id="1444685621">
                                                  <w:marLeft w:val="0"/>
                                                  <w:marRight w:val="0"/>
                                                  <w:marTop w:val="0"/>
                                                  <w:marBottom w:val="0"/>
                                                  <w:divBdr>
                                                    <w:top w:val="single" w:sz="2" w:space="0" w:color="E3E3E3"/>
                                                    <w:left w:val="single" w:sz="2" w:space="0" w:color="E3E3E3"/>
                                                    <w:bottom w:val="single" w:sz="2" w:space="0" w:color="E3E3E3"/>
                                                    <w:right w:val="single" w:sz="2" w:space="0" w:color="E3E3E3"/>
                                                  </w:divBdr>
                                                  <w:divsChild>
                                                    <w:div w:id="1660108613">
                                                      <w:marLeft w:val="0"/>
                                                      <w:marRight w:val="0"/>
                                                      <w:marTop w:val="0"/>
                                                      <w:marBottom w:val="0"/>
                                                      <w:divBdr>
                                                        <w:top w:val="single" w:sz="2" w:space="0" w:color="E3E3E3"/>
                                                        <w:left w:val="single" w:sz="2" w:space="0" w:color="E3E3E3"/>
                                                        <w:bottom w:val="single" w:sz="2" w:space="0" w:color="E3E3E3"/>
                                                        <w:right w:val="single" w:sz="2" w:space="0" w:color="E3E3E3"/>
                                                      </w:divBdr>
                                                      <w:divsChild>
                                                        <w:div w:id="1936742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907302939">
      <w:bodyDiv w:val="1"/>
      <w:marLeft w:val="0"/>
      <w:marRight w:val="0"/>
      <w:marTop w:val="0"/>
      <w:marBottom w:val="0"/>
      <w:divBdr>
        <w:top w:val="none" w:sz="0" w:space="0" w:color="auto"/>
        <w:left w:val="none" w:sz="0" w:space="0" w:color="auto"/>
        <w:bottom w:val="none" w:sz="0" w:space="0" w:color="auto"/>
        <w:right w:val="none" w:sz="0" w:space="0" w:color="auto"/>
      </w:divBdr>
    </w:div>
    <w:div w:id="907422923">
      <w:bodyDiv w:val="1"/>
      <w:marLeft w:val="0"/>
      <w:marRight w:val="0"/>
      <w:marTop w:val="0"/>
      <w:marBottom w:val="0"/>
      <w:divBdr>
        <w:top w:val="none" w:sz="0" w:space="0" w:color="auto"/>
        <w:left w:val="none" w:sz="0" w:space="0" w:color="auto"/>
        <w:bottom w:val="none" w:sz="0" w:space="0" w:color="auto"/>
        <w:right w:val="none" w:sz="0" w:space="0" w:color="auto"/>
      </w:divBdr>
    </w:div>
    <w:div w:id="916672395">
      <w:bodyDiv w:val="1"/>
      <w:marLeft w:val="0"/>
      <w:marRight w:val="0"/>
      <w:marTop w:val="0"/>
      <w:marBottom w:val="0"/>
      <w:divBdr>
        <w:top w:val="none" w:sz="0" w:space="0" w:color="auto"/>
        <w:left w:val="none" w:sz="0" w:space="0" w:color="auto"/>
        <w:bottom w:val="none" w:sz="0" w:space="0" w:color="auto"/>
        <w:right w:val="none" w:sz="0" w:space="0" w:color="auto"/>
      </w:divBdr>
    </w:div>
    <w:div w:id="937061482">
      <w:bodyDiv w:val="1"/>
      <w:marLeft w:val="0"/>
      <w:marRight w:val="0"/>
      <w:marTop w:val="0"/>
      <w:marBottom w:val="0"/>
      <w:divBdr>
        <w:top w:val="none" w:sz="0" w:space="0" w:color="auto"/>
        <w:left w:val="none" w:sz="0" w:space="0" w:color="auto"/>
        <w:bottom w:val="none" w:sz="0" w:space="0" w:color="auto"/>
        <w:right w:val="none" w:sz="0" w:space="0" w:color="auto"/>
      </w:divBdr>
    </w:div>
    <w:div w:id="939021627">
      <w:bodyDiv w:val="1"/>
      <w:marLeft w:val="0"/>
      <w:marRight w:val="0"/>
      <w:marTop w:val="0"/>
      <w:marBottom w:val="0"/>
      <w:divBdr>
        <w:top w:val="none" w:sz="0" w:space="0" w:color="auto"/>
        <w:left w:val="none" w:sz="0" w:space="0" w:color="auto"/>
        <w:bottom w:val="none" w:sz="0" w:space="0" w:color="auto"/>
        <w:right w:val="none" w:sz="0" w:space="0" w:color="auto"/>
      </w:divBdr>
    </w:div>
    <w:div w:id="943150630">
      <w:bodyDiv w:val="1"/>
      <w:marLeft w:val="0"/>
      <w:marRight w:val="0"/>
      <w:marTop w:val="0"/>
      <w:marBottom w:val="0"/>
      <w:divBdr>
        <w:top w:val="none" w:sz="0" w:space="0" w:color="auto"/>
        <w:left w:val="none" w:sz="0" w:space="0" w:color="auto"/>
        <w:bottom w:val="none" w:sz="0" w:space="0" w:color="auto"/>
        <w:right w:val="none" w:sz="0" w:space="0" w:color="auto"/>
      </w:divBdr>
    </w:div>
    <w:div w:id="952903002">
      <w:bodyDiv w:val="1"/>
      <w:marLeft w:val="0"/>
      <w:marRight w:val="0"/>
      <w:marTop w:val="0"/>
      <w:marBottom w:val="0"/>
      <w:divBdr>
        <w:top w:val="none" w:sz="0" w:space="0" w:color="auto"/>
        <w:left w:val="none" w:sz="0" w:space="0" w:color="auto"/>
        <w:bottom w:val="none" w:sz="0" w:space="0" w:color="auto"/>
        <w:right w:val="none" w:sz="0" w:space="0" w:color="auto"/>
      </w:divBdr>
    </w:div>
    <w:div w:id="953176498">
      <w:bodyDiv w:val="1"/>
      <w:marLeft w:val="0"/>
      <w:marRight w:val="0"/>
      <w:marTop w:val="0"/>
      <w:marBottom w:val="0"/>
      <w:divBdr>
        <w:top w:val="none" w:sz="0" w:space="0" w:color="auto"/>
        <w:left w:val="none" w:sz="0" w:space="0" w:color="auto"/>
        <w:bottom w:val="none" w:sz="0" w:space="0" w:color="auto"/>
        <w:right w:val="none" w:sz="0" w:space="0" w:color="auto"/>
      </w:divBdr>
    </w:div>
    <w:div w:id="957027097">
      <w:bodyDiv w:val="1"/>
      <w:marLeft w:val="0"/>
      <w:marRight w:val="0"/>
      <w:marTop w:val="0"/>
      <w:marBottom w:val="0"/>
      <w:divBdr>
        <w:top w:val="none" w:sz="0" w:space="0" w:color="auto"/>
        <w:left w:val="none" w:sz="0" w:space="0" w:color="auto"/>
        <w:bottom w:val="none" w:sz="0" w:space="0" w:color="auto"/>
        <w:right w:val="none" w:sz="0" w:space="0" w:color="auto"/>
      </w:divBdr>
    </w:div>
    <w:div w:id="965818504">
      <w:bodyDiv w:val="1"/>
      <w:marLeft w:val="0"/>
      <w:marRight w:val="0"/>
      <w:marTop w:val="0"/>
      <w:marBottom w:val="0"/>
      <w:divBdr>
        <w:top w:val="none" w:sz="0" w:space="0" w:color="auto"/>
        <w:left w:val="none" w:sz="0" w:space="0" w:color="auto"/>
        <w:bottom w:val="none" w:sz="0" w:space="0" w:color="auto"/>
        <w:right w:val="none" w:sz="0" w:space="0" w:color="auto"/>
      </w:divBdr>
    </w:div>
    <w:div w:id="973292917">
      <w:bodyDiv w:val="1"/>
      <w:marLeft w:val="0"/>
      <w:marRight w:val="0"/>
      <w:marTop w:val="0"/>
      <w:marBottom w:val="0"/>
      <w:divBdr>
        <w:top w:val="none" w:sz="0" w:space="0" w:color="auto"/>
        <w:left w:val="none" w:sz="0" w:space="0" w:color="auto"/>
        <w:bottom w:val="none" w:sz="0" w:space="0" w:color="auto"/>
        <w:right w:val="none" w:sz="0" w:space="0" w:color="auto"/>
      </w:divBdr>
    </w:div>
    <w:div w:id="996225588">
      <w:bodyDiv w:val="1"/>
      <w:marLeft w:val="0"/>
      <w:marRight w:val="0"/>
      <w:marTop w:val="0"/>
      <w:marBottom w:val="0"/>
      <w:divBdr>
        <w:top w:val="none" w:sz="0" w:space="0" w:color="auto"/>
        <w:left w:val="none" w:sz="0" w:space="0" w:color="auto"/>
        <w:bottom w:val="none" w:sz="0" w:space="0" w:color="auto"/>
        <w:right w:val="none" w:sz="0" w:space="0" w:color="auto"/>
      </w:divBdr>
    </w:div>
    <w:div w:id="998075571">
      <w:bodyDiv w:val="1"/>
      <w:marLeft w:val="0"/>
      <w:marRight w:val="0"/>
      <w:marTop w:val="0"/>
      <w:marBottom w:val="0"/>
      <w:divBdr>
        <w:top w:val="none" w:sz="0" w:space="0" w:color="auto"/>
        <w:left w:val="none" w:sz="0" w:space="0" w:color="auto"/>
        <w:bottom w:val="none" w:sz="0" w:space="0" w:color="auto"/>
        <w:right w:val="none" w:sz="0" w:space="0" w:color="auto"/>
      </w:divBdr>
    </w:div>
    <w:div w:id="1000278523">
      <w:bodyDiv w:val="1"/>
      <w:marLeft w:val="0"/>
      <w:marRight w:val="0"/>
      <w:marTop w:val="0"/>
      <w:marBottom w:val="0"/>
      <w:divBdr>
        <w:top w:val="none" w:sz="0" w:space="0" w:color="auto"/>
        <w:left w:val="none" w:sz="0" w:space="0" w:color="auto"/>
        <w:bottom w:val="none" w:sz="0" w:space="0" w:color="auto"/>
        <w:right w:val="none" w:sz="0" w:space="0" w:color="auto"/>
      </w:divBdr>
    </w:div>
    <w:div w:id="1002010474">
      <w:bodyDiv w:val="1"/>
      <w:marLeft w:val="0"/>
      <w:marRight w:val="0"/>
      <w:marTop w:val="0"/>
      <w:marBottom w:val="0"/>
      <w:divBdr>
        <w:top w:val="none" w:sz="0" w:space="0" w:color="auto"/>
        <w:left w:val="none" w:sz="0" w:space="0" w:color="auto"/>
        <w:bottom w:val="none" w:sz="0" w:space="0" w:color="auto"/>
        <w:right w:val="none" w:sz="0" w:space="0" w:color="auto"/>
      </w:divBdr>
    </w:div>
    <w:div w:id="1007446639">
      <w:bodyDiv w:val="1"/>
      <w:marLeft w:val="0"/>
      <w:marRight w:val="0"/>
      <w:marTop w:val="0"/>
      <w:marBottom w:val="0"/>
      <w:divBdr>
        <w:top w:val="none" w:sz="0" w:space="0" w:color="auto"/>
        <w:left w:val="none" w:sz="0" w:space="0" w:color="auto"/>
        <w:bottom w:val="none" w:sz="0" w:space="0" w:color="auto"/>
        <w:right w:val="none" w:sz="0" w:space="0" w:color="auto"/>
      </w:divBdr>
    </w:div>
    <w:div w:id="1028482447">
      <w:bodyDiv w:val="1"/>
      <w:marLeft w:val="0"/>
      <w:marRight w:val="0"/>
      <w:marTop w:val="0"/>
      <w:marBottom w:val="0"/>
      <w:divBdr>
        <w:top w:val="none" w:sz="0" w:space="0" w:color="auto"/>
        <w:left w:val="none" w:sz="0" w:space="0" w:color="auto"/>
        <w:bottom w:val="none" w:sz="0" w:space="0" w:color="auto"/>
        <w:right w:val="none" w:sz="0" w:space="0" w:color="auto"/>
      </w:divBdr>
    </w:div>
    <w:div w:id="1034424094">
      <w:bodyDiv w:val="1"/>
      <w:marLeft w:val="0"/>
      <w:marRight w:val="0"/>
      <w:marTop w:val="0"/>
      <w:marBottom w:val="0"/>
      <w:divBdr>
        <w:top w:val="none" w:sz="0" w:space="0" w:color="auto"/>
        <w:left w:val="none" w:sz="0" w:space="0" w:color="auto"/>
        <w:bottom w:val="none" w:sz="0" w:space="0" w:color="auto"/>
        <w:right w:val="none" w:sz="0" w:space="0" w:color="auto"/>
      </w:divBdr>
    </w:div>
    <w:div w:id="1037584924">
      <w:bodyDiv w:val="1"/>
      <w:marLeft w:val="0"/>
      <w:marRight w:val="0"/>
      <w:marTop w:val="0"/>
      <w:marBottom w:val="0"/>
      <w:divBdr>
        <w:top w:val="none" w:sz="0" w:space="0" w:color="auto"/>
        <w:left w:val="none" w:sz="0" w:space="0" w:color="auto"/>
        <w:bottom w:val="none" w:sz="0" w:space="0" w:color="auto"/>
        <w:right w:val="none" w:sz="0" w:space="0" w:color="auto"/>
      </w:divBdr>
    </w:div>
    <w:div w:id="1078941067">
      <w:bodyDiv w:val="1"/>
      <w:marLeft w:val="0"/>
      <w:marRight w:val="0"/>
      <w:marTop w:val="0"/>
      <w:marBottom w:val="0"/>
      <w:divBdr>
        <w:top w:val="none" w:sz="0" w:space="0" w:color="auto"/>
        <w:left w:val="none" w:sz="0" w:space="0" w:color="auto"/>
        <w:bottom w:val="none" w:sz="0" w:space="0" w:color="auto"/>
        <w:right w:val="none" w:sz="0" w:space="0" w:color="auto"/>
      </w:divBdr>
      <w:divsChild>
        <w:div w:id="2007321420">
          <w:marLeft w:val="0"/>
          <w:marRight w:val="0"/>
          <w:marTop w:val="0"/>
          <w:marBottom w:val="0"/>
          <w:divBdr>
            <w:top w:val="none" w:sz="0" w:space="0" w:color="auto"/>
            <w:left w:val="none" w:sz="0" w:space="0" w:color="auto"/>
            <w:bottom w:val="none" w:sz="0" w:space="0" w:color="auto"/>
            <w:right w:val="none" w:sz="0" w:space="0" w:color="auto"/>
          </w:divBdr>
        </w:div>
      </w:divsChild>
    </w:div>
    <w:div w:id="1081027103">
      <w:bodyDiv w:val="1"/>
      <w:marLeft w:val="0"/>
      <w:marRight w:val="0"/>
      <w:marTop w:val="0"/>
      <w:marBottom w:val="0"/>
      <w:divBdr>
        <w:top w:val="none" w:sz="0" w:space="0" w:color="auto"/>
        <w:left w:val="none" w:sz="0" w:space="0" w:color="auto"/>
        <w:bottom w:val="none" w:sz="0" w:space="0" w:color="auto"/>
        <w:right w:val="none" w:sz="0" w:space="0" w:color="auto"/>
      </w:divBdr>
    </w:div>
    <w:div w:id="1093280073">
      <w:bodyDiv w:val="1"/>
      <w:marLeft w:val="0"/>
      <w:marRight w:val="0"/>
      <w:marTop w:val="0"/>
      <w:marBottom w:val="0"/>
      <w:divBdr>
        <w:top w:val="none" w:sz="0" w:space="0" w:color="auto"/>
        <w:left w:val="none" w:sz="0" w:space="0" w:color="auto"/>
        <w:bottom w:val="none" w:sz="0" w:space="0" w:color="auto"/>
        <w:right w:val="none" w:sz="0" w:space="0" w:color="auto"/>
      </w:divBdr>
    </w:div>
    <w:div w:id="1111164768">
      <w:bodyDiv w:val="1"/>
      <w:marLeft w:val="0"/>
      <w:marRight w:val="0"/>
      <w:marTop w:val="0"/>
      <w:marBottom w:val="0"/>
      <w:divBdr>
        <w:top w:val="none" w:sz="0" w:space="0" w:color="auto"/>
        <w:left w:val="none" w:sz="0" w:space="0" w:color="auto"/>
        <w:bottom w:val="none" w:sz="0" w:space="0" w:color="auto"/>
        <w:right w:val="none" w:sz="0" w:space="0" w:color="auto"/>
      </w:divBdr>
    </w:div>
    <w:div w:id="1113204410">
      <w:bodyDiv w:val="1"/>
      <w:marLeft w:val="0"/>
      <w:marRight w:val="0"/>
      <w:marTop w:val="0"/>
      <w:marBottom w:val="0"/>
      <w:divBdr>
        <w:top w:val="none" w:sz="0" w:space="0" w:color="auto"/>
        <w:left w:val="none" w:sz="0" w:space="0" w:color="auto"/>
        <w:bottom w:val="none" w:sz="0" w:space="0" w:color="auto"/>
        <w:right w:val="none" w:sz="0" w:space="0" w:color="auto"/>
      </w:divBdr>
    </w:div>
    <w:div w:id="1122267566">
      <w:bodyDiv w:val="1"/>
      <w:marLeft w:val="0"/>
      <w:marRight w:val="0"/>
      <w:marTop w:val="0"/>
      <w:marBottom w:val="0"/>
      <w:divBdr>
        <w:top w:val="none" w:sz="0" w:space="0" w:color="auto"/>
        <w:left w:val="none" w:sz="0" w:space="0" w:color="auto"/>
        <w:bottom w:val="none" w:sz="0" w:space="0" w:color="auto"/>
        <w:right w:val="none" w:sz="0" w:space="0" w:color="auto"/>
      </w:divBdr>
    </w:div>
    <w:div w:id="1134642473">
      <w:bodyDiv w:val="1"/>
      <w:marLeft w:val="0"/>
      <w:marRight w:val="0"/>
      <w:marTop w:val="0"/>
      <w:marBottom w:val="0"/>
      <w:divBdr>
        <w:top w:val="none" w:sz="0" w:space="0" w:color="auto"/>
        <w:left w:val="none" w:sz="0" w:space="0" w:color="auto"/>
        <w:bottom w:val="none" w:sz="0" w:space="0" w:color="auto"/>
        <w:right w:val="none" w:sz="0" w:space="0" w:color="auto"/>
      </w:divBdr>
    </w:div>
    <w:div w:id="1135412527">
      <w:bodyDiv w:val="1"/>
      <w:marLeft w:val="0"/>
      <w:marRight w:val="0"/>
      <w:marTop w:val="0"/>
      <w:marBottom w:val="0"/>
      <w:divBdr>
        <w:top w:val="none" w:sz="0" w:space="0" w:color="auto"/>
        <w:left w:val="none" w:sz="0" w:space="0" w:color="auto"/>
        <w:bottom w:val="none" w:sz="0" w:space="0" w:color="auto"/>
        <w:right w:val="none" w:sz="0" w:space="0" w:color="auto"/>
      </w:divBdr>
    </w:div>
    <w:div w:id="1165584675">
      <w:bodyDiv w:val="1"/>
      <w:marLeft w:val="0"/>
      <w:marRight w:val="0"/>
      <w:marTop w:val="0"/>
      <w:marBottom w:val="0"/>
      <w:divBdr>
        <w:top w:val="none" w:sz="0" w:space="0" w:color="auto"/>
        <w:left w:val="none" w:sz="0" w:space="0" w:color="auto"/>
        <w:bottom w:val="none" w:sz="0" w:space="0" w:color="auto"/>
        <w:right w:val="none" w:sz="0" w:space="0" w:color="auto"/>
      </w:divBdr>
    </w:div>
    <w:div w:id="1168442946">
      <w:bodyDiv w:val="1"/>
      <w:marLeft w:val="0"/>
      <w:marRight w:val="0"/>
      <w:marTop w:val="0"/>
      <w:marBottom w:val="0"/>
      <w:divBdr>
        <w:top w:val="none" w:sz="0" w:space="0" w:color="auto"/>
        <w:left w:val="none" w:sz="0" w:space="0" w:color="auto"/>
        <w:bottom w:val="none" w:sz="0" w:space="0" w:color="auto"/>
        <w:right w:val="none" w:sz="0" w:space="0" w:color="auto"/>
      </w:divBdr>
    </w:div>
    <w:div w:id="1190416832">
      <w:bodyDiv w:val="1"/>
      <w:marLeft w:val="0"/>
      <w:marRight w:val="0"/>
      <w:marTop w:val="0"/>
      <w:marBottom w:val="0"/>
      <w:divBdr>
        <w:top w:val="none" w:sz="0" w:space="0" w:color="auto"/>
        <w:left w:val="none" w:sz="0" w:space="0" w:color="auto"/>
        <w:bottom w:val="none" w:sz="0" w:space="0" w:color="auto"/>
        <w:right w:val="none" w:sz="0" w:space="0" w:color="auto"/>
      </w:divBdr>
    </w:div>
    <w:div w:id="1211072035">
      <w:bodyDiv w:val="1"/>
      <w:marLeft w:val="0"/>
      <w:marRight w:val="0"/>
      <w:marTop w:val="0"/>
      <w:marBottom w:val="0"/>
      <w:divBdr>
        <w:top w:val="none" w:sz="0" w:space="0" w:color="auto"/>
        <w:left w:val="none" w:sz="0" w:space="0" w:color="auto"/>
        <w:bottom w:val="none" w:sz="0" w:space="0" w:color="auto"/>
        <w:right w:val="none" w:sz="0" w:space="0" w:color="auto"/>
      </w:divBdr>
    </w:div>
    <w:div w:id="1211461164">
      <w:bodyDiv w:val="1"/>
      <w:marLeft w:val="0"/>
      <w:marRight w:val="0"/>
      <w:marTop w:val="0"/>
      <w:marBottom w:val="0"/>
      <w:divBdr>
        <w:top w:val="none" w:sz="0" w:space="0" w:color="auto"/>
        <w:left w:val="none" w:sz="0" w:space="0" w:color="auto"/>
        <w:bottom w:val="none" w:sz="0" w:space="0" w:color="auto"/>
        <w:right w:val="none" w:sz="0" w:space="0" w:color="auto"/>
      </w:divBdr>
    </w:div>
    <w:div w:id="1212038361">
      <w:bodyDiv w:val="1"/>
      <w:marLeft w:val="0"/>
      <w:marRight w:val="0"/>
      <w:marTop w:val="0"/>
      <w:marBottom w:val="0"/>
      <w:divBdr>
        <w:top w:val="none" w:sz="0" w:space="0" w:color="auto"/>
        <w:left w:val="none" w:sz="0" w:space="0" w:color="auto"/>
        <w:bottom w:val="none" w:sz="0" w:space="0" w:color="auto"/>
        <w:right w:val="none" w:sz="0" w:space="0" w:color="auto"/>
      </w:divBdr>
    </w:div>
    <w:div w:id="1223979138">
      <w:bodyDiv w:val="1"/>
      <w:marLeft w:val="0"/>
      <w:marRight w:val="0"/>
      <w:marTop w:val="0"/>
      <w:marBottom w:val="0"/>
      <w:divBdr>
        <w:top w:val="none" w:sz="0" w:space="0" w:color="auto"/>
        <w:left w:val="none" w:sz="0" w:space="0" w:color="auto"/>
        <w:bottom w:val="none" w:sz="0" w:space="0" w:color="auto"/>
        <w:right w:val="none" w:sz="0" w:space="0" w:color="auto"/>
      </w:divBdr>
    </w:div>
    <w:div w:id="1249196430">
      <w:bodyDiv w:val="1"/>
      <w:marLeft w:val="0"/>
      <w:marRight w:val="0"/>
      <w:marTop w:val="0"/>
      <w:marBottom w:val="0"/>
      <w:divBdr>
        <w:top w:val="none" w:sz="0" w:space="0" w:color="auto"/>
        <w:left w:val="none" w:sz="0" w:space="0" w:color="auto"/>
        <w:bottom w:val="none" w:sz="0" w:space="0" w:color="auto"/>
        <w:right w:val="none" w:sz="0" w:space="0" w:color="auto"/>
      </w:divBdr>
    </w:div>
    <w:div w:id="1262642481">
      <w:bodyDiv w:val="1"/>
      <w:marLeft w:val="0"/>
      <w:marRight w:val="0"/>
      <w:marTop w:val="0"/>
      <w:marBottom w:val="0"/>
      <w:divBdr>
        <w:top w:val="none" w:sz="0" w:space="0" w:color="auto"/>
        <w:left w:val="none" w:sz="0" w:space="0" w:color="auto"/>
        <w:bottom w:val="none" w:sz="0" w:space="0" w:color="auto"/>
        <w:right w:val="none" w:sz="0" w:space="0" w:color="auto"/>
      </w:divBdr>
    </w:div>
    <w:div w:id="1267730976">
      <w:bodyDiv w:val="1"/>
      <w:marLeft w:val="0"/>
      <w:marRight w:val="0"/>
      <w:marTop w:val="0"/>
      <w:marBottom w:val="0"/>
      <w:divBdr>
        <w:top w:val="none" w:sz="0" w:space="0" w:color="auto"/>
        <w:left w:val="none" w:sz="0" w:space="0" w:color="auto"/>
        <w:bottom w:val="none" w:sz="0" w:space="0" w:color="auto"/>
        <w:right w:val="none" w:sz="0" w:space="0" w:color="auto"/>
      </w:divBdr>
    </w:div>
    <w:div w:id="1274751192">
      <w:bodyDiv w:val="1"/>
      <w:marLeft w:val="0"/>
      <w:marRight w:val="0"/>
      <w:marTop w:val="0"/>
      <w:marBottom w:val="0"/>
      <w:divBdr>
        <w:top w:val="none" w:sz="0" w:space="0" w:color="auto"/>
        <w:left w:val="none" w:sz="0" w:space="0" w:color="auto"/>
        <w:bottom w:val="none" w:sz="0" w:space="0" w:color="auto"/>
        <w:right w:val="none" w:sz="0" w:space="0" w:color="auto"/>
      </w:divBdr>
    </w:div>
    <w:div w:id="1277518300">
      <w:bodyDiv w:val="1"/>
      <w:marLeft w:val="0"/>
      <w:marRight w:val="0"/>
      <w:marTop w:val="0"/>
      <w:marBottom w:val="0"/>
      <w:divBdr>
        <w:top w:val="none" w:sz="0" w:space="0" w:color="auto"/>
        <w:left w:val="none" w:sz="0" w:space="0" w:color="auto"/>
        <w:bottom w:val="none" w:sz="0" w:space="0" w:color="auto"/>
        <w:right w:val="none" w:sz="0" w:space="0" w:color="auto"/>
      </w:divBdr>
    </w:div>
    <w:div w:id="1297681006">
      <w:bodyDiv w:val="1"/>
      <w:marLeft w:val="0"/>
      <w:marRight w:val="0"/>
      <w:marTop w:val="0"/>
      <w:marBottom w:val="0"/>
      <w:divBdr>
        <w:top w:val="none" w:sz="0" w:space="0" w:color="auto"/>
        <w:left w:val="none" w:sz="0" w:space="0" w:color="auto"/>
        <w:bottom w:val="none" w:sz="0" w:space="0" w:color="auto"/>
        <w:right w:val="none" w:sz="0" w:space="0" w:color="auto"/>
      </w:divBdr>
    </w:div>
    <w:div w:id="1297949597">
      <w:bodyDiv w:val="1"/>
      <w:marLeft w:val="0"/>
      <w:marRight w:val="0"/>
      <w:marTop w:val="0"/>
      <w:marBottom w:val="0"/>
      <w:divBdr>
        <w:top w:val="none" w:sz="0" w:space="0" w:color="auto"/>
        <w:left w:val="none" w:sz="0" w:space="0" w:color="auto"/>
        <w:bottom w:val="none" w:sz="0" w:space="0" w:color="auto"/>
        <w:right w:val="none" w:sz="0" w:space="0" w:color="auto"/>
      </w:divBdr>
    </w:div>
    <w:div w:id="1304850095">
      <w:bodyDiv w:val="1"/>
      <w:marLeft w:val="0"/>
      <w:marRight w:val="0"/>
      <w:marTop w:val="0"/>
      <w:marBottom w:val="0"/>
      <w:divBdr>
        <w:top w:val="none" w:sz="0" w:space="0" w:color="auto"/>
        <w:left w:val="none" w:sz="0" w:space="0" w:color="auto"/>
        <w:bottom w:val="none" w:sz="0" w:space="0" w:color="auto"/>
        <w:right w:val="none" w:sz="0" w:space="0" w:color="auto"/>
      </w:divBdr>
    </w:div>
    <w:div w:id="1306471176">
      <w:bodyDiv w:val="1"/>
      <w:marLeft w:val="0"/>
      <w:marRight w:val="0"/>
      <w:marTop w:val="0"/>
      <w:marBottom w:val="0"/>
      <w:divBdr>
        <w:top w:val="none" w:sz="0" w:space="0" w:color="auto"/>
        <w:left w:val="none" w:sz="0" w:space="0" w:color="auto"/>
        <w:bottom w:val="none" w:sz="0" w:space="0" w:color="auto"/>
        <w:right w:val="none" w:sz="0" w:space="0" w:color="auto"/>
      </w:divBdr>
    </w:div>
    <w:div w:id="1343387645">
      <w:bodyDiv w:val="1"/>
      <w:marLeft w:val="0"/>
      <w:marRight w:val="0"/>
      <w:marTop w:val="0"/>
      <w:marBottom w:val="0"/>
      <w:divBdr>
        <w:top w:val="none" w:sz="0" w:space="0" w:color="auto"/>
        <w:left w:val="none" w:sz="0" w:space="0" w:color="auto"/>
        <w:bottom w:val="none" w:sz="0" w:space="0" w:color="auto"/>
        <w:right w:val="none" w:sz="0" w:space="0" w:color="auto"/>
      </w:divBdr>
    </w:div>
    <w:div w:id="1359892393">
      <w:bodyDiv w:val="1"/>
      <w:marLeft w:val="0"/>
      <w:marRight w:val="0"/>
      <w:marTop w:val="0"/>
      <w:marBottom w:val="0"/>
      <w:divBdr>
        <w:top w:val="none" w:sz="0" w:space="0" w:color="auto"/>
        <w:left w:val="none" w:sz="0" w:space="0" w:color="auto"/>
        <w:bottom w:val="none" w:sz="0" w:space="0" w:color="auto"/>
        <w:right w:val="none" w:sz="0" w:space="0" w:color="auto"/>
      </w:divBdr>
    </w:div>
    <w:div w:id="1369791586">
      <w:bodyDiv w:val="1"/>
      <w:marLeft w:val="0"/>
      <w:marRight w:val="0"/>
      <w:marTop w:val="0"/>
      <w:marBottom w:val="0"/>
      <w:divBdr>
        <w:top w:val="none" w:sz="0" w:space="0" w:color="auto"/>
        <w:left w:val="none" w:sz="0" w:space="0" w:color="auto"/>
        <w:bottom w:val="none" w:sz="0" w:space="0" w:color="auto"/>
        <w:right w:val="none" w:sz="0" w:space="0" w:color="auto"/>
      </w:divBdr>
    </w:div>
    <w:div w:id="1373262957">
      <w:bodyDiv w:val="1"/>
      <w:marLeft w:val="0"/>
      <w:marRight w:val="0"/>
      <w:marTop w:val="0"/>
      <w:marBottom w:val="0"/>
      <w:divBdr>
        <w:top w:val="none" w:sz="0" w:space="0" w:color="auto"/>
        <w:left w:val="none" w:sz="0" w:space="0" w:color="auto"/>
        <w:bottom w:val="none" w:sz="0" w:space="0" w:color="auto"/>
        <w:right w:val="none" w:sz="0" w:space="0" w:color="auto"/>
      </w:divBdr>
      <w:divsChild>
        <w:div w:id="610670706">
          <w:marLeft w:val="0"/>
          <w:marRight w:val="0"/>
          <w:marTop w:val="0"/>
          <w:marBottom w:val="0"/>
          <w:divBdr>
            <w:top w:val="none" w:sz="0" w:space="0" w:color="auto"/>
            <w:left w:val="none" w:sz="0" w:space="0" w:color="auto"/>
            <w:bottom w:val="none" w:sz="0" w:space="0" w:color="auto"/>
            <w:right w:val="none" w:sz="0" w:space="0" w:color="auto"/>
          </w:divBdr>
        </w:div>
      </w:divsChild>
    </w:div>
    <w:div w:id="1381440343">
      <w:bodyDiv w:val="1"/>
      <w:marLeft w:val="0"/>
      <w:marRight w:val="0"/>
      <w:marTop w:val="0"/>
      <w:marBottom w:val="0"/>
      <w:divBdr>
        <w:top w:val="none" w:sz="0" w:space="0" w:color="auto"/>
        <w:left w:val="none" w:sz="0" w:space="0" w:color="auto"/>
        <w:bottom w:val="none" w:sz="0" w:space="0" w:color="auto"/>
        <w:right w:val="none" w:sz="0" w:space="0" w:color="auto"/>
      </w:divBdr>
    </w:div>
    <w:div w:id="1385257889">
      <w:bodyDiv w:val="1"/>
      <w:marLeft w:val="0"/>
      <w:marRight w:val="0"/>
      <w:marTop w:val="0"/>
      <w:marBottom w:val="0"/>
      <w:divBdr>
        <w:top w:val="none" w:sz="0" w:space="0" w:color="auto"/>
        <w:left w:val="none" w:sz="0" w:space="0" w:color="auto"/>
        <w:bottom w:val="none" w:sz="0" w:space="0" w:color="auto"/>
        <w:right w:val="none" w:sz="0" w:space="0" w:color="auto"/>
      </w:divBdr>
    </w:div>
    <w:div w:id="1405179496">
      <w:bodyDiv w:val="1"/>
      <w:marLeft w:val="0"/>
      <w:marRight w:val="0"/>
      <w:marTop w:val="0"/>
      <w:marBottom w:val="0"/>
      <w:divBdr>
        <w:top w:val="none" w:sz="0" w:space="0" w:color="auto"/>
        <w:left w:val="none" w:sz="0" w:space="0" w:color="auto"/>
        <w:bottom w:val="none" w:sz="0" w:space="0" w:color="auto"/>
        <w:right w:val="none" w:sz="0" w:space="0" w:color="auto"/>
      </w:divBdr>
    </w:div>
    <w:div w:id="1417551138">
      <w:bodyDiv w:val="1"/>
      <w:marLeft w:val="0"/>
      <w:marRight w:val="0"/>
      <w:marTop w:val="0"/>
      <w:marBottom w:val="0"/>
      <w:divBdr>
        <w:top w:val="none" w:sz="0" w:space="0" w:color="auto"/>
        <w:left w:val="none" w:sz="0" w:space="0" w:color="auto"/>
        <w:bottom w:val="none" w:sz="0" w:space="0" w:color="auto"/>
        <w:right w:val="none" w:sz="0" w:space="0" w:color="auto"/>
      </w:divBdr>
    </w:div>
    <w:div w:id="1422995449">
      <w:bodyDiv w:val="1"/>
      <w:marLeft w:val="0"/>
      <w:marRight w:val="0"/>
      <w:marTop w:val="0"/>
      <w:marBottom w:val="0"/>
      <w:divBdr>
        <w:top w:val="none" w:sz="0" w:space="0" w:color="auto"/>
        <w:left w:val="none" w:sz="0" w:space="0" w:color="auto"/>
        <w:bottom w:val="none" w:sz="0" w:space="0" w:color="auto"/>
        <w:right w:val="none" w:sz="0" w:space="0" w:color="auto"/>
      </w:divBdr>
    </w:div>
    <w:div w:id="1424258674">
      <w:bodyDiv w:val="1"/>
      <w:marLeft w:val="0"/>
      <w:marRight w:val="0"/>
      <w:marTop w:val="0"/>
      <w:marBottom w:val="0"/>
      <w:divBdr>
        <w:top w:val="none" w:sz="0" w:space="0" w:color="auto"/>
        <w:left w:val="none" w:sz="0" w:space="0" w:color="auto"/>
        <w:bottom w:val="none" w:sz="0" w:space="0" w:color="auto"/>
        <w:right w:val="none" w:sz="0" w:space="0" w:color="auto"/>
      </w:divBdr>
    </w:div>
    <w:div w:id="1428696446">
      <w:bodyDiv w:val="1"/>
      <w:marLeft w:val="0"/>
      <w:marRight w:val="0"/>
      <w:marTop w:val="0"/>
      <w:marBottom w:val="0"/>
      <w:divBdr>
        <w:top w:val="none" w:sz="0" w:space="0" w:color="auto"/>
        <w:left w:val="none" w:sz="0" w:space="0" w:color="auto"/>
        <w:bottom w:val="none" w:sz="0" w:space="0" w:color="auto"/>
        <w:right w:val="none" w:sz="0" w:space="0" w:color="auto"/>
      </w:divBdr>
    </w:div>
    <w:div w:id="1441418203">
      <w:bodyDiv w:val="1"/>
      <w:marLeft w:val="0"/>
      <w:marRight w:val="0"/>
      <w:marTop w:val="0"/>
      <w:marBottom w:val="0"/>
      <w:divBdr>
        <w:top w:val="none" w:sz="0" w:space="0" w:color="auto"/>
        <w:left w:val="none" w:sz="0" w:space="0" w:color="auto"/>
        <w:bottom w:val="none" w:sz="0" w:space="0" w:color="auto"/>
        <w:right w:val="none" w:sz="0" w:space="0" w:color="auto"/>
      </w:divBdr>
    </w:div>
    <w:div w:id="1453598139">
      <w:bodyDiv w:val="1"/>
      <w:marLeft w:val="0"/>
      <w:marRight w:val="0"/>
      <w:marTop w:val="0"/>
      <w:marBottom w:val="0"/>
      <w:divBdr>
        <w:top w:val="none" w:sz="0" w:space="0" w:color="auto"/>
        <w:left w:val="none" w:sz="0" w:space="0" w:color="auto"/>
        <w:bottom w:val="none" w:sz="0" w:space="0" w:color="auto"/>
        <w:right w:val="none" w:sz="0" w:space="0" w:color="auto"/>
      </w:divBdr>
    </w:div>
    <w:div w:id="1468162800">
      <w:bodyDiv w:val="1"/>
      <w:marLeft w:val="0"/>
      <w:marRight w:val="0"/>
      <w:marTop w:val="0"/>
      <w:marBottom w:val="0"/>
      <w:divBdr>
        <w:top w:val="none" w:sz="0" w:space="0" w:color="auto"/>
        <w:left w:val="none" w:sz="0" w:space="0" w:color="auto"/>
        <w:bottom w:val="none" w:sz="0" w:space="0" w:color="auto"/>
        <w:right w:val="none" w:sz="0" w:space="0" w:color="auto"/>
      </w:divBdr>
    </w:div>
    <w:div w:id="1481992972">
      <w:bodyDiv w:val="1"/>
      <w:marLeft w:val="0"/>
      <w:marRight w:val="0"/>
      <w:marTop w:val="0"/>
      <w:marBottom w:val="0"/>
      <w:divBdr>
        <w:top w:val="none" w:sz="0" w:space="0" w:color="auto"/>
        <w:left w:val="none" w:sz="0" w:space="0" w:color="auto"/>
        <w:bottom w:val="none" w:sz="0" w:space="0" w:color="auto"/>
        <w:right w:val="none" w:sz="0" w:space="0" w:color="auto"/>
      </w:divBdr>
    </w:div>
    <w:div w:id="1494907593">
      <w:bodyDiv w:val="1"/>
      <w:marLeft w:val="0"/>
      <w:marRight w:val="0"/>
      <w:marTop w:val="0"/>
      <w:marBottom w:val="0"/>
      <w:divBdr>
        <w:top w:val="none" w:sz="0" w:space="0" w:color="auto"/>
        <w:left w:val="none" w:sz="0" w:space="0" w:color="auto"/>
        <w:bottom w:val="none" w:sz="0" w:space="0" w:color="auto"/>
        <w:right w:val="none" w:sz="0" w:space="0" w:color="auto"/>
      </w:divBdr>
    </w:div>
    <w:div w:id="1503081755">
      <w:bodyDiv w:val="1"/>
      <w:marLeft w:val="0"/>
      <w:marRight w:val="0"/>
      <w:marTop w:val="0"/>
      <w:marBottom w:val="0"/>
      <w:divBdr>
        <w:top w:val="none" w:sz="0" w:space="0" w:color="auto"/>
        <w:left w:val="none" w:sz="0" w:space="0" w:color="auto"/>
        <w:bottom w:val="none" w:sz="0" w:space="0" w:color="auto"/>
        <w:right w:val="none" w:sz="0" w:space="0" w:color="auto"/>
      </w:divBdr>
    </w:div>
    <w:div w:id="1511338919">
      <w:bodyDiv w:val="1"/>
      <w:marLeft w:val="0"/>
      <w:marRight w:val="0"/>
      <w:marTop w:val="0"/>
      <w:marBottom w:val="0"/>
      <w:divBdr>
        <w:top w:val="none" w:sz="0" w:space="0" w:color="auto"/>
        <w:left w:val="none" w:sz="0" w:space="0" w:color="auto"/>
        <w:bottom w:val="none" w:sz="0" w:space="0" w:color="auto"/>
        <w:right w:val="none" w:sz="0" w:space="0" w:color="auto"/>
      </w:divBdr>
    </w:div>
    <w:div w:id="1519076064">
      <w:bodyDiv w:val="1"/>
      <w:marLeft w:val="0"/>
      <w:marRight w:val="0"/>
      <w:marTop w:val="0"/>
      <w:marBottom w:val="0"/>
      <w:divBdr>
        <w:top w:val="none" w:sz="0" w:space="0" w:color="auto"/>
        <w:left w:val="none" w:sz="0" w:space="0" w:color="auto"/>
        <w:bottom w:val="none" w:sz="0" w:space="0" w:color="auto"/>
        <w:right w:val="none" w:sz="0" w:space="0" w:color="auto"/>
      </w:divBdr>
    </w:div>
    <w:div w:id="1521046842">
      <w:bodyDiv w:val="1"/>
      <w:marLeft w:val="0"/>
      <w:marRight w:val="0"/>
      <w:marTop w:val="0"/>
      <w:marBottom w:val="0"/>
      <w:divBdr>
        <w:top w:val="none" w:sz="0" w:space="0" w:color="auto"/>
        <w:left w:val="none" w:sz="0" w:space="0" w:color="auto"/>
        <w:bottom w:val="none" w:sz="0" w:space="0" w:color="auto"/>
        <w:right w:val="none" w:sz="0" w:space="0" w:color="auto"/>
      </w:divBdr>
    </w:div>
    <w:div w:id="1521551650">
      <w:bodyDiv w:val="1"/>
      <w:marLeft w:val="0"/>
      <w:marRight w:val="0"/>
      <w:marTop w:val="0"/>
      <w:marBottom w:val="0"/>
      <w:divBdr>
        <w:top w:val="none" w:sz="0" w:space="0" w:color="auto"/>
        <w:left w:val="none" w:sz="0" w:space="0" w:color="auto"/>
        <w:bottom w:val="none" w:sz="0" w:space="0" w:color="auto"/>
        <w:right w:val="none" w:sz="0" w:space="0" w:color="auto"/>
      </w:divBdr>
    </w:div>
    <w:div w:id="1521553730">
      <w:bodyDiv w:val="1"/>
      <w:marLeft w:val="0"/>
      <w:marRight w:val="0"/>
      <w:marTop w:val="0"/>
      <w:marBottom w:val="0"/>
      <w:divBdr>
        <w:top w:val="none" w:sz="0" w:space="0" w:color="auto"/>
        <w:left w:val="none" w:sz="0" w:space="0" w:color="auto"/>
        <w:bottom w:val="none" w:sz="0" w:space="0" w:color="auto"/>
        <w:right w:val="none" w:sz="0" w:space="0" w:color="auto"/>
      </w:divBdr>
    </w:div>
    <w:div w:id="1540432819">
      <w:bodyDiv w:val="1"/>
      <w:marLeft w:val="0"/>
      <w:marRight w:val="0"/>
      <w:marTop w:val="0"/>
      <w:marBottom w:val="0"/>
      <w:divBdr>
        <w:top w:val="none" w:sz="0" w:space="0" w:color="auto"/>
        <w:left w:val="none" w:sz="0" w:space="0" w:color="auto"/>
        <w:bottom w:val="none" w:sz="0" w:space="0" w:color="auto"/>
        <w:right w:val="none" w:sz="0" w:space="0" w:color="auto"/>
      </w:divBdr>
    </w:div>
    <w:div w:id="1546215331">
      <w:bodyDiv w:val="1"/>
      <w:marLeft w:val="0"/>
      <w:marRight w:val="0"/>
      <w:marTop w:val="0"/>
      <w:marBottom w:val="0"/>
      <w:divBdr>
        <w:top w:val="none" w:sz="0" w:space="0" w:color="auto"/>
        <w:left w:val="none" w:sz="0" w:space="0" w:color="auto"/>
        <w:bottom w:val="none" w:sz="0" w:space="0" w:color="auto"/>
        <w:right w:val="none" w:sz="0" w:space="0" w:color="auto"/>
      </w:divBdr>
    </w:div>
    <w:div w:id="1548563019">
      <w:bodyDiv w:val="1"/>
      <w:marLeft w:val="0"/>
      <w:marRight w:val="0"/>
      <w:marTop w:val="0"/>
      <w:marBottom w:val="0"/>
      <w:divBdr>
        <w:top w:val="none" w:sz="0" w:space="0" w:color="auto"/>
        <w:left w:val="none" w:sz="0" w:space="0" w:color="auto"/>
        <w:bottom w:val="none" w:sz="0" w:space="0" w:color="auto"/>
        <w:right w:val="none" w:sz="0" w:space="0" w:color="auto"/>
      </w:divBdr>
      <w:divsChild>
        <w:div w:id="1400979142">
          <w:marLeft w:val="300"/>
          <w:marRight w:val="0"/>
          <w:marTop w:val="120"/>
          <w:marBottom w:val="120"/>
          <w:divBdr>
            <w:top w:val="none" w:sz="0" w:space="0" w:color="auto"/>
            <w:left w:val="none" w:sz="0" w:space="0" w:color="auto"/>
            <w:bottom w:val="none" w:sz="0" w:space="0" w:color="auto"/>
            <w:right w:val="none" w:sz="0" w:space="0" w:color="auto"/>
          </w:divBdr>
        </w:div>
      </w:divsChild>
    </w:div>
    <w:div w:id="1566916552">
      <w:bodyDiv w:val="1"/>
      <w:marLeft w:val="0"/>
      <w:marRight w:val="0"/>
      <w:marTop w:val="0"/>
      <w:marBottom w:val="0"/>
      <w:divBdr>
        <w:top w:val="none" w:sz="0" w:space="0" w:color="auto"/>
        <w:left w:val="none" w:sz="0" w:space="0" w:color="auto"/>
        <w:bottom w:val="none" w:sz="0" w:space="0" w:color="auto"/>
        <w:right w:val="none" w:sz="0" w:space="0" w:color="auto"/>
      </w:divBdr>
    </w:div>
    <w:div w:id="1570844367">
      <w:bodyDiv w:val="1"/>
      <w:marLeft w:val="0"/>
      <w:marRight w:val="0"/>
      <w:marTop w:val="0"/>
      <w:marBottom w:val="0"/>
      <w:divBdr>
        <w:top w:val="none" w:sz="0" w:space="0" w:color="auto"/>
        <w:left w:val="none" w:sz="0" w:space="0" w:color="auto"/>
        <w:bottom w:val="none" w:sz="0" w:space="0" w:color="auto"/>
        <w:right w:val="none" w:sz="0" w:space="0" w:color="auto"/>
      </w:divBdr>
    </w:div>
    <w:div w:id="1579245686">
      <w:bodyDiv w:val="1"/>
      <w:marLeft w:val="0"/>
      <w:marRight w:val="0"/>
      <w:marTop w:val="0"/>
      <w:marBottom w:val="0"/>
      <w:divBdr>
        <w:top w:val="none" w:sz="0" w:space="0" w:color="auto"/>
        <w:left w:val="none" w:sz="0" w:space="0" w:color="auto"/>
        <w:bottom w:val="none" w:sz="0" w:space="0" w:color="auto"/>
        <w:right w:val="none" w:sz="0" w:space="0" w:color="auto"/>
      </w:divBdr>
    </w:div>
    <w:div w:id="1601330681">
      <w:bodyDiv w:val="1"/>
      <w:marLeft w:val="0"/>
      <w:marRight w:val="0"/>
      <w:marTop w:val="0"/>
      <w:marBottom w:val="0"/>
      <w:divBdr>
        <w:top w:val="none" w:sz="0" w:space="0" w:color="auto"/>
        <w:left w:val="none" w:sz="0" w:space="0" w:color="auto"/>
        <w:bottom w:val="none" w:sz="0" w:space="0" w:color="auto"/>
        <w:right w:val="none" w:sz="0" w:space="0" w:color="auto"/>
      </w:divBdr>
    </w:div>
    <w:div w:id="1619068904">
      <w:bodyDiv w:val="1"/>
      <w:marLeft w:val="0"/>
      <w:marRight w:val="0"/>
      <w:marTop w:val="0"/>
      <w:marBottom w:val="0"/>
      <w:divBdr>
        <w:top w:val="none" w:sz="0" w:space="0" w:color="auto"/>
        <w:left w:val="none" w:sz="0" w:space="0" w:color="auto"/>
        <w:bottom w:val="none" w:sz="0" w:space="0" w:color="auto"/>
        <w:right w:val="none" w:sz="0" w:space="0" w:color="auto"/>
      </w:divBdr>
    </w:div>
    <w:div w:id="1624192682">
      <w:bodyDiv w:val="1"/>
      <w:marLeft w:val="0"/>
      <w:marRight w:val="0"/>
      <w:marTop w:val="0"/>
      <w:marBottom w:val="0"/>
      <w:divBdr>
        <w:top w:val="none" w:sz="0" w:space="0" w:color="auto"/>
        <w:left w:val="none" w:sz="0" w:space="0" w:color="auto"/>
        <w:bottom w:val="none" w:sz="0" w:space="0" w:color="auto"/>
        <w:right w:val="none" w:sz="0" w:space="0" w:color="auto"/>
      </w:divBdr>
    </w:div>
    <w:div w:id="1628006078">
      <w:bodyDiv w:val="1"/>
      <w:marLeft w:val="0"/>
      <w:marRight w:val="0"/>
      <w:marTop w:val="0"/>
      <w:marBottom w:val="0"/>
      <w:divBdr>
        <w:top w:val="none" w:sz="0" w:space="0" w:color="auto"/>
        <w:left w:val="none" w:sz="0" w:space="0" w:color="auto"/>
        <w:bottom w:val="none" w:sz="0" w:space="0" w:color="auto"/>
        <w:right w:val="none" w:sz="0" w:space="0" w:color="auto"/>
      </w:divBdr>
    </w:div>
    <w:div w:id="1631277273">
      <w:bodyDiv w:val="1"/>
      <w:marLeft w:val="0"/>
      <w:marRight w:val="0"/>
      <w:marTop w:val="0"/>
      <w:marBottom w:val="0"/>
      <w:divBdr>
        <w:top w:val="none" w:sz="0" w:space="0" w:color="auto"/>
        <w:left w:val="none" w:sz="0" w:space="0" w:color="auto"/>
        <w:bottom w:val="none" w:sz="0" w:space="0" w:color="auto"/>
        <w:right w:val="none" w:sz="0" w:space="0" w:color="auto"/>
      </w:divBdr>
    </w:div>
    <w:div w:id="1638754652">
      <w:bodyDiv w:val="1"/>
      <w:marLeft w:val="0"/>
      <w:marRight w:val="0"/>
      <w:marTop w:val="0"/>
      <w:marBottom w:val="0"/>
      <w:divBdr>
        <w:top w:val="none" w:sz="0" w:space="0" w:color="auto"/>
        <w:left w:val="none" w:sz="0" w:space="0" w:color="auto"/>
        <w:bottom w:val="none" w:sz="0" w:space="0" w:color="auto"/>
        <w:right w:val="none" w:sz="0" w:space="0" w:color="auto"/>
      </w:divBdr>
    </w:div>
    <w:div w:id="1646356644">
      <w:bodyDiv w:val="1"/>
      <w:marLeft w:val="0"/>
      <w:marRight w:val="0"/>
      <w:marTop w:val="0"/>
      <w:marBottom w:val="0"/>
      <w:divBdr>
        <w:top w:val="none" w:sz="0" w:space="0" w:color="auto"/>
        <w:left w:val="none" w:sz="0" w:space="0" w:color="auto"/>
        <w:bottom w:val="none" w:sz="0" w:space="0" w:color="auto"/>
        <w:right w:val="none" w:sz="0" w:space="0" w:color="auto"/>
      </w:divBdr>
    </w:div>
    <w:div w:id="1663384569">
      <w:bodyDiv w:val="1"/>
      <w:marLeft w:val="0"/>
      <w:marRight w:val="0"/>
      <w:marTop w:val="0"/>
      <w:marBottom w:val="0"/>
      <w:divBdr>
        <w:top w:val="none" w:sz="0" w:space="0" w:color="auto"/>
        <w:left w:val="none" w:sz="0" w:space="0" w:color="auto"/>
        <w:bottom w:val="none" w:sz="0" w:space="0" w:color="auto"/>
        <w:right w:val="none" w:sz="0" w:space="0" w:color="auto"/>
      </w:divBdr>
    </w:div>
    <w:div w:id="1671910787">
      <w:bodyDiv w:val="1"/>
      <w:marLeft w:val="0"/>
      <w:marRight w:val="0"/>
      <w:marTop w:val="0"/>
      <w:marBottom w:val="0"/>
      <w:divBdr>
        <w:top w:val="none" w:sz="0" w:space="0" w:color="auto"/>
        <w:left w:val="none" w:sz="0" w:space="0" w:color="auto"/>
        <w:bottom w:val="none" w:sz="0" w:space="0" w:color="auto"/>
        <w:right w:val="none" w:sz="0" w:space="0" w:color="auto"/>
      </w:divBdr>
    </w:div>
    <w:div w:id="1676611116">
      <w:bodyDiv w:val="1"/>
      <w:marLeft w:val="0"/>
      <w:marRight w:val="0"/>
      <w:marTop w:val="0"/>
      <w:marBottom w:val="0"/>
      <w:divBdr>
        <w:top w:val="none" w:sz="0" w:space="0" w:color="auto"/>
        <w:left w:val="none" w:sz="0" w:space="0" w:color="auto"/>
        <w:bottom w:val="none" w:sz="0" w:space="0" w:color="auto"/>
        <w:right w:val="none" w:sz="0" w:space="0" w:color="auto"/>
      </w:divBdr>
    </w:div>
    <w:div w:id="1701084171">
      <w:bodyDiv w:val="1"/>
      <w:marLeft w:val="0"/>
      <w:marRight w:val="0"/>
      <w:marTop w:val="0"/>
      <w:marBottom w:val="0"/>
      <w:divBdr>
        <w:top w:val="none" w:sz="0" w:space="0" w:color="auto"/>
        <w:left w:val="none" w:sz="0" w:space="0" w:color="auto"/>
        <w:bottom w:val="none" w:sz="0" w:space="0" w:color="auto"/>
        <w:right w:val="none" w:sz="0" w:space="0" w:color="auto"/>
      </w:divBdr>
    </w:div>
    <w:div w:id="1718315087">
      <w:bodyDiv w:val="1"/>
      <w:marLeft w:val="0"/>
      <w:marRight w:val="0"/>
      <w:marTop w:val="0"/>
      <w:marBottom w:val="0"/>
      <w:divBdr>
        <w:top w:val="none" w:sz="0" w:space="0" w:color="auto"/>
        <w:left w:val="none" w:sz="0" w:space="0" w:color="auto"/>
        <w:bottom w:val="none" w:sz="0" w:space="0" w:color="auto"/>
        <w:right w:val="none" w:sz="0" w:space="0" w:color="auto"/>
      </w:divBdr>
      <w:divsChild>
        <w:div w:id="168105488">
          <w:marLeft w:val="0"/>
          <w:marRight w:val="0"/>
          <w:marTop w:val="0"/>
          <w:marBottom w:val="0"/>
          <w:divBdr>
            <w:top w:val="none" w:sz="0" w:space="0" w:color="auto"/>
            <w:left w:val="none" w:sz="0" w:space="0" w:color="auto"/>
            <w:bottom w:val="none" w:sz="0" w:space="0" w:color="auto"/>
            <w:right w:val="none" w:sz="0" w:space="0" w:color="auto"/>
          </w:divBdr>
          <w:divsChild>
            <w:div w:id="1326401304">
              <w:marLeft w:val="0"/>
              <w:marRight w:val="0"/>
              <w:marTop w:val="0"/>
              <w:marBottom w:val="0"/>
              <w:divBdr>
                <w:top w:val="none" w:sz="0" w:space="0" w:color="auto"/>
                <w:left w:val="none" w:sz="0" w:space="0" w:color="auto"/>
                <w:bottom w:val="none" w:sz="0" w:space="0" w:color="auto"/>
                <w:right w:val="none" w:sz="0" w:space="0" w:color="auto"/>
              </w:divBdr>
            </w:div>
          </w:divsChild>
        </w:div>
        <w:div w:id="2006325592">
          <w:marLeft w:val="0"/>
          <w:marRight w:val="0"/>
          <w:marTop w:val="0"/>
          <w:marBottom w:val="0"/>
          <w:divBdr>
            <w:top w:val="none" w:sz="0" w:space="0" w:color="auto"/>
            <w:left w:val="none" w:sz="0" w:space="0" w:color="auto"/>
            <w:bottom w:val="none" w:sz="0" w:space="0" w:color="auto"/>
            <w:right w:val="none" w:sz="0" w:space="0" w:color="auto"/>
          </w:divBdr>
          <w:divsChild>
            <w:div w:id="165151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09775">
      <w:bodyDiv w:val="1"/>
      <w:marLeft w:val="0"/>
      <w:marRight w:val="0"/>
      <w:marTop w:val="0"/>
      <w:marBottom w:val="0"/>
      <w:divBdr>
        <w:top w:val="none" w:sz="0" w:space="0" w:color="auto"/>
        <w:left w:val="none" w:sz="0" w:space="0" w:color="auto"/>
        <w:bottom w:val="none" w:sz="0" w:space="0" w:color="auto"/>
        <w:right w:val="none" w:sz="0" w:space="0" w:color="auto"/>
      </w:divBdr>
    </w:div>
    <w:div w:id="1727102525">
      <w:bodyDiv w:val="1"/>
      <w:marLeft w:val="0"/>
      <w:marRight w:val="0"/>
      <w:marTop w:val="0"/>
      <w:marBottom w:val="0"/>
      <w:divBdr>
        <w:top w:val="none" w:sz="0" w:space="0" w:color="auto"/>
        <w:left w:val="none" w:sz="0" w:space="0" w:color="auto"/>
        <w:bottom w:val="none" w:sz="0" w:space="0" w:color="auto"/>
        <w:right w:val="none" w:sz="0" w:space="0" w:color="auto"/>
      </w:divBdr>
    </w:div>
    <w:div w:id="1727491562">
      <w:bodyDiv w:val="1"/>
      <w:marLeft w:val="0"/>
      <w:marRight w:val="0"/>
      <w:marTop w:val="0"/>
      <w:marBottom w:val="0"/>
      <w:divBdr>
        <w:top w:val="none" w:sz="0" w:space="0" w:color="auto"/>
        <w:left w:val="none" w:sz="0" w:space="0" w:color="auto"/>
        <w:bottom w:val="none" w:sz="0" w:space="0" w:color="auto"/>
        <w:right w:val="none" w:sz="0" w:space="0" w:color="auto"/>
      </w:divBdr>
      <w:divsChild>
        <w:div w:id="448741790">
          <w:marLeft w:val="0"/>
          <w:marRight w:val="0"/>
          <w:marTop w:val="0"/>
          <w:marBottom w:val="0"/>
          <w:divBdr>
            <w:top w:val="none" w:sz="0" w:space="0" w:color="auto"/>
            <w:left w:val="none" w:sz="0" w:space="0" w:color="auto"/>
            <w:bottom w:val="none" w:sz="0" w:space="0" w:color="auto"/>
            <w:right w:val="none" w:sz="0" w:space="0" w:color="auto"/>
          </w:divBdr>
        </w:div>
      </w:divsChild>
    </w:div>
    <w:div w:id="1736732367">
      <w:bodyDiv w:val="1"/>
      <w:marLeft w:val="0"/>
      <w:marRight w:val="0"/>
      <w:marTop w:val="0"/>
      <w:marBottom w:val="0"/>
      <w:divBdr>
        <w:top w:val="none" w:sz="0" w:space="0" w:color="auto"/>
        <w:left w:val="none" w:sz="0" w:space="0" w:color="auto"/>
        <w:bottom w:val="none" w:sz="0" w:space="0" w:color="auto"/>
        <w:right w:val="none" w:sz="0" w:space="0" w:color="auto"/>
      </w:divBdr>
    </w:div>
    <w:div w:id="1747680864">
      <w:bodyDiv w:val="1"/>
      <w:marLeft w:val="0"/>
      <w:marRight w:val="0"/>
      <w:marTop w:val="0"/>
      <w:marBottom w:val="0"/>
      <w:divBdr>
        <w:top w:val="none" w:sz="0" w:space="0" w:color="auto"/>
        <w:left w:val="none" w:sz="0" w:space="0" w:color="auto"/>
        <w:bottom w:val="none" w:sz="0" w:space="0" w:color="auto"/>
        <w:right w:val="none" w:sz="0" w:space="0" w:color="auto"/>
      </w:divBdr>
    </w:div>
    <w:div w:id="1748380077">
      <w:bodyDiv w:val="1"/>
      <w:marLeft w:val="0"/>
      <w:marRight w:val="0"/>
      <w:marTop w:val="0"/>
      <w:marBottom w:val="0"/>
      <w:divBdr>
        <w:top w:val="none" w:sz="0" w:space="0" w:color="auto"/>
        <w:left w:val="none" w:sz="0" w:space="0" w:color="auto"/>
        <w:bottom w:val="none" w:sz="0" w:space="0" w:color="auto"/>
        <w:right w:val="none" w:sz="0" w:space="0" w:color="auto"/>
      </w:divBdr>
      <w:divsChild>
        <w:div w:id="951785587">
          <w:marLeft w:val="0"/>
          <w:marRight w:val="0"/>
          <w:marTop w:val="0"/>
          <w:marBottom w:val="0"/>
          <w:divBdr>
            <w:top w:val="none" w:sz="0" w:space="0" w:color="auto"/>
            <w:left w:val="none" w:sz="0" w:space="0" w:color="auto"/>
            <w:bottom w:val="none" w:sz="0" w:space="0" w:color="auto"/>
            <w:right w:val="none" w:sz="0" w:space="0" w:color="auto"/>
          </w:divBdr>
          <w:divsChild>
            <w:div w:id="990208815">
              <w:marLeft w:val="0"/>
              <w:marRight w:val="0"/>
              <w:marTop w:val="0"/>
              <w:marBottom w:val="0"/>
              <w:divBdr>
                <w:top w:val="none" w:sz="0" w:space="0" w:color="auto"/>
                <w:left w:val="none" w:sz="0" w:space="0" w:color="auto"/>
                <w:bottom w:val="none" w:sz="0" w:space="0" w:color="auto"/>
                <w:right w:val="none" w:sz="0" w:space="0" w:color="auto"/>
              </w:divBdr>
            </w:div>
          </w:divsChild>
        </w:div>
        <w:div w:id="1591280349">
          <w:marLeft w:val="0"/>
          <w:marRight w:val="0"/>
          <w:marTop w:val="0"/>
          <w:marBottom w:val="0"/>
          <w:divBdr>
            <w:top w:val="none" w:sz="0" w:space="0" w:color="auto"/>
            <w:left w:val="none" w:sz="0" w:space="0" w:color="auto"/>
            <w:bottom w:val="none" w:sz="0" w:space="0" w:color="auto"/>
            <w:right w:val="none" w:sz="0" w:space="0" w:color="auto"/>
          </w:divBdr>
          <w:divsChild>
            <w:div w:id="197043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094443">
      <w:bodyDiv w:val="1"/>
      <w:marLeft w:val="0"/>
      <w:marRight w:val="0"/>
      <w:marTop w:val="0"/>
      <w:marBottom w:val="0"/>
      <w:divBdr>
        <w:top w:val="none" w:sz="0" w:space="0" w:color="auto"/>
        <w:left w:val="none" w:sz="0" w:space="0" w:color="auto"/>
        <w:bottom w:val="none" w:sz="0" w:space="0" w:color="auto"/>
        <w:right w:val="none" w:sz="0" w:space="0" w:color="auto"/>
      </w:divBdr>
    </w:div>
    <w:div w:id="1760711464">
      <w:bodyDiv w:val="1"/>
      <w:marLeft w:val="0"/>
      <w:marRight w:val="0"/>
      <w:marTop w:val="0"/>
      <w:marBottom w:val="0"/>
      <w:divBdr>
        <w:top w:val="none" w:sz="0" w:space="0" w:color="auto"/>
        <w:left w:val="none" w:sz="0" w:space="0" w:color="auto"/>
        <w:bottom w:val="none" w:sz="0" w:space="0" w:color="auto"/>
        <w:right w:val="none" w:sz="0" w:space="0" w:color="auto"/>
      </w:divBdr>
    </w:div>
    <w:div w:id="1788111943">
      <w:bodyDiv w:val="1"/>
      <w:marLeft w:val="0"/>
      <w:marRight w:val="0"/>
      <w:marTop w:val="0"/>
      <w:marBottom w:val="0"/>
      <w:divBdr>
        <w:top w:val="none" w:sz="0" w:space="0" w:color="auto"/>
        <w:left w:val="none" w:sz="0" w:space="0" w:color="auto"/>
        <w:bottom w:val="none" w:sz="0" w:space="0" w:color="auto"/>
        <w:right w:val="none" w:sz="0" w:space="0" w:color="auto"/>
      </w:divBdr>
      <w:divsChild>
        <w:div w:id="1812359255">
          <w:marLeft w:val="0"/>
          <w:marRight w:val="0"/>
          <w:marTop w:val="0"/>
          <w:marBottom w:val="0"/>
          <w:divBdr>
            <w:top w:val="none" w:sz="0" w:space="0" w:color="auto"/>
            <w:left w:val="none" w:sz="0" w:space="0" w:color="auto"/>
            <w:bottom w:val="none" w:sz="0" w:space="0" w:color="auto"/>
            <w:right w:val="none" w:sz="0" w:space="0" w:color="auto"/>
          </w:divBdr>
        </w:div>
      </w:divsChild>
    </w:div>
    <w:div w:id="1788697507">
      <w:bodyDiv w:val="1"/>
      <w:marLeft w:val="0"/>
      <w:marRight w:val="0"/>
      <w:marTop w:val="0"/>
      <w:marBottom w:val="0"/>
      <w:divBdr>
        <w:top w:val="none" w:sz="0" w:space="0" w:color="auto"/>
        <w:left w:val="none" w:sz="0" w:space="0" w:color="auto"/>
        <w:bottom w:val="none" w:sz="0" w:space="0" w:color="auto"/>
        <w:right w:val="none" w:sz="0" w:space="0" w:color="auto"/>
      </w:divBdr>
    </w:div>
    <w:div w:id="1811364589">
      <w:bodyDiv w:val="1"/>
      <w:marLeft w:val="0"/>
      <w:marRight w:val="0"/>
      <w:marTop w:val="0"/>
      <w:marBottom w:val="0"/>
      <w:divBdr>
        <w:top w:val="none" w:sz="0" w:space="0" w:color="auto"/>
        <w:left w:val="none" w:sz="0" w:space="0" w:color="auto"/>
        <w:bottom w:val="none" w:sz="0" w:space="0" w:color="auto"/>
        <w:right w:val="none" w:sz="0" w:space="0" w:color="auto"/>
      </w:divBdr>
    </w:div>
    <w:div w:id="1814522008">
      <w:bodyDiv w:val="1"/>
      <w:marLeft w:val="0"/>
      <w:marRight w:val="0"/>
      <w:marTop w:val="0"/>
      <w:marBottom w:val="0"/>
      <w:divBdr>
        <w:top w:val="none" w:sz="0" w:space="0" w:color="auto"/>
        <w:left w:val="none" w:sz="0" w:space="0" w:color="auto"/>
        <w:bottom w:val="none" w:sz="0" w:space="0" w:color="auto"/>
        <w:right w:val="none" w:sz="0" w:space="0" w:color="auto"/>
      </w:divBdr>
    </w:div>
    <w:div w:id="1818955441">
      <w:bodyDiv w:val="1"/>
      <w:marLeft w:val="0"/>
      <w:marRight w:val="0"/>
      <w:marTop w:val="0"/>
      <w:marBottom w:val="0"/>
      <w:divBdr>
        <w:top w:val="none" w:sz="0" w:space="0" w:color="auto"/>
        <w:left w:val="none" w:sz="0" w:space="0" w:color="auto"/>
        <w:bottom w:val="none" w:sz="0" w:space="0" w:color="auto"/>
        <w:right w:val="none" w:sz="0" w:space="0" w:color="auto"/>
      </w:divBdr>
    </w:div>
    <w:div w:id="1822190845">
      <w:bodyDiv w:val="1"/>
      <w:marLeft w:val="0"/>
      <w:marRight w:val="0"/>
      <w:marTop w:val="0"/>
      <w:marBottom w:val="0"/>
      <w:divBdr>
        <w:top w:val="none" w:sz="0" w:space="0" w:color="auto"/>
        <w:left w:val="none" w:sz="0" w:space="0" w:color="auto"/>
        <w:bottom w:val="none" w:sz="0" w:space="0" w:color="auto"/>
        <w:right w:val="none" w:sz="0" w:space="0" w:color="auto"/>
      </w:divBdr>
    </w:div>
    <w:div w:id="1870221115">
      <w:bodyDiv w:val="1"/>
      <w:marLeft w:val="0"/>
      <w:marRight w:val="0"/>
      <w:marTop w:val="0"/>
      <w:marBottom w:val="0"/>
      <w:divBdr>
        <w:top w:val="none" w:sz="0" w:space="0" w:color="auto"/>
        <w:left w:val="none" w:sz="0" w:space="0" w:color="auto"/>
        <w:bottom w:val="none" w:sz="0" w:space="0" w:color="auto"/>
        <w:right w:val="none" w:sz="0" w:space="0" w:color="auto"/>
      </w:divBdr>
    </w:div>
    <w:div w:id="1873179266">
      <w:bodyDiv w:val="1"/>
      <w:marLeft w:val="0"/>
      <w:marRight w:val="0"/>
      <w:marTop w:val="0"/>
      <w:marBottom w:val="0"/>
      <w:divBdr>
        <w:top w:val="none" w:sz="0" w:space="0" w:color="auto"/>
        <w:left w:val="none" w:sz="0" w:space="0" w:color="auto"/>
        <w:bottom w:val="none" w:sz="0" w:space="0" w:color="auto"/>
        <w:right w:val="none" w:sz="0" w:space="0" w:color="auto"/>
      </w:divBdr>
    </w:div>
    <w:div w:id="1874343612">
      <w:bodyDiv w:val="1"/>
      <w:marLeft w:val="0"/>
      <w:marRight w:val="0"/>
      <w:marTop w:val="0"/>
      <w:marBottom w:val="0"/>
      <w:divBdr>
        <w:top w:val="none" w:sz="0" w:space="0" w:color="auto"/>
        <w:left w:val="none" w:sz="0" w:space="0" w:color="auto"/>
        <w:bottom w:val="none" w:sz="0" w:space="0" w:color="auto"/>
        <w:right w:val="none" w:sz="0" w:space="0" w:color="auto"/>
      </w:divBdr>
    </w:div>
    <w:div w:id="1877114715">
      <w:bodyDiv w:val="1"/>
      <w:marLeft w:val="0"/>
      <w:marRight w:val="0"/>
      <w:marTop w:val="0"/>
      <w:marBottom w:val="0"/>
      <w:divBdr>
        <w:top w:val="none" w:sz="0" w:space="0" w:color="auto"/>
        <w:left w:val="none" w:sz="0" w:space="0" w:color="auto"/>
        <w:bottom w:val="none" w:sz="0" w:space="0" w:color="auto"/>
        <w:right w:val="none" w:sz="0" w:space="0" w:color="auto"/>
      </w:divBdr>
    </w:div>
    <w:div w:id="1892034929">
      <w:bodyDiv w:val="1"/>
      <w:marLeft w:val="0"/>
      <w:marRight w:val="0"/>
      <w:marTop w:val="0"/>
      <w:marBottom w:val="0"/>
      <w:divBdr>
        <w:top w:val="none" w:sz="0" w:space="0" w:color="auto"/>
        <w:left w:val="none" w:sz="0" w:space="0" w:color="auto"/>
        <w:bottom w:val="none" w:sz="0" w:space="0" w:color="auto"/>
        <w:right w:val="none" w:sz="0" w:space="0" w:color="auto"/>
      </w:divBdr>
    </w:div>
    <w:div w:id="1896623859">
      <w:bodyDiv w:val="1"/>
      <w:marLeft w:val="0"/>
      <w:marRight w:val="0"/>
      <w:marTop w:val="0"/>
      <w:marBottom w:val="0"/>
      <w:divBdr>
        <w:top w:val="none" w:sz="0" w:space="0" w:color="auto"/>
        <w:left w:val="none" w:sz="0" w:space="0" w:color="auto"/>
        <w:bottom w:val="none" w:sz="0" w:space="0" w:color="auto"/>
        <w:right w:val="none" w:sz="0" w:space="0" w:color="auto"/>
      </w:divBdr>
    </w:div>
    <w:div w:id="1938101441">
      <w:bodyDiv w:val="1"/>
      <w:marLeft w:val="0"/>
      <w:marRight w:val="0"/>
      <w:marTop w:val="0"/>
      <w:marBottom w:val="0"/>
      <w:divBdr>
        <w:top w:val="none" w:sz="0" w:space="0" w:color="auto"/>
        <w:left w:val="none" w:sz="0" w:space="0" w:color="auto"/>
        <w:bottom w:val="none" w:sz="0" w:space="0" w:color="auto"/>
        <w:right w:val="none" w:sz="0" w:space="0" w:color="auto"/>
      </w:divBdr>
    </w:div>
    <w:div w:id="1944461571">
      <w:bodyDiv w:val="1"/>
      <w:marLeft w:val="0"/>
      <w:marRight w:val="0"/>
      <w:marTop w:val="0"/>
      <w:marBottom w:val="0"/>
      <w:divBdr>
        <w:top w:val="none" w:sz="0" w:space="0" w:color="auto"/>
        <w:left w:val="none" w:sz="0" w:space="0" w:color="auto"/>
        <w:bottom w:val="none" w:sz="0" w:space="0" w:color="auto"/>
        <w:right w:val="none" w:sz="0" w:space="0" w:color="auto"/>
      </w:divBdr>
    </w:div>
    <w:div w:id="1945192368">
      <w:bodyDiv w:val="1"/>
      <w:marLeft w:val="0"/>
      <w:marRight w:val="0"/>
      <w:marTop w:val="0"/>
      <w:marBottom w:val="0"/>
      <w:divBdr>
        <w:top w:val="none" w:sz="0" w:space="0" w:color="auto"/>
        <w:left w:val="none" w:sz="0" w:space="0" w:color="auto"/>
        <w:bottom w:val="none" w:sz="0" w:space="0" w:color="auto"/>
        <w:right w:val="none" w:sz="0" w:space="0" w:color="auto"/>
      </w:divBdr>
    </w:div>
    <w:div w:id="1948466385">
      <w:bodyDiv w:val="1"/>
      <w:marLeft w:val="0"/>
      <w:marRight w:val="0"/>
      <w:marTop w:val="0"/>
      <w:marBottom w:val="0"/>
      <w:divBdr>
        <w:top w:val="none" w:sz="0" w:space="0" w:color="auto"/>
        <w:left w:val="none" w:sz="0" w:space="0" w:color="auto"/>
        <w:bottom w:val="none" w:sz="0" w:space="0" w:color="auto"/>
        <w:right w:val="none" w:sz="0" w:space="0" w:color="auto"/>
      </w:divBdr>
    </w:div>
    <w:div w:id="1975259610">
      <w:bodyDiv w:val="1"/>
      <w:marLeft w:val="0"/>
      <w:marRight w:val="0"/>
      <w:marTop w:val="0"/>
      <w:marBottom w:val="0"/>
      <w:divBdr>
        <w:top w:val="none" w:sz="0" w:space="0" w:color="auto"/>
        <w:left w:val="none" w:sz="0" w:space="0" w:color="auto"/>
        <w:bottom w:val="none" w:sz="0" w:space="0" w:color="auto"/>
        <w:right w:val="none" w:sz="0" w:space="0" w:color="auto"/>
      </w:divBdr>
    </w:div>
    <w:div w:id="1975938310">
      <w:bodyDiv w:val="1"/>
      <w:marLeft w:val="0"/>
      <w:marRight w:val="0"/>
      <w:marTop w:val="0"/>
      <w:marBottom w:val="0"/>
      <w:divBdr>
        <w:top w:val="none" w:sz="0" w:space="0" w:color="auto"/>
        <w:left w:val="none" w:sz="0" w:space="0" w:color="auto"/>
        <w:bottom w:val="none" w:sz="0" w:space="0" w:color="auto"/>
        <w:right w:val="none" w:sz="0" w:space="0" w:color="auto"/>
      </w:divBdr>
    </w:div>
    <w:div w:id="1979869878">
      <w:bodyDiv w:val="1"/>
      <w:marLeft w:val="0"/>
      <w:marRight w:val="0"/>
      <w:marTop w:val="0"/>
      <w:marBottom w:val="0"/>
      <w:divBdr>
        <w:top w:val="none" w:sz="0" w:space="0" w:color="auto"/>
        <w:left w:val="none" w:sz="0" w:space="0" w:color="auto"/>
        <w:bottom w:val="none" w:sz="0" w:space="0" w:color="auto"/>
        <w:right w:val="none" w:sz="0" w:space="0" w:color="auto"/>
      </w:divBdr>
    </w:div>
    <w:div w:id="1986278330">
      <w:bodyDiv w:val="1"/>
      <w:marLeft w:val="0"/>
      <w:marRight w:val="0"/>
      <w:marTop w:val="0"/>
      <w:marBottom w:val="0"/>
      <w:divBdr>
        <w:top w:val="none" w:sz="0" w:space="0" w:color="auto"/>
        <w:left w:val="none" w:sz="0" w:space="0" w:color="auto"/>
        <w:bottom w:val="none" w:sz="0" w:space="0" w:color="auto"/>
        <w:right w:val="none" w:sz="0" w:space="0" w:color="auto"/>
      </w:divBdr>
    </w:div>
    <w:div w:id="1997564580">
      <w:bodyDiv w:val="1"/>
      <w:marLeft w:val="0"/>
      <w:marRight w:val="0"/>
      <w:marTop w:val="0"/>
      <w:marBottom w:val="0"/>
      <w:divBdr>
        <w:top w:val="none" w:sz="0" w:space="0" w:color="auto"/>
        <w:left w:val="none" w:sz="0" w:space="0" w:color="auto"/>
        <w:bottom w:val="none" w:sz="0" w:space="0" w:color="auto"/>
        <w:right w:val="none" w:sz="0" w:space="0" w:color="auto"/>
      </w:divBdr>
    </w:div>
    <w:div w:id="1999263100">
      <w:bodyDiv w:val="1"/>
      <w:marLeft w:val="0"/>
      <w:marRight w:val="0"/>
      <w:marTop w:val="0"/>
      <w:marBottom w:val="0"/>
      <w:divBdr>
        <w:top w:val="none" w:sz="0" w:space="0" w:color="auto"/>
        <w:left w:val="none" w:sz="0" w:space="0" w:color="auto"/>
        <w:bottom w:val="none" w:sz="0" w:space="0" w:color="auto"/>
        <w:right w:val="none" w:sz="0" w:space="0" w:color="auto"/>
      </w:divBdr>
    </w:div>
    <w:div w:id="2000887417">
      <w:bodyDiv w:val="1"/>
      <w:marLeft w:val="0"/>
      <w:marRight w:val="0"/>
      <w:marTop w:val="0"/>
      <w:marBottom w:val="0"/>
      <w:divBdr>
        <w:top w:val="none" w:sz="0" w:space="0" w:color="auto"/>
        <w:left w:val="none" w:sz="0" w:space="0" w:color="auto"/>
        <w:bottom w:val="none" w:sz="0" w:space="0" w:color="auto"/>
        <w:right w:val="none" w:sz="0" w:space="0" w:color="auto"/>
      </w:divBdr>
    </w:div>
    <w:div w:id="2001421889">
      <w:bodyDiv w:val="1"/>
      <w:marLeft w:val="0"/>
      <w:marRight w:val="0"/>
      <w:marTop w:val="0"/>
      <w:marBottom w:val="0"/>
      <w:divBdr>
        <w:top w:val="none" w:sz="0" w:space="0" w:color="auto"/>
        <w:left w:val="none" w:sz="0" w:space="0" w:color="auto"/>
        <w:bottom w:val="none" w:sz="0" w:space="0" w:color="auto"/>
        <w:right w:val="none" w:sz="0" w:space="0" w:color="auto"/>
      </w:divBdr>
    </w:div>
    <w:div w:id="2005817851">
      <w:bodyDiv w:val="1"/>
      <w:marLeft w:val="0"/>
      <w:marRight w:val="0"/>
      <w:marTop w:val="0"/>
      <w:marBottom w:val="0"/>
      <w:divBdr>
        <w:top w:val="none" w:sz="0" w:space="0" w:color="auto"/>
        <w:left w:val="none" w:sz="0" w:space="0" w:color="auto"/>
        <w:bottom w:val="none" w:sz="0" w:space="0" w:color="auto"/>
        <w:right w:val="none" w:sz="0" w:space="0" w:color="auto"/>
      </w:divBdr>
    </w:div>
    <w:div w:id="2015914503">
      <w:bodyDiv w:val="1"/>
      <w:marLeft w:val="0"/>
      <w:marRight w:val="0"/>
      <w:marTop w:val="0"/>
      <w:marBottom w:val="0"/>
      <w:divBdr>
        <w:top w:val="none" w:sz="0" w:space="0" w:color="auto"/>
        <w:left w:val="none" w:sz="0" w:space="0" w:color="auto"/>
        <w:bottom w:val="none" w:sz="0" w:space="0" w:color="auto"/>
        <w:right w:val="none" w:sz="0" w:space="0" w:color="auto"/>
      </w:divBdr>
    </w:div>
    <w:div w:id="2017460747">
      <w:bodyDiv w:val="1"/>
      <w:marLeft w:val="0"/>
      <w:marRight w:val="0"/>
      <w:marTop w:val="0"/>
      <w:marBottom w:val="0"/>
      <w:divBdr>
        <w:top w:val="none" w:sz="0" w:space="0" w:color="auto"/>
        <w:left w:val="none" w:sz="0" w:space="0" w:color="auto"/>
        <w:bottom w:val="none" w:sz="0" w:space="0" w:color="auto"/>
        <w:right w:val="none" w:sz="0" w:space="0" w:color="auto"/>
      </w:divBdr>
    </w:div>
    <w:div w:id="2033990528">
      <w:bodyDiv w:val="1"/>
      <w:marLeft w:val="0"/>
      <w:marRight w:val="0"/>
      <w:marTop w:val="0"/>
      <w:marBottom w:val="0"/>
      <w:divBdr>
        <w:top w:val="none" w:sz="0" w:space="0" w:color="auto"/>
        <w:left w:val="none" w:sz="0" w:space="0" w:color="auto"/>
        <w:bottom w:val="none" w:sz="0" w:space="0" w:color="auto"/>
        <w:right w:val="none" w:sz="0" w:space="0" w:color="auto"/>
      </w:divBdr>
      <w:divsChild>
        <w:div w:id="135532169">
          <w:marLeft w:val="0"/>
          <w:marRight w:val="0"/>
          <w:marTop w:val="0"/>
          <w:marBottom w:val="0"/>
          <w:divBdr>
            <w:top w:val="none" w:sz="0" w:space="0" w:color="auto"/>
            <w:left w:val="none" w:sz="0" w:space="0" w:color="auto"/>
            <w:bottom w:val="none" w:sz="0" w:space="0" w:color="auto"/>
            <w:right w:val="none" w:sz="0" w:space="0" w:color="auto"/>
          </w:divBdr>
          <w:divsChild>
            <w:div w:id="271398706">
              <w:marLeft w:val="0"/>
              <w:marRight w:val="0"/>
              <w:marTop w:val="0"/>
              <w:marBottom w:val="0"/>
              <w:divBdr>
                <w:top w:val="none" w:sz="0" w:space="0" w:color="auto"/>
                <w:left w:val="none" w:sz="0" w:space="0" w:color="auto"/>
                <w:bottom w:val="none" w:sz="0" w:space="0" w:color="auto"/>
                <w:right w:val="none" w:sz="0" w:space="0" w:color="auto"/>
              </w:divBdr>
            </w:div>
          </w:divsChild>
        </w:div>
        <w:div w:id="1021398925">
          <w:marLeft w:val="0"/>
          <w:marRight w:val="0"/>
          <w:marTop w:val="0"/>
          <w:marBottom w:val="0"/>
          <w:divBdr>
            <w:top w:val="none" w:sz="0" w:space="0" w:color="auto"/>
            <w:left w:val="none" w:sz="0" w:space="0" w:color="auto"/>
            <w:bottom w:val="none" w:sz="0" w:space="0" w:color="auto"/>
            <w:right w:val="none" w:sz="0" w:space="0" w:color="auto"/>
          </w:divBdr>
          <w:divsChild>
            <w:div w:id="45811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8395">
      <w:bodyDiv w:val="1"/>
      <w:marLeft w:val="0"/>
      <w:marRight w:val="0"/>
      <w:marTop w:val="0"/>
      <w:marBottom w:val="0"/>
      <w:divBdr>
        <w:top w:val="none" w:sz="0" w:space="0" w:color="auto"/>
        <w:left w:val="none" w:sz="0" w:space="0" w:color="auto"/>
        <w:bottom w:val="none" w:sz="0" w:space="0" w:color="auto"/>
        <w:right w:val="none" w:sz="0" w:space="0" w:color="auto"/>
      </w:divBdr>
    </w:div>
    <w:div w:id="2038962701">
      <w:bodyDiv w:val="1"/>
      <w:marLeft w:val="0"/>
      <w:marRight w:val="0"/>
      <w:marTop w:val="0"/>
      <w:marBottom w:val="0"/>
      <w:divBdr>
        <w:top w:val="none" w:sz="0" w:space="0" w:color="auto"/>
        <w:left w:val="none" w:sz="0" w:space="0" w:color="auto"/>
        <w:bottom w:val="none" w:sz="0" w:space="0" w:color="auto"/>
        <w:right w:val="none" w:sz="0" w:space="0" w:color="auto"/>
      </w:divBdr>
    </w:div>
    <w:div w:id="2043242734">
      <w:bodyDiv w:val="1"/>
      <w:marLeft w:val="0"/>
      <w:marRight w:val="0"/>
      <w:marTop w:val="0"/>
      <w:marBottom w:val="0"/>
      <w:divBdr>
        <w:top w:val="none" w:sz="0" w:space="0" w:color="auto"/>
        <w:left w:val="none" w:sz="0" w:space="0" w:color="auto"/>
        <w:bottom w:val="none" w:sz="0" w:space="0" w:color="auto"/>
        <w:right w:val="none" w:sz="0" w:space="0" w:color="auto"/>
      </w:divBdr>
    </w:div>
    <w:div w:id="2049451397">
      <w:bodyDiv w:val="1"/>
      <w:marLeft w:val="0"/>
      <w:marRight w:val="0"/>
      <w:marTop w:val="0"/>
      <w:marBottom w:val="0"/>
      <w:divBdr>
        <w:top w:val="none" w:sz="0" w:space="0" w:color="auto"/>
        <w:left w:val="none" w:sz="0" w:space="0" w:color="auto"/>
        <w:bottom w:val="none" w:sz="0" w:space="0" w:color="auto"/>
        <w:right w:val="none" w:sz="0" w:space="0" w:color="auto"/>
      </w:divBdr>
    </w:div>
    <w:div w:id="2071536889">
      <w:bodyDiv w:val="1"/>
      <w:marLeft w:val="0"/>
      <w:marRight w:val="0"/>
      <w:marTop w:val="0"/>
      <w:marBottom w:val="0"/>
      <w:divBdr>
        <w:top w:val="none" w:sz="0" w:space="0" w:color="auto"/>
        <w:left w:val="none" w:sz="0" w:space="0" w:color="auto"/>
        <w:bottom w:val="none" w:sz="0" w:space="0" w:color="auto"/>
        <w:right w:val="none" w:sz="0" w:space="0" w:color="auto"/>
      </w:divBdr>
    </w:div>
    <w:div w:id="2078554246">
      <w:bodyDiv w:val="1"/>
      <w:marLeft w:val="0"/>
      <w:marRight w:val="0"/>
      <w:marTop w:val="0"/>
      <w:marBottom w:val="0"/>
      <w:divBdr>
        <w:top w:val="none" w:sz="0" w:space="0" w:color="auto"/>
        <w:left w:val="none" w:sz="0" w:space="0" w:color="auto"/>
        <w:bottom w:val="none" w:sz="0" w:space="0" w:color="auto"/>
        <w:right w:val="none" w:sz="0" w:space="0" w:color="auto"/>
      </w:divBdr>
    </w:div>
    <w:div w:id="2089375924">
      <w:bodyDiv w:val="1"/>
      <w:marLeft w:val="0"/>
      <w:marRight w:val="0"/>
      <w:marTop w:val="0"/>
      <w:marBottom w:val="0"/>
      <w:divBdr>
        <w:top w:val="none" w:sz="0" w:space="0" w:color="auto"/>
        <w:left w:val="none" w:sz="0" w:space="0" w:color="auto"/>
        <w:bottom w:val="none" w:sz="0" w:space="0" w:color="auto"/>
        <w:right w:val="none" w:sz="0" w:space="0" w:color="auto"/>
      </w:divBdr>
      <w:divsChild>
        <w:div w:id="351689140">
          <w:marLeft w:val="0"/>
          <w:marRight w:val="0"/>
          <w:marTop w:val="0"/>
          <w:marBottom w:val="0"/>
          <w:divBdr>
            <w:top w:val="none" w:sz="0" w:space="0" w:color="auto"/>
            <w:left w:val="none" w:sz="0" w:space="0" w:color="auto"/>
            <w:bottom w:val="none" w:sz="0" w:space="0" w:color="auto"/>
            <w:right w:val="none" w:sz="0" w:space="0" w:color="auto"/>
          </w:divBdr>
          <w:divsChild>
            <w:div w:id="655841483">
              <w:marLeft w:val="0"/>
              <w:marRight w:val="0"/>
              <w:marTop w:val="0"/>
              <w:marBottom w:val="0"/>
              <w:divBdr>
                <w:top w:val="none" w:sz="0" w:space="0" w:color="auto"/>
                <w:left w:val="none" w:sz="0" w:space="0" w:color="auto"/>
                <w:bottom w:val="none" w:sz="0" w:space="0" w:color="auto"/>
                <w:right w:val="none" w:sz="0" w:space="0" w:color="auto"/>
              </w:divBdr>
              <w:divsChild>
                <w:div w:id="96916686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833422398">
          <w:marLeft w:val="0"/>
          <w:marRight w:val="0"/>
          <w:marTop w:val="0"/>
          <w:marBottom w:val="600"/>
          <w:divBdr>
            <w:top w:val="none" w:sz="0" w:space="0" w:color="auto"/>
            <w:left w:val="none" w:sz="0" w:space="0" w:color="auto"/>
            <w:bottom w:val="none" w:sz="0" w:space="0" w:color="auto"/>
            <w:right w:val="none" w:sz="0" w:space="0" w:color="auto"/>
          </w:divBdr>
        </w:div>
      </w:divsChild>
    </w:div>
    <w:div w:id="2101296937">
      <w:bodyDiv w:val="1"/>
      <w:marLeft w:val="0"/>
      <w:marRight w:val="0"/>
      <w:marTop w:val="0"/>
      <w:marBottom w:val="0"/>
      <w:divBdr>
        <w:top w:val="none" w:sz="0" w:space="0" w:color="auto"/>
        <w:left w:val="none" w:sz="0" w:space="0" w:color="auto"/>
        <w:bottom w:val="none" w:sz="0" w:space="0" w:color="auto"/>
        <w:right w:val="none" w:sz="0" w:space="0" w:color="auto"/>
      </w:divBdr>
    </w:div>
    <w:div w:id="2101372300">
      <w:bodyDiv w:val="1"/>
      <w:marLeft w:val="0"/>
      <w:marRight w:val="0"/>
      <w:marTop w:val="0"/>
      <w:marBottom w:val="0"/>
      <w:divBdr>
        <w:top w:val="none" w:sz="0" w:space="0" w:color="auto"/>
        <w:left w:val="none" w:sz="0" w:space="0" w:color="auto"/>
        <w:bottom w:val="none" w:sz="0" w:space="0" w:color="auto"/>
        <w:right w:val="none" w:sz="0" w:space="0" w:color="auto"/>
      </w:divBdr>
      <w:divsChild>
        <w:div w:id="965310937">
          <w:marLeft w:val="0"/>
          <w:marRight w:val="0"/>
          <w:marTop w:val="0"/>
          <w:marBottom w:val="0"/>
          <w:divBdr>
            <w:top w:val="single" w:sz="2" w:space="0" w:color="D9D9E3"/>
            <w:left w:val="single" w:sz="2" w:space="0" w:color="D9D9E3"/>
            <w:bottom w:val="single" w:sz="2" w:space="0" w:color="D9D9E3"/>
            <w:right w:val="single" w:sz="2" w:space="0" w:color="D9D9E3"/>
          </w:divBdr>
          <w:divsChild>
            <w:div w:id="94061791">
              <w:marLeft w:val="0"/>
              <w:marRight w:val="0"/>
              <w:marTop w:val="0"/>
              <w:marBottom w:val="0"/>
              <w:divBdr>
                <w:top w:val="single" w:sz="2" w:space="0" w:color="D9D9E3"/>
                <w:left w:val="single" w:sz="2" w:space="0" w:color="D9D9E3"/>
                <w:bottom w:val="single" w:sz="2" w:space="0" w:color="D9D9E3"/>
                <w:right w:val="single" w:sz="2" w:space="0" w:color="D9D9E3"/>
              </w:divBdr>
              <w:divsChild>
                <w:div w:id="1508783635">
                  <w:marLeft w:val="0"/>
                  <w:marRight w:val="0"/>
                  <w:marTop w:val="0"/>
                  <w:marBottom w:val="0"/>
                  <w:divBdr>
                    <w:top w:val="single" w:sz="2" w:space="0" w:color="D9D9E3"/>
                    <w:left w:val="single" w:sz="2" w:space="0" w:color="D9D9E3"/>
                    <w:bottom w:val="single" w:sz="2" w:space="0" w:color="D9D9E3"/>
                    <w:right w:val="single" w:sz="2" w:space="0" w:color="D9D9E3"/>
                  </w:divBdr>
                  <w:divsChild>
                    <w:div w:id="1038160482">
                      <w:marLeft w:val="0"/>
                      <w:marRight w:val="0"/>
                      <w:marTop w:val="0"/>
                      <w:marBottom w:val="0"/>
                      <w:divBdr>
                        <w:top w:val="single" w:sz="2" w:space="0" w:color="D9D9E3"/>
                        <w:left w:val="single" w:sz="2" w:space="0" w:color="D9D9E3"/>
                        <w:bottom w:val="single" w:sz="2" w:space="0" w:color="D9D9E3"/>
                        <w:right w:val="single" w:sz="2" w:space="0" w:color="D9D9E3"/>
                      </w:divBdr>
                      <w:divsChild>
                        <w:div w:id="1178546541">
                          <w:marLeft w:val="0"/>
                          <w:marRight w:val="0"/>
                          <w:marTop w:val="0"/>
                          <w:marBottom w:val="0"/>
                          <w:divBdr>
                            <w:top w:val="single" w:sz="2" w:space="0" w:color="auto"/>
                            <w:left w:val="single" w:sz="2" w:space="0" w:color="auto"/>
                            <w:bottom w:val="single" w:sz="6" w:space="0" w:color="auto"/>
                            <w:right w:val="single" w:sz="2" w:space="0" w:color="auto"/>
                          </w:divBdr>
                          <w:divsChild>
                            <w:div w:id="851651829">
                              <w:marLeft w:val="0"/>
                              <w:marRight w:val="0"/>
                              <w:marTop w:val="100"/>
                              <w:marBottom w:val="100"/>
                              <w:divBdr>
                                <w:top w:val="single" w:sz="2" w:space="0" w:color="D9D9E3"/>
                                <w:left w:val="single" w:sz="2" w:space="0" w:color="D9D9E3"/>
                                <w:bottom w:val="single" w:sz="2" w:space="0" w:color="D9D9E3"/>
                                <w:right w:val="single" w:sz="2" w:space="0" w:color="D9D9E3"/>
                              </w:divBdr>
                              <w:divsChild>
                                <w:div w:id="1442147217">
                                  <w:marLeft w:val="0"/>
                                  <w:marRight w:val="0"/>
                                  <w:marTop w:val="0"/>
                                  <w:marBottom w:val="0"/>
                                  <w:divBdr>
                                    <w:top w:val="single" w:sz="2" w:space="0" w:color="D9D9E3"/>
                                    <w:left w:val="single" w:sz="2" w:space="0" w:color="D9D9E3"/>
                                    <w:bottom w:val="single" w:sz="2" w:space="0" w:color="D9D9E3"/>
                                    <w:right w:val="single" w:sz="2" w:space="0" w:color="D9D9E3"/>
                                  </w:divBdr>
                                  <w:divsChild>
                                    <w:div w:id="1393692872">
                                      <w:marLeft w:val="0"/>
                                      <w:marRight w:val="0"/>
                                      <w:marTop w:val="0"/>
                                      <w:marBottom w:val="0"/>
                                      <w:divBdr>
                                        <w:top w:val="single" w:sz="2" w:space="0" w:color="D9D9E3"/>
                                        <w:left w:val="single" w:sz="2" w:space="0" w:color="D9D9E3"/>
                                        <w:bottom w:val="single" w:sz="2" w:space="0" w:color="D9D9E3"/>
                                        <w:right w:val="single" w:sz="2" w:space="0" w:color="D9D9E3"/>
                                      </w:divBdr>
                                      <w:divsChild>
                                        <w:div w:id="909000000">
                                          <w:marLeft w:val="0"/>
                                          <w:marRight w:val="0"/>
                                          <w:marTop w:val="0"/>
                                          <w:marBottom w:val="0"/>
                                          <w:divBdr>
                                            <w:top w:val="single" w:sz="2" w:space="0" w:color="D9D9E3"/>
                                            <w:left w:val="single" w:sz="2" w:space="0" w:color="D9D9E3"/>
                                            <w:bottom w:val="single" w:sz="2" w:space="0" w:color="D9D9E3"/>
                                            <w:right w:val="single" w:sz="2" w:space="0" w:color="D9D9E3"/>
                                          </w:divBdr>
                                          <w:divsChild>
                                            <w:div w:id="1371880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112898875">
          <w:marLeft w:val="0"/>
          <w:marRight w:val="0"/>
          <w:marTop w:val="0"/>
          <w:marBottom w:val="0"/>
          <w:divBdr>
            <w:top w:val="none" w:sz="0" w:space="0" w:color="auto"/>
            <w:left w:val="none" w:sz="0" w:space="0" w:color="auto"/>
            <w:bottom w:val="none" w:sz="0" w:space="0" w:color="auto"/>
            <w:right w:val="none" w:sz="0" w:space="0" w:color="auto"/>
          </w:divBdr>
          <w:divsChild>
            <w:div w:id="1398549949">
              <w:marLeft w:val="0"/>
              <w:marRight w:val="0"/>
              <w:marTop w:val="0"/>
              <w:marBottom w:val="0"/>
              <w:divBdr>
                <w:top w:val="single" w:sz="2" w:space="0" w:color="D9D9E3"/>
                <w:left w:val="single" w:sz="2" w:space="0" w:color="D9D9E3"/>
                <w:bottom w:val="single" w:sz="2" w:space="0" w:color="D9D9E3"/>
                <w:right w:val="single" w:sz="2" w:space="0" w:color="D9D9E3"/>
              </w:divBdr>
              <w:divsChild>
                <w:div w:id="1177307867">
                  <w:marLeft w:val="0"/>
                  <w:marRight w:val="0"/>
                  <w:marTop w:val="0"/>
                  <w:marBottom w:val="0"/>
                  <w:divBdr>
                    <w:top w:val="single" w:sz="2" w:space="0" w:color="D9D9E3"/>
                    <w:left w:val="single" w:sz="2" w:space="0" w:color="D9D9E3"/>
                    <w:bottom w:val="single" w:sz="2" w:space="0" w:color="D9D9E3"/>
                    <w:right w:val="single" w:sz="2" w:space="0" w:color="D9D9E3"/>
                  </w:divBdr>
                  <w:divsChild>
                    <w:div w:id="151605409">
                      <w:marLeft w:val="0"/>
                      <w:marRight w:val="0"/>
                      <w:marTop w:val="0"/>
                      <w:marBottom w:val="0"/>
                      <w:divBdr>
                        <w:top w:val="single" w:sz="2" w:space="0" w:color="D9D9E3"/>
                        <w:left w:val="single" w:sz="2" w:space="0" w:color="D9D9E3"/>
                        <w:bottom w:val="single" w:sz="2" w:space="0" w:color="D9D9E3"/>
                        <w:right w:val="single" w:sz="2" w:space="0" w:color="D9D9E3"/>
                      </w:divBdr>
                      <w:divsChild>
                        <w:div w:id="811291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16975683">
      <w:bodyDiv w:val="1"/>
      <w:marLeft w:val="0"/>
      <w:marRight w:val="0"/>
      <w:marTop w:val="0"/>
      <w:marBottom w:val="0"/>
      <w:divBdr>
        <w:top w:val="none" w:sz="0" w:space="0" w:color="auto"/>
        <w:left w:val="none" w:sz="0" w:space="0" w:color="auto"/>
        <w:bottom w:val="none" w:sz="0" w:space="0" w:color="auto"/>
        <w:right w:val="none" w:sz="0" w:space="0" w:color="auto"/>
      </w:divBdr>
    </w:div>
    <w:div w:id="2120561677">
      <w:bodyDiv w:val="1"/>
      <w:marLeft w:val="0"/>
      <w:marRight w:val="0"/>
      <w:marTop w:val="0"/>
      <w:marBottom w:val="0"/>
      <w:divBdr>
        <w:top w:val="none" w:sz="0" w:space="0" w:color="auto"/>
        <w:left w:val="none" w:sz="0" w:space="0" w:color="auto"/>
        <w:bottom w:val="none" w:sz="0" w:space="0" w:color="auto"/>
        <w:right w:val="none" w:sz="0" w:space="0" w:color="auto"/>
      </w:divBdr>
      <w:divsChild>
        <w:div w:id="295139790">
          <w:marLeft w:val="0"/>
          <w:marRight w:val="0"/>
          <w:marTop w:val="0"/>
          <w:marBottom w:val="0"/>
          <w:divBdr>
            <w:top w:val="none" w:sz="0" w:space="0" w:color="auto"/>
            <w:left w:val="none" w:sz="0" w:space="0" w:color="auto"/>
            <w:bottom w:val="none" w:sz="0" w:space="0" w:color="auto"/>
            <w:right w:val="none" w:sz="0" w:space="0" w:color="auto"/>
          </w:divBdr>
          <w:divsChild>
            <w:div w:id="1594780066">
              <w:marLeft w:val="0"/>
              <w:marRight w:val="0"/>
              <w:marTop w:val="0"/>
              <w:marBottom w:val="0"/>
              <w:divBdr>
                <w:top w:val="none" w:sz="0" w:space="0" w:color="auto"/>
                <w:left w:val="none" w:sz="0" w:space="0" w:color="auto"/>
                <w:bottom w:val="none" w:sz="0" w:space="0" w:color="auto"/>
                <w:right w:val="none" w:sz="0" w:space="0" w:color="auto"/>
              </w:divBdr>
              <w:divsChild>
                <w:div w:id="99040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477900">
          <w:marLeft w:val="0"/>
          <w:marRight w:val="0"/>
          <w:marTop w:val="0"/>
          <w:marBottom w:val="0"/>
          <w:divBdr>
            <w:top w:val="none" w:sz="0" w:space="0" w:color="auto"/>
            <w:left w:val="none" w:sz="0" w:space="0" w:color="auto"/>
            <w:bottom w:val="none" w:sz="0" w:space="0" w:color="auto"/>
            <w:right w:val="none" w:sz="0" w:space="0" w:color="auto"/>
          </w:divBdr>
          <w:divsChild>
            <w:div w:id="700320426">
              <w:marLeft w:val="0"/>
              <w:marRight w:val="0"/>
              <w:marTop w:val="0"/>
              <w:marBottom w:val="0"/>
              <w:divBdr>
                <w:top w:val="none" w:sz="0" w:space="0" w:color="auto"/>
                <w:left w:val="none" w:sz="0" w:space="0" w:color="auto"/>
                <w:bottom w:val="none" w:sz="0" w:space="0" w:color="auto"/>
                <w:right w:val="none" w:sz="0" w:space="0" w:color="auto"/>
              </w:divBdr>
              <w:divsChild>
                <w:div w:id="151684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021332">
          <w:marLeft w:val="0"/>
          <w:marRight w:val="0"/>
          <w:marTop w:val="0"/>
          <w:marBottom w:val="0"/>
          <w:divBdr>
            <w:top w:val="none" w:sz="0" w:space="0" w:color="auto"/>
            <w:left w:val="none" w:sz="0" w:space="0" w:color="auto"/>
            <w:bottom w:val="none" w:sz="0" w:space="0" w:color="auto"/>
            <w:right w:val="none" w:sz="0" w:space="0" w:color="auto"/>
          </w:divBdr>
          <w:divsChild>
            <w:div w:id="870656170">
              <w:marLeft w:val="0"/>
              <w:marRight w:val="0"/>
              <w:marTop w:val="0"/>
              <w:marBottom w:val="0"/>
              <w:divBdr>
                <w:top w:val="none" w:sz="0" w:space="0" w:color="auto"/>
                <w:left w:val="none" w:sz="0" w:space="0" w:color="auto"/>
                <w:bottom w:val="none" w:sz="0" w:space="0" w:color="auto"/>
                <w:right w:val="none" w:sz="0" w:space="0" w:color="auto"/>
              </w:divBdr>
              <w:divsChild>
                <w:div w:id="99040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557697">
          <w:marLeft w:val="0"/>
          <w:marRight w:val="0"/>
          <w:marTop w:val="0"/>
          <w:marBottom w:val="0"/>
          <w:divBdr>
            <w:top w:val="none" w:sz="0" w:space="0" w:color="auto"/>
            <w:left w:val="none" w:sz="0" w:space="0" w:color="auto"/>
            <w:bottom w:val="none" w:sz="0" w:space="0" w:color="auto"/>
            <w:right w:val="none" w:sz="0" w:space="0" w:color="auto"/>
          </w:divBdr>
          <w:divsChild>
            <w:div w:id="1165629943">
              <w:marLeft w:val="0"/>
              <w:marRight w:val="0"/>
              <w:marTop w:val="0"/>
              <w:marBottom w:val="0"/>
              <w:divBdr>
                <w:top w:val="none" w:sz="0" w:space="0" w:color="auto"/>
                <w:left w:val="none" w:sz="0" w:space="0" w:color="auto"/>
                <w:bottom w:val="none" w:sz="0" w:space="0" w:color="auto"/>
                <w:right w:val="none" w:sz="0" w:space="0" w:color="auto"/>
              </w:divBdr>
              <w:divsChild>
                <w:div w:id="28023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977674">
          <w:marLeft w:val="0"/>
          <w:marRight w:val="0"/>
          <w:marTop w:val="0"/>
          <w:marBottom w:val="0"/>
          <w:divBdr>
            <w:top w:val="none" w:sz="0" w:space="0" w:color="auto"/>
            <w:left w:val="none" w:sz="0" w:space="0" w:color="auto"/>
            <w:bottom w:val="none" w:sz="0" w:space="0" w:color="auto"/>
            <w:right w:val="none" w:sz="0" w:space="0" w:color="auto"/>
          </w:divBdr>
          <w:divsChild>
            <w:div w:id="1710841655">
              <w:marLeft w:val="0"/>
              <w:marRight w:val="0"/>
              <w:marTop w:val="0"/>
              <w:marBottom w:val="0"/>
              <w:divBdr>
                <w:top w:val="none" w:sz="0" w:space="0" w:color="auto"/>
                <w:left w:val="none" w:sz="0" w:space="0" w:color="auto"/>
                <w:bottom w:val="none" w:sz="0" w:space="0" w:color="auto"/>
                <w:right w:val="none" w:sz="0" w:space="0" w:color="auto"/>
              </w:divBdr>
              <w:divsChild>
                <w:div w:id="4650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917806">
      <w:bodyDiv w:val="1"/>
      <w:marLeft w:val="0"/>
      <w:marRight w:val="0"/>
      <w:marTop w:val="0"/>
      <w:marBottom w:val="0"/>
      <w:divBdr>
        <w:top w:val="none" w:sz="0" w:space="0" w:color="auto"/>
        <w:left w:val="none" w:sz="0" w:space="0" w:color="auto"/>
        <w:bottom w:val="none" w:sz="0" w:space="0" w:color="auto"/>
        <w:right w:val="none" w:sz="0" w:space="0" w:color="auto"/>
      </w:divBdr>
    </w:div>
    <w:div w:id="2132281514">
      <w:bodyDiv w:val="1"/>
      <w:marLeft w:val="0"/>
      <w:marRight w:val="0"/>
      <w:marTop w:val="0"/>
      <w:marBottom w:val="0"/>
      <w:divBdr>
        <w:top w:val="none" w:sz="0" w:space="0" w:color="auto"/>
        <w:left w:val="none" w:sz="0" w:space="0" w:color="auto"/>
        <w:bottom w:val="none" w:sz="0" w:space="0" w:color="auto"/>
        <w:right w:val="none" w:sz="0" w:space="0" w:color="auto"/>
      </w:divBdr>
    </w:div>
    <w:div w:id="21438436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011CECC7B707624EB2DB9EEB3839E210" ma:contentTypeVersion="4" ma:contentTypeDescription="Create a new document." ma:contentTypeScope="" ma:versionID="cffcee9402c625d64d4974ab2c94d5b6">
  <xsd:schema xmlns:xsd="http://www.w3.org/2001/XMLSchema" xmlns:xs="http://www.w3.org/2001/XMLSchema" xmlns:p="http://schemas.microsoft.com/office/2006/metadata/properties" xmlns:ns3="4b7ba30f-0447-4e2f-800f-bfdd0e67c2ca" targetNamespace="http://schemas.microsoft.com/office/2006/metadata/properties" ma:root="true" ma:fieldsID="4852d112c41609c93c60c2cacd78dcac" ns3:_="">
    <xsd:import namespace="4b7ba30f-0447-4e2f-800f-bfdd0e67c2c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7ba30f-0447-4e2f-800f-bfdd0e67c2c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90B188-583A-402E-81A7-A37EEA10C856}">
  <ds:schemaRefs>
    <ds:schemaRef ds:uri="http://schemas.microsoft.com/sharepoint/v3/contenttype/forms"/>
  </ds:schemaRefs>
</ds:datastoreItem>
</file>

<file path=customXml/itemProps2.xml><?xml version="1.0" encoding="utf-8"?>
<ds:datastoreItem xmlns:ds="http://schemas.openxmlformats.org/officeDocument/2006/customXml" ds:itemID="{4258BD70-E1BD-41AB-B27E-2807A085DE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6E556A2-58FA-4E33-83CA-F937DDCF1BBB}">
  <ds:schemaRefs>
    <ds:schemaRef ds:uri="http://schemas.openxmlformats.org/officeDocument/2006/bibliography"/>
  </ds:schemaRefs>
</ds:datastoreItem>
</file>

<file path=customXml/itemProps4.xml><?xml version="1.0" encoding="utf-8"?>
<ds:datastoreItem xmlns:ds="http://schemas.openxmlformats.org/officeDocument/2006/customXml" ds:itemID="{00E55951-9EB5-4EC1-8228-9A0CEA4DF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7ba30f-0447-4e2f-800f-bfdd0e67c2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32</Pages>
  <Words>21215</Words>
  <Characters>120931</Characters>
  <Application>Microsoft Office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Multimodal and Regime-Aware Deep Learning for Next-Day SET Index Direction Forecasting</dc:title>
  <dc:subject/>
  <dc:creator>Pensiri Akkajit</dc:creator>
  <cp:keywords/>
  <dc:description/>
  <cp:lastModifiedBy>Tanawat RUNGWALLAPA</cp:lastModifiedBy>
  <cp:revision>3</cp:revision>
  <cp:lastPrinted>2026-08-13T14:35:00Z</cp:lastPrinted>
  <dcterms:created xsi:type="dcterms:W3CDTF">2026-08-17T14:19:00Z</dcterms:created>
  <dcterms:modified xsi:type="dcterms:W3CDTF">2026-08-18T11:57:00Z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b7fe4ac4badb4d301f9e4fbc0ff7e1d4fe1ede5152d1c3be3824859933e5dcaa</vt:lpwstr>
  </property>
  <property fmtid="{D5CDD505-2E9C-101B-9397-08002B2CF9AE}" pid="3" name="ContentTypeId">
    <vt:lpwstr>0x010100011CECC7B707624EB2DB9EEB3839E210</vt:lpwstr>
  </property>
  <property fmtid="{D5CDD505-2E9C-101B-9397-08002B2CF9AE}" pid="4" name="ZOTERO_PREF_1">
    <vt:lpwstr>&lt;data data-version="3" zotero-version="9.0.6"&gt;&lt;session id="uJCs2Qiw"/&gt;&lt;style id="http://www.zotero.org/styles/apa" locale="en-US" hasBibliography="1" bibliographyStyleHasBeenSet="1"/&gt;&lt;prefs&gt;&lt;pref name="fieldType" value="Field"/&gt;&lt;/prefs&gt;&lt;/data&gt;</vt:lpwstr>
  </property>
</Properties>
</file>