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0B4CFA03" w:rsidR="00FC479C" w:rsidRPr="00466E3D" w:rsidRDefault="00710C26" w:rsidP="009B2B31">
      <w:pPr>
        <w:keepNext/>
        <w:tabs>
          <w:tab w:val="center" w:pos="4680"/>
          <w:tab w:val="left" w:pos="7088"/>
        </w:tabs>
        <w:spacing w:line="360" w:lineRule="auto"/>
        <w:jc w:val="center"/>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Arsanchai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9B2B31">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9B2B31">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222 </w:t>
      </w:r>
      <w:proofErr w:type="spellStart"/>
      <w:r w:rsidRPr="00466E3D">
        <w:rPr>
          <w:rFonts w:ascii="Times New Roman" w:hAnsi="Times New Roman" w:cs="Times New Roman"/>
          <w:sz w:val="24"/>
          <w:szCs w:val="24"/>
        </w:rPr>
        <w:t>Thaiburi</w:t>
      </w:r>
      <w:proofErr w:type="spellEnd"/>
      <w:r w:rsidRPr="00466E3D">
        <w:rPr>
          <w:rFonts w:ascii="Times New Roman" w:hAnsi="Times New Roman" w:cs="Times New Roman"/>
          <w:sz w:val="24"/>
          <w:szCs w:val="24"/>
        </w:rPr>
        <w:t xml:space="preserve">, </w:t>
      </w:r>
      <w:proofErr w:type="spellStart"/>
      <w:r w:rsidRPr="00466E3D">
        <w:rPr>
          <w:rFonts w:ascii="Times New Roman" w:hAnsi="Times New Roman" w:cs="Times New Roman"/>
          <w:sz w:val="24"/>
          <w:szCs w:val="24"/>
        </w:rPr>
        <w:t>Thasala</w:t>
      </w:r>
      <w:proofErr w:type="spellEnd"/>
      <w:r w:rsidRPr="00466E3D">
        <w:rPr>
          <w:rFonts w:ascii="Times New Roman" w:hAnsi="Times New Roman" w:cs="Times New Roman"/>
          <w:sz w:val="24"/>
          <w:szCs w:val="24"/>
        </w:rPr>
        <w:t xml:space="preserve"> District, Nakhon Si Thammarat 80160, Thailand.</w:t>
      </w:r>
    </w:p>
    <w:p w14:paraId="6B06CEF0" w14:textId="77777777" w:rsidR="00710C26" w:rsidRPr="00466E3D" w:rsidRDefault="00710C26" w:rsidP="009B2B31">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Nakhon Si Thammarat 80160, Thailand.</w:t>
      </w:r>
    </w:p>
    <w:p w14:paraId="7F3DB4CF" w14:textId="7718612F" w:rsidR="00710C26" w:rsidRPr="00466E3D" w:rsidRDefault="00857FE5" w:rsidP="009B2B31">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 xml:space="preserve">Faculty of Engineering, </w:t>
      </w:r>
      <w:proofErr w:type="spellStart"/>
      <w:r w:rsidR="00C27182" w:rsidRPr="00C27182">
        <w:rPr>
          <w:rFonts w:ascii="Times New Roman" w:hAnsi="Times New Roman" w:cs="Times New Roman"/>
          <w:sz w:val="24"/>
          <w:szCs w:val="24"/>
        </w:rPr>
        <w:t>Kasetsart</w:t>
      </w:r>
      <w:proofErr w:type="spellEnd"/>
      <w:r w:rsidR="00C27182" w:rsidRPr="00C27182">
        <w:rPr>
          <w:rFonts w:ascii="Times New Roman" w:hAnsi="Times New Roman" w:cs="Times New Roman"/>
          <w:sz w:val="24"/>
          <w:szCs w:val="24"/>
        </w:rPr>
        <w:t xml:space="preserve"> University, Bangkok, 10900 Thailand</w:t>
      </w:r>
      <w:r w:rsidR="007F7553">
        <w:rPr>
          <w:rFonts w:ascii="Times New Roman" w:hAnsi="Times New Roman" w:cs="Times New Roman"/>
          <w:sz w:val="24"/>
          <w:szCs w:val="24"/>
        </w:rPr>
        <w:t>.</w:t>
      </w:r>
    </w:p>
    <w:p w14:paraId="0B2EFFAD" w14:textId="1A25DF94" w:rsidR="00912DEC" w:rsidRPr="009C14B8" w:rsidRDefault="00912DEC" w:rsidP="009B2B31">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w:t>
      </w:r>
      <w:r w:rsidR="00880654">
        <w:rPr>
          <w:rFonts w:ascii="Times New Roman" w:hAnsi="Times New Roman"/>
          <w:bCs/>
          <w:sz w:val="24"/>
          <w:szCs w:val="24"/>
        </w:rPr>
        <w:t>out-of-sample Local-NLP forecasting and intrinsic Bull/Bear/Leader evaluation</w:t>
      </w:r>
      <w:r w:rsidRPr="00916F49">
        <w:rPr>
          <w:rFonts w:ascii="Times New Roman" w:hAnsi="Times New Roman"/>
          <w:bCs/>
          <w:sz w:val="24"/>
          <w:szCs w:val="24"/>
        </w:rPr>
        <w:t>,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w:t>
      </w:r>
      <w:proofErr w:type="spellStart"/>
      <w:r w:rsidRPr="00916F49">
        <w:rPr>
          <w:rFonts w:ascii="Times New Roman" w:hAnsi="Times New Roman"/>
          <w:bCs/>
          <w:sz w:val="24"/>
          <w:szCs w:val="24"/>
        </w:rPr>
        <w:t>Optuna</w:t>
      </w:r>
      <w:proofErr w:type="spellEnd"/>
      <w:r w:rsidRPr="00916F49">
        <w:rPr>
          <w:rFonts w:ascii="Times New Roman" w:hAnsi="Times New Roman"/>
          <w:bCs/>
          <w:sz w:val="24"/>
          <w:szCs w:val="24"/>
        </w:rPr>
        <w:t xml:space="preserve">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485CDC0F" w:rsidR="009960B6" w:rsidRPr="0034462D" w:rsidRDefault="0034462D" w:rsidP="0034462D">
      <w:pPr>
        <w:spacing w:line="360" w:lineRule="auto"/>
        <w:jc w:val="both"/>
        <w:rPr>
          <w:rFonts w:ascii="Times New Roman" w:hAnsi="Times New Roman" w:cs="Times New Roman"/>
          <w:color w:val="000000"/>
          <w:sz w:val="24"/>
          <w:cs/>
        </w:rPr>
      </w:pPr>
      <w:r w:rsidRPr="0034462D">
        <w:rPr>
          <w:rFonts w:ascii="Times New Roman" w:hAnsi="Times New Roman" w:cs="Times New Roman"/>
          <w:color w:val="000000"/>
          <w:sz w:val="24"/>
        </w:rPr>
        <w:t xml:space="preserve">For each article-ticker pair, the scalar sentiment score and its session-level aggregation are defined in Eq. (1). Here,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the set of pairs assigned to session t,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its size, and c denotes the positive, neutral, or negative class. Article count, ticker-mention count, and news availability follow directly from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This signed target-based construction is consistent with the labelled financial-sentiment task used to train the local classifier </w:t>
      </w:r>
      <w:r>
        <w:rPr>
          <w:rFonts w:ascii="Times New Roman" w:hAnsi="Times New Roman"/>
          <w:b/>
          <w:bCs/>
          <w:sz w:val="24"/>
          <w:szCs w:val="24"/>
        </w:rPr>
        <w:fldChar w:fldCharType="begin"/>
      </w:r>
      <w:r>
        <w:rPr>
          <w:rFonts w:ascii="Times New Roman" w:hAnsi="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Pr>
          <w:rFonts w:ascii="Times New Roman" w:hAnsi="Times New Roman"/>
          <w:b/>
          <w:bCs/>
          <w:sz w:val="24"/>
          <w:szCs w:val="24"/>
        </w:rPr>
        <w:fldChar w:fldCharType="separate"/>
      </w:r>
      <w:r w:rsidRPr="0034462D">
        <w:rPr>
          <w:rFonts w:ascii="Times New Roman" w:hAnsi="Times New Roman" w:cs="Times New Roman"/>
          <w:sz w:val="24"/>
        </w:rPr>
        <w:t>(Uthayopas et al., 2025)</w:t>
      </w:r>
      <w:r>
        <w:rPr>
          <w:rFonts w:ascii="Times New Roman" w:hAnsi="Times New Roman"/>
          <w:b/>
          <w:bCs/>
          <w:sz w:val="24"/>
          <w:szCs w:val="24"/>
        </w:rPr>
        <w:fldChar w:fldCharType="end"/>
      </w:r>
      <w:r w:rsidRPr="0034462D">
        <w:rPr>
          <w:rFonts w:ascii="Times New Roman" w:hAnsi="Times New Roman" w:cs="Times New Roman"/>
          <w:color w:val="000000"/>
          <w:sz w:val="24"/>
        </w:rPr>
        <w:t>.</w:t>
      </w:r>
    </w:p>
    <w:p w14:paraId="28D99ECE" w14:textId="5A12DAB2"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r>
      <w:r w:rsidR="0034462D">
        <w:rPr>
          <w:rFonts w:ascii="Times New Roman" w:hAnsi="Times New Roman" w:cs="Times New Roman"/>
          <w:sz w:val="21"/>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StockTBSA</w:t>
      </w:r>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4B63747A" w:rsidR="00916F49"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For feature date t, market variables use only information available through the close at t. The point-in-time regression target and the realized and predicted directions are defined in Eq. (2), following established next-period financial direction-classification formulations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(Fischer &amp; Krauss, 2018; Hoseinzade &amp; Haratizadeh, 2019)</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24D088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r>
      <w:r w:rsidR="0034462D">
        <w:rPr>
          <w:rFonts w:ascii="Times New Roman" w:hAnsi="Times New Roman" w:cs="Times New Roman"/>
          <w:sz w:val="21"/>
        </w:rPr>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w:t>
      </w:r>
      <w:r w:rsidRPr="00916F49">
        <w:rPr>
          <w:rFonts w:ascii="Times New Roman" w:hAnsi="Times New Roman"/>
          <w:bCs/>
          <w:sz w:val="24"/>
          <w:szCs w:val="24"/>
        </w:rPr>
        <w:lastRenderedPageBreak/>
        <w:t>5 days for LSTM, 20 for CNN, 20 for LSTM-CNN, 10 for LSTM-Attention and 20 for LSTM-CNN-Attention. Outer folds trained through 2021, 2022, 2023 and 2024 and tested 2022, 2023, 2024 and 2025 using seeds 42, 123, 456, 789 and 2025. All dates use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w:t>
      </w:r>
      <w:proofErr w:type="spellStart"/>
      <w:r w:rsidRPr="004A3C24">
        <w:rPr>
          <w:rFonts w:ascii="Times New Roman" w:hAnsi="Times New Roman" w:cs="Times New Roman"/>
          <w:bCs/>
          <w:sz w:val="24"/>
          <w:szCs w:val="24"/>
        </w:rPr>
        <w:t>t</w:t>
      </w:r>
      <w:proofErr w:type="spellEnd"/>
      <w:r w:rsidRPr="004A3C24">
        <w:rPr>
          <w:rFonts w:ascii="Times New Roman" w:hAnsi="Times New Roman" w:cs="Times New Roman"/>
          <w:bCs/>
          <w:sz w:val="24"/>
          <w:szCs w:val="24"/>
        </w:rPr>
        <w:t xml:space="preserve">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w:t>
      </w:r>
      <w:r w:rsidRPr="00916F49">
        <w:rPr>
          <w:rFonts w:ascii="Times New Roman" w:hAnsi="Times New Roman"/>
          <w:bCs/>
          <w:sz w:val="24"/>
          <w:szCs w:val="24"/>
        </w:rPr>
        <w:lastRenderedPageBreak/>
        <w:t>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Causal rolling VMD adds six variables. At each t, only the 60 closes from t-59 through t are decomposed using five modes, alpha = 1000, dual-ascent step tau = 0, a DC mode, tolerance 10^-7 and at most 500 iterations. The mode with the highest final </w:t>
      </w:r>
      <w:proofErr w:type="spellStart"/>
      <w:r w:rsidRPr="00916F49">
        <w:rPr>
          <w:rFonts w:ascii="Times New Roman" w:hAnsi="Times New Roman"/>
          <w:bCs/>
          <w:sz w:val="24"/>
          <w:szCs w:val="24"/>
        </w:rPr>
        <w:t>centre</w:t>
      </w:r>
      <w:proofErr w:type="spellEnd"/>
      <w:r w:rsidRPr="00916F49">
        <w:rPr>
          <w:rFonts w:ascii="Times New Roman" w:hAnsi="Times New Roman"/>
          <w:bCs/>
          <w:sz w:val="24"/>
          <w:szCs w:val="24"/>
        </w:rPr>
        <w:t xml:space="preserve"> frequency is treated as noise. Four retained intrinsic mode functions, the denoised close and removed-mode energy ratio produce 122 numerical inputs. VMD is tested as a causal auxiliary representation rather than assumed to improve direction.</w:t>
      </w:r>
    </w:p>
    <w:p w14:paraId="23757C77" w14:textId="477FFF0F"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Equations (3)-(5) formalize the trailing decomposition window, highest-frequency noise-mode rule, denoised close, and removed-mode energy ratio. The quantities u_(</w:t>
      </w:r>
      <w:proofErr w:type="spellStart"/>
      <w:r w:rsidRPr="0034462D">
        <w:rPr>
          <w:rFonts w:ascii="Times New Roman" w:hAnsi="Times New Roman" w:cs="Times New Roman"/>
          <w:color w:val="000000"/>
          <w:sz w:val="24"/>
        </w:rPr>
        <w:t>k,t</w:t>
      </w:r>
      <w:proofErr w:type="spellEnd"/>
      <w:r w:rsidRPr="0034462D">
        <w:rPr>
          <w:rFonts w:ascii="Times New Roman" w:hAnsi="Times New Roman" w:cs="Times New Roman"/>
          <w:color w:val="000000"/>
          <w:sz w:val="24"/>
        </w:rPr>
        <w:t>) and omega_(</w:t>
      </w:r>
      <w:proofErr w:type="spellStart"/>
      <w:r w:rsidRPr="0034462D">
        <w:rPr>
          <w:rFonts w:ascii="Times New Roman" w:hAnsi="Times New Roman" w:cs="Times New Roman"/>
          <w:color w:val="000000"/>
          <w:sz w:val="24"/>
        </w:rPr>
        <w:t>k,t</w:t>
      </w:r>
      <w:proofErr w:type="spellEnd"/>
      <w:r w:rsidRPr="0034462D">
        <w:rPr>
          <w:rFonts w:ascii="Times New Roman" w:hAnsi="Times New Roman" w:cs="Times New Roman"/>
          <w:color w:val="000000"/>
          <w:sz w:val="24"/>
        </w:rPr>
        <w:t xml:space="preserve">) denote mode k estimated at date t and its final </w:t>
      </w:r>
      <w:proofErr w:type="spellStart"/>
      <w:r w:rsidRPr="0034462D">
        <w:rPr>
          <w:rFonts w:ascii="Times New Roman" w:hAnsi="Times New Roman" w:cs="Times New Roman"/>
          <w:color w:val="000000"/>
          <w:sz w:val="24"/>
        </w:rPr>
        <w:t>centre</w:t>
      </w:r>
      <w:proofErr w:type="spellEnd"/>
      <w:r w:rsidRPr="0034462D">
        <w:rPr>
          <w:rFonts w:ascii="Times New Roman" w:hAnsi="Times New Roman" w:cs="Times New Roman"/>
          <w:color w:val="000000"/>
          <w:sz w:val="24"/>
        </w:rPr>
        <w:t xml:space="preserve"> frequency, respectively. The decomposition follows the VMD formulation, while the trailing-window implementation follows the leakage-avoiding window principle used in causal financial VMD forecasting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26ADA9EC" w14:textId="690F92E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r>
      <w:r w:rsidR="0034462D">
        <w:rPr>
          <w:rFonts w:ascii="Times New Roman" w:hAnsi="Times New Roman" w:cs="Times New Roman"/>
        </w:rPr>
        <w:t>(3)</w:t>
      </w:r>
    </w:p>
    <w:p w14:paraId="1A09A25F" w14:textId="4A5E7F10"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r>
      <w:r w:rsidR="0034462D">
        <w:rPr>
          <w:rFonts w:ascii="Times New Roman" w:hAnsi="Times New Roman" w:cs="Times New Roman"/>
          <w:sz w:val="21"/>
        </w:rPr>
        <w:t>(4)</w:t>
      </w:r>
    </w:p>
    <w:p w14:paraId="190C1A7C" w14:textId="1E2C194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r>
      <w:r w:rsidR="0034462D">
        <w:rPr>
          <w:rFonts w:ascii="Times New Roman" w:hAnsi="Times New Roman" w:cs="Times New Roman"/>
        </w:rPr>
        <w:t>(5)</w:t>
      </w:r>
    </w:p>
    <w:p w14:paraId="015EA3AD" w14:textId="4FEED9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3.5 Neural architectures and training</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LSTM(16) followed by Dense(8,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CNN, causal Conv1D(32, kernel 3) followed by global-average pooling and Dense(8,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LSTM(16) followed by the causal convolution and pooling stack; LSTM-Attention, sequence-output LSTM(16) followed by causal two-head attention (key dimension 8), pooling and Dense(8,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Dense(8,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49EE2873" w14:textId="18CC70C0"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lastRenderedPageBreak/>
        <w:t xml:space="preserve">All five architectures minimize the mean squared error objective in Eq. (6), where n is the number of supervised training sequences. This continuous-price objective is widely used in VMD-based deep stock-series forecasting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(T. Liu et al., 2022; Y. Liu et al., 2024)</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4170E9C3" w14:textId="2DEC6833"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nary>
      </m:oMath>
      <w:r w:rsidRPr="009960B6">
        <w:rPr>
          <w:rFonts w:ascii="Times New Roman" w:hAnsi="Times New Roman" w:cs="Times New Roman"/>
          <w:sz w:val="21"/>
        </w:rPr>
        <w:tab/>
      </w:r>
      <w:r w:rsidR="0034462D">
        <w:rPr>
          <w:rFonts w:ascii="Times New Roman" w:hAnsi="Times New Roman" w:cs="Times New Roman"/>
          <w:sz w:val="21"/>
        </w:rPr>
        <w:t>(6)</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t>
      </w:r>
      <w:r w:rsidRPr="00916F49">
        <w:rPr>
          <w:rFonts w:ascii="Times New Roman" w:hAnsi="Times New Roman"/>
          <w:bCs/>
          <w:sz w:val="24"/>
          <w:szCs w:val="24"/>
        </w:rPr>
        <w:lastRenderedPageBreak/>
        <w:t>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3D7F2618"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cohort, and its sentiment accuracy is not interpreted as evidence of downstream forecasting value. Figure 5 summarizes these two distinct audit components.</w:t>
      </w:r>
    </w:p>
    <w:p w14:paraId="115DC18F" w14:textId="6D30261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1E48F48C" w14:textId="321A2F6C" w:rsidR="004A3C24"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 xml:space="preserve">Figure 5. </w:t>
      </w:r>
      <w:r w:rsidRPr="009B2B31">
        <w:rPr>
          <w:rFonts w:ascii="Times New Roman" w:hAnsi="Times New Roman" w:cs="Times New Roman"/>
          <w:sz w:val="24"/>
          <w:szCs w:val="24"/>
        </w:rPr>
        <w:t>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3.7 Causal market regimes and SHAP selection</w:t>
      </w:r>
    </w:p>
    <w:p w14:paraId="738C4AA0" w14:textId="7C40348B"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Daily regimes are assigned without future information using the causal trend score in Eq. (7). H contains the six return horizons in Eq. (8); sigma_(</w:t>
      </w:r>
      <w:proofErr w:type="spellStart"/>
      <w:r w:rsidRPr="0034462D">
        <w:rPr>
          <w:rFonts w:ascii="Times New Roman" w:hAnsi="Times New Roman" w:cs="Times New Roman"/>
          <w:color w:val="000000"/>
          <w:sz w:val="24"/>
        </w:rPr>
        <w:t>t,v</w:t>
      </w:r>
      <w:proofErr w:type="spellEnd"/>
      <w:r w:rsidRPr="0034462D">
        <w:rPr>
          <w:rFonts w:ascii="Times New Roman" w:hAnsi="Times New Roman" w:cs="Times New Roman"/>
          <w:color w:val="000000"/>
          <w:sz w:val="24"/>
        </w:rPr>
        <w:t xml:space="preserve">(h)) is trailing volatility, with v(h)=20 sessions for h up to 20 and 60 sessions for h=60. ADX_(14,t) scales trend strength and EWMA_3 smooths the composite score. The construction adapts bull/bear phase analysis, multi-horizon time-series momentum and ADX trend strength to a causal day-level routing rule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 Wilder, 1978)</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13DC64FF" w14:textId="2AA3A176"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r>
      <w:r w:rsidR="0034462D">
        <w:rPr>
          <w:rFonts w:ascii="Times New Roman" w:hAnsi="Times New Roman" w:cs="Times New Roman"/>
        </w:rPr>
        <w:t>(7)</w:t>
      </w:r>
    </w:p>
    <w:p w14:paraId="01C5CB18" w14:textId="62CBD92F"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r>
      <w:r w:rsidR="0034462D">
        <w:rPr>
          <w:rFonts w:ascii="Times New Roman" w:hAnsi="Times New Roman" w:cs="Times New Roman"/>
        </w:rPr>
        <w:t>(8)</w:t>
      </w:r>
    </w:p>
    <w:p w14:paraId="50CD31E5" w14:textId="348A7456"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For outer fold f, the symmetric deadband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in Eq. (9) is the 35th percentile of absolute training-fold scores only. Date t is Bull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exceeds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Bear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is below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and Sideway otherwise. The state at t routes the prediction for t+1; targets and future columns are never used in regime construction. The train-only deadband is the study-specific causal adaptation of established bull/bear and momentum definitions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0D5E431A" w14:textId="62A89C72"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r>
      <w:r w:rsidR="0034462D">
        <w:rPr>
          <w:rFonts w:ascii="Times New Roman" w:hAnsi="Times New Roman" w:cs="Times New Roman"/>
          <w:sz w:val="21"/>
        </w:rPr>
        <w:t>(9)</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55F5ECC5"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Within regime r, feature j is ranked by the mean absolute SHAP value in Eq. (10), computed only from the training ranking set T_r. The selected set S_r(k) contains the k highest-ranked features. SHAP is an additive feature-attribution framework for assigning prediction-specific feature contributions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Pr="0034462D">
        <w:rPr>
          <w:rFonts w:ascii="Times New Roman" w:hAnsi="Times New Roman" w:cs="Times New Roman"/>
          <w:color w:val="000000"/>
          <w:sz w:val="24"/>
        </w:rPr>
        <w:t>.</w:t>
      </w:r>
    </w:p>
    <w:p w14:paraId="40D5DD75" w14:textId="40882A0A"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r>
      <w:r w:rsidR="0034462D">
        <w:rPr>
          <w:rFonts w:ascii="Times New Roman" w:hAnsi="Times New Roman" w:cs="Times New Roman"/>
        </w:rPr>
        <w:t>(10)</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w:t>
      </w:r>
      <w:r w:rsidRPr="00916F49">
        <w:rPr>
          <w:rFonts w:ascii="Times New Roman" w:hAnsi="Times New Roman"/>
          <w:bCs/>
          <w:sz w:val="24"/>
          <w:szCs w:val="24"/>
        </w:rPr>
        <w:lastRenderedPageBreak/>
        <w:t>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1C4210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Balanced accuracy is defined in Eq. (11), giving equal weight to sensitivity and specificity and therefore avoiding inflation from the majority class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3F1DC001" w14:textId="16205D88"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r>
      <w:r w:rsidR="0034462D">
        <w:rPr>
          <w:rFonts w:ascii="Times New Roman" w:hAnsi="Times New Roman" w:cs="Times New Roman"/>
          <w:sz w:val="21"/>
        </w:rPr>
        <w:t>(11)</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0379CF34" w:rsidR="009960B6" w:rsidRPr="00B5560B" w:rsidRDefault="0034462D" w:rsidP="0034462D">
      <w:pPr>
        <w:spacing w:line="360" w:lineRule="auto"/>
        <w:jc w:val="both"/>
        <w:rPr>
          <w:rFonts w:ascii="Times New Roman" w:hAnsi="Times New Roman" w:hint="cs"/>
          <w:color w:val="000000"/>
          <w:sz w:val="24"/>
          <w:cs/>
        </w:rPr>
      </w:pPr>
      <w:bookmarkStart w:id="0" w:name="_Hlk127275562"/>
      <w:r w:rsidRPr="0034462D">
        <w:rPr>
          <w:rFonts w:ascii="Times New Roman" w:hAnsi="Times New Roman" w:cs="Times New Roman"/>
          <w:color w:val="000000"/>
          <w:sz w:val="24"/>
        </w:rPr>
        <w:t xml:space="preserve">For paired arms A and B, Eq. (12) first averages the five seed-level balanced-accuracy differences within each architecture m and outer year y, and then averages the four year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(Holm, 1979; Politis &amp; Romano, 1992)</w:t>
      </w:r>
      <w:r>
        <w:rPr>
          <w:rFonts w:ascii="Times New Roman" w:hAnsi="Times New Roman" w:cs="Times New Roman"/>
          <w:b/>
          <w:sz w:val="24"/>
          <w:szCs w:val="24"/>
        </w:rPr>
        <w:fldChar w:fldCharType="end"/>
      </w:r>
    </w:p>
    <w:p w14:paraId="58B3E7B6" w14:textId="0825A2C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r>
      <w:r w:rsidR="0034462D">
        <w:rPr>
          <w:rFonts w:ascii="Times New Roman" w:hAnsi="Times New Roman" w:cs="Times New Roman"/>
          <w:sz w:val="19"/>
        </w:rPr>
        <w:t>(12)</w:t>
      </w:r>
    </w:p>
    <w:p w14:paraId="50089B7E" w14:textId="6AED63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r>
      <w:r w:rsidR="0034462D">
        <w:rPr>
          <w:rFonts w:ascii="Times New Roman" w:hAnsi="Times New Roman" w:cs="Angsana New"/>
          <w:sz w:val="19"/>
          <w:cs/>
        </w:rPr>
        <w:t>(13)</w:t>
      </w:r>
    </w:p>
    <w:p w14:paraId="7C554421" w14:textId="338FC56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lastRenderedPageBreak/>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r>
      <w:r w:rsidR="0034462D">
        <w:rPr>
          <w:rFonts w:ascii="Times New Roman" w:hAnsi="Times New Roman" w:cs="Times New Roman"/>
          <w:sz w:val="19"/>
        </w:rPr>
        <w:t>(14)</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5F2F21D9" w:rsidR="00F06F20" w:rsidRPr="00F06F20" w:rsidRDefault="00D0143A" w:rsidP="009960B6">
      <w:pPr>
        <w:keepNext/>
        <w:keepLines/>
        <w:spacing w:before="240" w:line="360" w:lineRule="auto"/>
        <w:rPr>
          <w:rFonts w:ascii="Times New Roman" w:hAnsi="Times New Roman" w:cs="Times New Roman"/>
          <w:b/>
          <w:bCs/>
          <w:sz w:val="24"/>
          <w:szCs w:val="24"/>
        </w:rPr>
      </w:pPr>
      <w:r w:rsidRPr="00D0143A">
        <w:rPr>
          <w:rFonts w:ascii="Times New Roman" w:eastAsia="Times New Roman" w:hAnsi="Times New Roman" w:cs="Times New Roman"/>
          <w:b/>
          <w:sz w:val="24"/>
          <w:szCs w:val="24"/>
        </w:rPr>
        <w:t>4. Results and Discussion</w:t>
      </w:r>
    </w:p>
    <w:p w14:paraId="071F7BC5" w14:textId="77777777"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A8D3EB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Full-TA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+VMD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w:t>
      </w:r>
      <w:proofErr w:type="spellStart"/>
      <w:r w:rsidRPr="000829A5">
        <w:rPr>
          <w:rFonts w:ascii="Times New Roman" w:hAnsi="Times New Roman" w:cs="Times New Roman"/>
          <w:sz w:val="24"/>
          <w:szCs w:val="24"/>
        </w:rPr>
        <w:t>BAcc</w:t>
      </w:r>
      <w:proofErr w:type="spellEnd"/>
      <w:r w:rsidRPr="000829A5">
        <w:rPr>
          <w:rFonts w:ascii="Times New Roman" w:hAnsi="Times New Roman" w:cs="Times New Roman"/>
          <w:sz w:val="24"/>
          <w:szCs w:val="24"/>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6D484E48" w14:textId="28F14C77"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 Y. Liu et al., 2024)</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Our ablation instead removes only the highest-frequency mode, keeps architectures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2F4E6F92" w14:textId="0E79AF57"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w:t>
      </w:r>
      <w:r w:rsidRPr="000829A5">
        <w:rPr>
          <w:rFonts w:ascii="Times New Roman" w:hAnsi="Times New Roman" w:cs="Times New Roman"/>
          <w:sz w:val="24"/>
          <w:szCs w:val="24"/>
        </w:rPr>
        <w:lastRenderedPageBreak/>
        <w:t>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51D8093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 xml:space="preserve">Delta </w:t>
            </w: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32C9553" w14:textId="6A53298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(W.-J. Liu et al., 2024; M. Wang et al., 2024)</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shuffled-news comparison is especially informative: if dated semantic information were driving the forecast, breaking its temporal alignment should materially reduce performance. Because that did not occur after adjustment, the news channel more likely acted as a weak proxy or noisy </w:t>
      </w:r>
      <w:proofErr w:type="spellStart"/>
      <w:r w:rsidRPr="0034462D">
        <w:rPr>
          <w:rFonts w:ascii="Times New Roman" w:hAnsi="Times New Roman" w:cs="Times New Roman"/>
          <w:bCs/>
          <w:color w:val="000000"/>
          <w:sz w:val="24"/>
          <w:szCs w:val="24"/>
        </w:rPr>
        <w:t>regularizer</w:t>
      </w:r>
      <w:proofErr w:type="spellEnd"/>
      <w:r w:rsidRPr="0034462D">
        <w:rPr>
          <w:rFonts w:ascii="Times New Roman" w:hAnsi="Times New Roman" w:cs="Times New Roman"/>
          <w:bCs/>
          <w:color w:val="000000"/>
          <w:sz w:val="24"/>
          <w:szCs w:val="24"/>
        </w:rPr>
        <w:t xml:space="preserve"> than as stable dated information. This does not show that financial news is uninformative; it narrows the claim to this out-of-sample daily representation under a fixed compute budget.</w:t>
      </w:r>
    </w:p>
    <w:p w14:paraId="7D6744B3" w14:textId="2465DF19" w:rsidR="0038564F" w:rsidRDefault="00880654" w:rsidP="009960B6">
      <w:pPr>
        <w:keepNext/>
        <w:keepLines/>
        <w:spacing w:before="180" w:after="80" w:line="360" w:lineRule="auto"/>
        <w:rPr>
          <w:rFonts w:ascii="Times New Roman" w:hAnsi="Times New Roman"/>
          <w:b/>
          <w:bCs/>
          <w:sz w:val="24"/>
          <w:szCs w:val="24"/>
        </w:rPr>
      </w:pPr>
      <w:r>
        <w:rPr>
          <w:rFonts w:ascii="Times New Roman" w:hAnsi="Times New Roman"/>
          <w:b/>
          <w:bCs/>
          <w:sz w:val="24"/>
          <w:szCs w:val="24"/>
        </w:rPr>
        <w:t>4.3 The LLM role system improved intrinsic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article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spacing w:before="60" w:line="240" w:lineRule="auto"/>
        <w:rPr>
          <w:rFonts w:ascii="Times New Roman" w:hAnsi="Times New Roman" w:cs="Times New Roman"/>
          <w:b/>
          <w:bCs/>
          <w:sz w:val="24"/>
          <w:szCs w:val="24"/>
        </w:rPr>
      </w:pPr>
      <w:r>
        <w:rPr>
          <w:rFonts w:ascii="Times New Roman" w:hAnsi="Times New Roman" w:cs="Times New Roman"/>
          <w:i/>
          <w:iCs/>
          <w:sz w:val="24"/>
          <w:szCs w:val="24"/>
        </w:rPr>
        <w:t>Note: Table 3B reports intrinsic sentiment performance on the locked 2023 cohort. These results must not be interpreted as evidence of downstream SET50 forecasting value.</w:t>
      </w:r>
    </w:p>
    <w:p w14:paraId="7999A36F" w14:textId="7BAAA7C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Pr>
          <w:rFonts w:ascii="Times New Roman" w:eastAsia="Times New Roman" w:hAnsi="Times New Roman"/>
          <w:b/>
          <w:sz w:val="24"/>
          <w:szCs w:val="24"/>
          <w:cs/>
        </w:rPr>
        <w:fldChar w:fldCharType="separate"/>
      </w:r>
      <w:r w:rsidRPr="0034462D">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34462D">
        <w:rPr>
          <w:rFonts w:ascii="Times New Roman" w:hAnsi="Times New Roman" w:cs="Times New Roman"/>
          <w:bCs/>
          <w:color w:val="000000"/>
          <w:sz w:val="24"/>
          <w:szCs w:val="24"/>
        </w:rPr>
        <w:t>. The equal-call and near-cost controls matter because they separate role diversity from the simpler benefit of spending more inference calls. However, the 2023 local classifier still exceeded the Leader by 6.23 accuracy points (82.82% versus 76.59%). This gap is informative rather than contradictory: the supervised classifier is optimized on a narrow target with repeated domain-specific lexical cues, whereas the LLM allocates capacity to broader reasoning and may be less calibrated to the local label policy. The result therefore suggests that Bull/Bear role separation recovers some ambiguous cases but does not replace temporally supervised domain calibration. Recent finance-agent reviews similarly identify prompt sensitivity and limited real-time adaptability as barriers to deployment, so the intrinsic gain remains distinct from downstream market value.</w:t>
      </w:r>
    </w:p>
    <w:p w14:paraId="12647C94" w14:textId="4A033F21"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 xml:space="preserve">Delta </w:t>
            </w:r>
            <w:proofErr w:type="spellStart"/>
            <w:r w:rsidRPr="000959B0">
              <w:rPr>
                <w:rFonts w:ascii="Times New Roman" w:hAnsi="Times New Roman" w:cs="Times New Roman"/>
                <w:b/>
                <w:iCs/>
                <w:sz w:val="16"/>
              </w:rPr>
              <w:t>BAcc</w:t>
            </w:r>
            <w:proofErr w:type="spellEnd"/>
            <w:r w:rsidRPr="000959B0">
              <w:rPr>
                <w:rFonts w:ascii="Times New Roman" w:hAnsi="Times New Roman" w:cs="Times New Roman"/>
                <w:b/>
                <w:iCs/>
                <w:sz w:val="16"/>
              </w:rPr>
              <w:t xml:space="preserve">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 xml:space="preserve">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w:t>
      </w:r>
      <w:r w:rsidRPr="00880654">
        <w:rPr>
          <w:rFonts w:ascii="Times New Roman" w:hAnsi="Times New Roman" w:cs="Times New Roman"/>
          <w:sz w:val="24"/>
          <w:szCs w:val="24"/>
        </w:rPr>
        <w:lastRenderedPageBreak/>
        <w:t>complete factorial is retained as post-hoc integrated evidence in Table S5 rather than promoted as a success claim.</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26F4F236" w14:textId="6EE8D02F"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 Yeo et al., 2025)</w:t>
      </w:r>
      <w:r w:rsidRPr="00823AE8">
        <w:rPr>
          <w:rFonts w:ascii="Times New Roman" w:hAnsi="Times New Roman" w:cs="Times New Roman"/>
          <w:sz w:val="24"/>
          <w:szCs w:val="24"/>
        </w:rPr>
        <w:fldChar w:fldCharType="end"/>
      </w:r>
      <w:r w:rsidRPr="0034462D">
        <w:rPr>
          <w:rFonts w:ascii="Times New Roman" w:hAnsi="Times New Roman" w:cs="Times New Roman"/>
          <w:bCs/>
          <w:color w:val="000000"/>
          <w:sz w:val="24"/>
          <w:szCs w:val="24"/>
        </w:rPr>
        <w:t>. The low-fidelity LIME result reinforces that caution; consequently, the CNN effect is evidence of a model-specific routing hypothesis, not a universal regime feature set.</w:t>
      </w:r>
    </w:p>
    <w:p w14:paraId="0E01A98F" w14:textId="7EFF65E5"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Partial-2026 performance exposed majority-side collapse</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lastRenderedPageBreak/>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41DB6121"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1EFBC17" w14:textId="0C3DD46B"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w:t>
      </w:r>
      <w:proofErr w:type="spellStart"/>
      <w:r w:rsidRPr="0034462D">
        <w:rPr>
          <w:rFonts w:ascii="Times New Roman" w:hAnsi="Times New Roman" w:cs="Times New Roman"/>
          <w:bCs/>
          <w:color w:val="000000"/>
          <w:sz w:val="24"/>
          <w:szCs w:val="24"/>
        </w:rPr>
        <w:t>backtest</w:t>
      </w:r>
      <w:proofErr w:type="spellEnd"/>
      <w:r w:rsidRPr="0034462D">
        <w:rPr>
          <w:rFonts w:ascii="Times New Roman" w:hAnsi="Times New Roman" w:cs="Times New Roman"/>
          <w:bCs/>
          <w:color w:val="000000"/>
          <w:sz w:val="24"/>
          <w:szCs w:val="24"/>
        </w:rPr>
        <w:t xml:space="preserve"> selection and multiplicity; it supports retaining that result as a diagnostic rather than a profitability claim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(Arnott et al., 2019; Bailey &amp; López de Prado, 2014; Olorunnimbe &amp; Viktor, 2023)</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w:t>
      </w:r>
    </w:p>
    <w:p w14:paraId="1DF141AC" w14:textId="65087EA7"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retuning, </w:t>
      </w:r>
      <w:proofErr w:type="spellStart"/>
      <w:r w:rsidRPr="00916F49">
        <w:rPr>
          <w:rFonts w:ascii="Times New Roman" w:hAnsi="Times New Roman" w:cs="Times New Roman"/>
          <w:sz w:val="24"/>
          <w:szCs w:val="24"/>
        </w:rPr>
        <w:t>Optuna</w:t>
      </w:r>
      <w:proofErr w:type="spellEnd"/>
      <w:r w:rsidRPr="00916F49">
        <w:rPr>
          <w:rFonts w:ascii="Times New Roman" w:hAnsi="Times New Roman" w:cs="Times New Roman"/>
          <w:sz w:val="24"/>
          <w:szCs w:val="24"/>
        </w:rPr>
        <w:t xml:space="preserve">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5ED820CA"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retuning.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SET50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SET100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468F74C" w14:textId="1A5F7C5E" w:rsidR="0034462D"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(Bergmeir et al., 2018; Olorunnimbe &amp; Viktor, 2023; Sezer et al., 2020; The Stock Exchange of Thailand, n.d.-a, n.d.-b)</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The uniformly negative point estimates are consistent with feature-window mismatch rather than a different macro regime, because the outer years are identical. This stricter frozen design differs from dataset-specific studies that retune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368444A3" w14:textId="17E7D87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cs="Times New Roman"/>
          <w:bCs/>
          <w:sz w:val="24"/>
          <w:szCs w:val="24"/>
        </w:rPr>
        <w:t>Figure 7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Figure 7. Architecture-wise point-estimate summary across completed audit pillars. Heatmap cells report paired balanced-accuracy changes in percentage points for VMD, Observed-News versus Market-Only, Regime-SHAP versus Regime-All and SET100 minus matched SET50; green denotes positive and red denotes negative point estimates. The lower panel reports the Leader's intrinsic sentiment-accuracy gains over compute-matched controls as a separate endpoint. Confidence intervals and Holm-adjusted p-values are reported in Tables 2, 3A, 4 and 5B.</w:t>
      </w:r>
    </w:p>
    <w:p w14:paraId="5C7901C7" w14:textId="65A7D4DD" w:rsidR="00916F49" w:rsidRPr="00916F49" w:rsidRDefault="00D0143A"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5.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 xml:space="preserve">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w:t>
      </w:r>
      <w:r w:rsidRPr="00916F49">
        <w:rPr>
          <w:rFonts w:ascii="Times New Roman" w:hAnsi="Times New Roman" w:cs="Times New Roman"/>
          <w:sz w:val="24"/>
          <w:szCs w:val="24"/>
        </w:rPr>
        <w:lastRenderedPageBreak/>
        <w:t>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w:t>
      </w:r>
      <w:r w:rsidRPr="00916F49">
        <w:rPr>
          <w:rFonts w:ascii="Times New Roman" w:hAnsi="Times New Roman" w:cs="Times New Roman"/>
          <w:sz w:val="24"/>
          <w:szCs w:val="24"/>
        </w:rPr>
        <w:lastRenderedPageBreak/>
        <w:t xml:space="preserve">2024-2025 headlines remain subject to the Stock Exchange of Thailand website terms and Bilingual StockTBSA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EE2D9" w14:textId="77777777" w:rsidR="000023E0" w:rsidRDefault="000023E0" w:rsidP="0021264C">
      <w:pPr>
        <w:spacing w:after="0" w:line="240" w:lineRule="auto"/>
      </w:pPr>
      <w:r>
        <w:separator/>
      </w:r>
    </w:p>
  </w:endnote>
  <w:endnote w:type="continuationSeparator" w:id="0">
    <w:p w14:paraId="4144A96E" w14:textId="77777777" w:rsidR="000023E0" w:rsidRDefault="000023E0"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3A6ED" w14:textId="77777777" w:rsidR="000023E0" w:rsidRDefault="000023E0" w:rsidP="0021264C">
      <w:pPr>
        <w:spacing w:after="0" w:line="240" w:lineRule="auto"/>
      </w:pPr>
      <w:r>
        <w:separator/>
      </w:r>
    </w:p>
  </w:footnote>
  <w:footnote w:type="continuationSeparator" w:id="0">
    <w:p w14:paraId="7F7621F7" w14:textId="77777777" w:rsidR="000023E0" w:rsidRDefault="000023E0"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3E0"/>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33"/>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858"/>
    <w:rsid w:val="009A721E"/>
    <w:rsid w:val="009B1435"/>
    <w:rsid w:val="009B2585"/>
    <w:rsid w:val="009B2B31"/>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60B"/>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1</Pages>
  <Words>19539</Words>
  <Characters>111375</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4</cp:revision>
  <cp:lastPrinted>2026-08-13T14:35:00Z</cp:lastPrinted>
  <dcterms:created xsi:type="dcterms:W3CDTF">2026-08-14T08:41:00Z</dcterms:created>
  <dcterms:modified xsi:type="dcterms:W3CDTF">2026-08-15T08:53:00Z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