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960B6">
      <w:pPr>
        <w:keepNext/>
        <w:tabs>
          <w:tab w:val="center" w:pos="4680"/>
          <w:tab w:val="left" w:pos="7088"/>
        </w:tabs>
        <w:spacing w:line="360" w:lineRule="auto"/>
        <w:jc w:val="center"/>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9960B6">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9960B6">
      <w:pPr>
        <w:keepNext/>
        <w:spacing w:after="0" w:line="240" w:lineRule="auto"/>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9960B6">
      <w:pPr>
        <w:keepNext/>
        <w:spacing w:after="0" w:line="240" w:lineRule="auto"/>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9960B6">
      <w:pPr>
        <w:keepNext/>
        <w:spacing w:after="0" w:line="240" w:lineRule="auto"/>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960B6">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w:t>
      </w:r>
      <w:r w:rsidR="00880654">
        <w:rPr>
          <w:rFonts w:ascii="Times New Roman" w:hAnsi="Times New Roman"/>
          <w:bCs/>
          <w:sz w:val="24"/>
          <w:szCs w:val="24"/>
        </w:rPr>
        <w:t>out-of-sample Local-NLP forecasting and intrinsic Bull/Bear/Leader evaluation</w:t>
      </w:r>
      <w:r w:rsidRPr="00916F49">
        <w:rPr>
          <w:rFonts w:ascii="Times New Roman" w:hAnsi="Times New Roman"/>
          <w:bCs/>
          <w:sz w:val="24"/>
          <w:szCs w:val="24"/>
        </w:rPr>
        <w:t>,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485CDC0F" w:rsidR="009960B6" w:rsidRPr="0034462D" w:rsidRDefault="0034462D" w:rsidP="0034462D">
      <w:pPr>
        <w:spacing w:line="360" w:lineRule="auto"/>
        <w:jc w:val="both"/>
        <w:rPr>
          <w:rFonts w:ascii="Times New Roman" w:hAnsi="Times New Roman" w:cs="Times New Roman"/>
          <w:color w:val="000000"/>
          <w:sz w:val="24"/>
          <w:cs/>
        </w:rPr>
      </w:pPr>
      <w:r w:rsidRPr="0034462D">
        <w:rPr>
          <w:rFonts w:ascii="Times New Roman" w:hAnsi="Times New Roman" w:cs="Times New Roman"/>
          <w:color w:val="000000"/>
          <w:sz w:val="24"/>
        </w:rPr>
        <w:t xml:space="preserve">For each article-ticker pair, the scalar sentiment score and its session-level aggregation are defined in Eq. (1). Here, N_t is the set of pairs assigned to session t, n_t is its size, and c denotes the positive, neutral, or negative class. Article count, ticker-mention count, and news availability follow directly from N_t. This signed target-based construction is consistent with the labelled financial-sentiment task used to train the local classifier </w:t>
      </w:r>
      <w:r>
        <w:rPr>
          <w:rFonts w:ascii="Times New Roman" w:hAnsi="Times New Roman"/>
          <w:b/>
          <w:bCs/>
          <w:sz w:val="24"/>
          <w:szCs w:val="24"/>
        </w:rPr>
        <w:fldChar w:fldCharType="begin"/>
      </w:r>
      <w:r>
        <w:rPr>
          <w:rFonts w:ascii="Times New Roman" w:hAnsi="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Pr>
          <w:rFonts w:ascii="Times New Roman" w:hAnsi="Times New Roman"/>
          <w:b/>
          <w:bCs/>
          <w:sz w:val="24"/>
          <w:szCs w:val="24"/>
        </w:rPr>
        <w:fldChar w:fldCharType="separate"/>
      </w:r>
      <w:r w:rsidRPr="0034462D">
        <w:rPr>
          <w:rFonts w:ascii="Times New Roman" w:hAnsi="Times New Roman" w:cs="Times New Roman"/>
          <w:sz w:val="24"/>
        </w:rPr>
        <w:t>(Uthayopas et al., 2025)</w:t>
      </w:r>
      <w:r>
        <w:rPr>
          <w:rFonts w:ascii="Times New Roman" w:hAnsi="Times New Roman"/>
          <w:b/>
          <w:bCs/>
          <w:sz w:val="24"/>
          <w:szCs w:val="24"/>
        </w:rPr>
        <w:fldChar w:fldCharType="end"/>
      </w:r>
      <w:r w:rsidRPr="0034462D">
        <w:rPr>
          <w:rFonts w:ascii="Times New Roman" w:hAnsi="Times New Roman" w:cs="Times New Roman"/>
          <w:color w:val="000000"/>
          <w:sz w:val="24"/>
        </w:rPr>
        <w:t>.</w:t>
      </w:r>
    </w:p>
    <w:p w14:paraId="28D99ECE" w14:textId="5A12DAB2"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r>
      <w:r w:rsidR="0034462D">
        <w:rPr>
          <w:rFonts w:ascii="Times New Roman" w:hAnsi="Times New Roman" w:cs="Times New Roman"/>
          <w:sz w:val="21"/>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StockTBSA</w:t>
      </w:r>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4B63747A" w:rsidR="00916F49"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For feature date t, market variables use only information available through the close at t. The point-in-time regression target and the realized and predicted directions are defined in Eq. (2), following established next-period financial direction-classification formulations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(Fischer &amp; Krauss, 2018; Hoseinzade &amp; Haratizadeh, 2019)</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24D088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r>
      <w:r w:rsidR="0034462D">
        <w:rPr>
          <w:rFonts w:ascii="Times New Roman" w:hAnsi="Times New Roman" w:cs="Times New Roman"/>
          <w:sz w:val="21"/>
        </w:rPr>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w:t>
      </w:r>
      <w:r w:rsidRPr="00916F49">
        <w:rPr>
          <w:rFonts w:ascii="Times New Roman" w:hAnsi="Times New Roman"/>
          <w:bCs/>
          <w:sz w:val="24"/>
          <w:szCs w:val="24"/>
        </w:rPr>
        <w:lastRenderedPageBreak/>
        <w:t>5 days for LSTM, 20 for CNN, 20 for LSTM-CNN, 10 for LSTM-Attention and 20 for LSTM-CNN-Attention. Outer folds trained through 2021, 2022, 2023 and 2024 and tested 2022, 2023, 2024 and 2025 using seeds 42, 123, 456, 789 and 2025. All dates use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w:t>
      </w:r>
      <w:r w:rsidRPr="00916F49">
        <w:rPr>
          <w:rFonts w:ascii="Times New Roman" w:hAnsi="Times New Roman"/>
          <w:bCs/>
          <w:sz w:val="24"/>
          <w:szCs w:val="24"/>
        </w:rPr>
        <w:lastRenderedPageBreak/>
        <w:t>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23757C77" w14:textId="477FFF0F"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Equations (3)-(5) formalize the trailing decomposition window, highest-frequency noise-mode rule, denoised close, and removed-mode energy ratio. The quantities u_(k,t) and omega_(k,t) denote mode k estimated at date t and its final centre frequency, respectively. The decomposition follows the VMD formulation, while the trailing-window implementation follows the leakage-avoiding window principle used in causal financial VMD forecasting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26ADA9EC" w14:textId="690F92E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r>
      <w:r w:rsidR="0034462D">
        <w:rPr>
          <w:rFonts w:ascii="Times New Roman" w:hAnsi="Times New Roman" w:cs="Times New Roman"/>
        </w:rPr>
        <w:t>(3)</w:t>
      </w:r>
    </w:p>
    <w:p w14:paraId="1A09A25F" w14:textId="4A5E7F10"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r>
      <w:r w:rsidR="0034462D">
        <w:rPr>
          <w:rFonts w:ascii="Times New Roman" w:hAnsi="Times New Roman" w:cs="Times New Roman"/>
          <w:sz w:val="21"/>
        </w:rPr>
        <w:t>(4)</w:t>
      </w:r>
    </w:p>
    <w:p w14:paraId="190C1A7C" w14:textId="1E2C194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r>
      <w:r w:rsidR="0034462D">
        <w:rPr>
          <w:rFonts w:ascii="Times New Roman" w:hAnsi="Times New Roman" w:cs="Times New Roman"/>
        </w:rPr>
        <w:t>(5)</w:t>
      </w:r>
    </w:p>
    <w:p w14:paraId="015EA3AD" w14:textId="4FEED9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3.5 Neural architectures and training</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49EE2873" w14:textId="18CC70C0"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lastRenderedPageBreak/>
        <w:t xml:space="preserve">All five architectures minimize the mean squared error objective in Eq. (6), where n is the number of supervised training sequences. This continuous-price objective is widely used in VMD-based deep stock-series forecasting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(T. Liu et al., 2022; Y. Liu et al., 2024)</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4170E9C3" w14:textId="2DEC6833"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nary>
      </m:oMath>
      <w:r w:rsidRPr="009960B6">
        <w:rPr>
          <w:rFonts w:ascii="Times New Roman" w:hAnsi="Times New Roman" w:cs="Times New Roman"/>
          <w:sz w:val="21"/>
        </w:rPr>
        <w:tab/>
      </w:r>
      <w:r w:rsidR="0034462D">
        <w:rPr>
          <w:rFonts w:ascii="Times New Roman" w:hAnsi="Times New Roman" w:cs="Times New Roman"/>
          <w:sz w:val="21"/>
        </w:rPr>
        <w:t>(6)</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t>
      </w:r>
      <w:r w:rsidRPr="00916F49">
        <w:rPr>
          <w:rFonts w:ascii="Times New Roman" w:hAnsi="Times New Roman"/>
          <w:bCs/>
          <w:sz w:val="24"/>
          <w:szCs w:val="24"/>
        </w:rPr>
        <w:lastRenderedPageBreak/>
        <w:t>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3D7F2618"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cohort, and its sentiment accuracy is not interpreted as evidence of downstream forecasting value. Figure 5 summarizes these two distinct audit components.</w:t>
      </w:r>
    </w:p>
    <w:p w14:paraId="115DC18F" w14:textId="6D30261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1E48F48C" w14:textId="6D2CA1A5" w:rsidR="004A3C24"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Figure 5. 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3.7 Causal market regimes and SHAP selection</w:t>
      </w:r>
    </w:p>
    <w:p w14:paraId="738C4AA0" w14:textId="7C40348B"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Daily regimes are assigned without future information using the causal trend score in Eq. (7). H contains the six return horizons in Eq. (8); sigma_(t,v(h)) is trailing volatility, with v(h)=20 sessions for h up to 20 and 60 sessions for h=60. ADX_(14,t) scales trend strength and EWMA_3 smooths the composite score. The construction adapts bull/bear phase analysis, multi-horizon time-series momentum and ADX trend strength to a causal day-level routing rule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 Wilder, 1978)</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13DC64FF" w14:textId="2AA3A176"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r>
      <w:r w:rsidR="0034462D">
        <w:rPr>
          <w:rFonts w:ascii="Times New Roman" w:hAnsi="Times New Roman" w:cs="Times New Roman"/>
        </w:rPr>
        <w:t>(7)</w:t>
      </w:r>
    </w:p>
    <w:p w14:paraId="01C5CB18" w14:textId="62CBD92F"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r>
      <w:r w:rsidR="0034462D">
        <w:rPr>
          <w:rFonts w:ascii="Times New Roman" w:hAnsi="Times New Roman" w:cs="Times New Roman"/>
        </w:rPr>
        <w:t>(8)</w:t>
      </w:r>
    </w:p>
    <w:p w14:paraId="50CD31E5" w14:textId="348A7456"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For outer fold f, the symmetric deadband lambda_f in Eq. (9) is the 35th percentile of absolute training-fold scores only. Date t is Bull when z_t exceeds lambda_f, Bear when z_t is below -lambda_f, and Sideway otherwise. The state at t routes the prediction for t+1; targets and future columns are never used in regime construction. The train-only deadband is the study-specific causal adaptation of established bull/bear and momentum definitions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0D5E431A" w14:textId="62A89C72"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r>
      <w:r w:rsidR="0034462D">
        <w:rPr>
          <w:rFonts w:ascii="Times New Roman" w:hAnsi="Times New Roman" w:cs="Times New Roman"/>
          <w:sz w:val="21"/>
        </w:rPr>
        <w:t>(9)</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55F5ECC5"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Within regime r, feature j is ranked by the mean absolute SHAP value in Eq. (10), computed only from the training ranking set T_r. The selected set S_r(k) contains the k highest-ranked features. SHAP is an additive feature-attribution framework for assigning prediction-specific feature contributions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Pr="0034462D">
        <w:rPr>
          <w:rFonts w:ascii="Times New Roman" w:hAnsi="Times New Roman" w:cs="Times New Roman"/>
          <w:color w:val="000000"/>
          <w:sz w:val="24"/>
        </w:rPr>
        <w:t>.</w:t>
      </w:r>
    </w:p>
    <w:p w14:paraId="40D5DD75" w14:textId="40882A0A"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r>
      <w:r w:rsidR="0034462D">
        <w:rPr>
          <w:rFonts w:ascii="Times New Roman" w:hAnsi="Times New Roman" w:cs="Times New Roman"/>
        </w:rPr>
        <w:t>(10)</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w:t>
      </w:r>
      <w:r w:rsidRPr="00916F49">
        <w:rPr>
          <w:rFonts w:ascii="Times New Roman" w:hAnsi="Times New Roman"/>
          <w:bCs/>
          <w:sz w:val="24"/>
          <w:szCs w:val="24"/>
        </w:rPr>
        <w:lastRenderedPageBreak/>
        <w:t>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1C4210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Balanced accuracy is defined in Eq. (11), giving equal weight to sensitivity and specificity and therefore avoiding inflation from the majority class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3F1DC001" w14:textId="16205D88"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r>
      <w:r w:rsidR="0034462D">
        <w:rPr>
          <w:rFonts w:ascii="Times New Roman" w:hAnsi="Times New Roman" w:cs="Times New Roman"/>
          <w:sz w:val="21"/>
        </w:rPr>
        <w:t>(11)</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4DE77870" w:rsidR="009960B6" w:rsidRPr="0034462D" w:rsidRDefault="0034462D" w:rsidP="0034462D">
      <w:pPr>
        <w:spacing w:line="360" w:lineRule="auto"/>
        <w:jc w:val="both"/>
        <w:rPr>
          <w:rFonts w:ascii="Times New Roman" w:hAnsi="Times New Roman" w:cs="Times New Roman"/>
          <w:color w:val="000000"/>
          <w:sz w:val="24"/>
          <w:cs/>
        </w:rPr>
      </w:pPr>
      <w:bookmarkStart w:id="0" w:name="_Hlk127275562"/>
      <w:r w:rsidRPr="0034462D">
        <w:rPr>
          <w:rFonts w:ascii="Times New Roman" w:hAnsi="Times New Roman" w:cs="Times New Roman"/>
          <w:color w:val="000000"/>
          <w:sz w:val="24"/>
        </w:rPr>
        <w:t xml:space="preserve">For paired arms A and B, Eq. (12) first averages the five seed-level balanced-accuracy differences within each architecture m and outer year y, and then averages the four year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(Holm, 1979; Politis &amp; Romano, 1992)</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58B3E7B6" w14:textId="0825A2C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r>
      <w:r w:rsidR="0034462D">
        <w:rPr>
          <w:rFonts w:ascii="Times New Roman" w:hAnsi="Times New Roman" w:cs="Times New Roman"/>
          <w:sz w:val="19"/>
        </w:rPr>
        <w:t>(12)</w:t>
      </w:r>
    </w:p>
    <w:p w14:paraId="50089B7E" w14:textId="6AED63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r>
      <w:r w:rsidR="0034462D">
        <w:rPr>
          <w:rFonts w:ascii="Times New Roman" w:hAnsi="Times New Roman" w:cs="Angsana New"/>
          <w:sz w:val="19"/>
          <w:cs/>
        </w:rPr>
        <w:t>(13)</w:t>
      </w:r>
    </w:p>
    <w:p w14:paraId="7C554421" w14:textId="338FC56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lastRenderedPageBreak/>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r>
      <w:r w:rsidR="0034462D">
        <w:rPr>
          <w:rFonts w:ascii="Times New Roman" w:hAnsi="Times New Roman" w:cs="Times New Roman"/>
          <w:sz w:val="19"/>
        </w:rPr>
        <w:t>(14)</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1FED5CFB" w:rsidR="00F06F20" w:rsidRPr="004B02B2" w:rsidRDefault="004B02B2" w:rsidP="004B02B2">
      <w:pPr>
        <w:keepNext/>
        <w:keepLines/>
        <w:spacing w:before="240" w:line="360" w:lineRule="auto"/>
        <w:rPr>
          <w:rFonts w:ascii="Times New Roman" w:hAnsi="Times New Roman" w:cs="Times New Roman"/>
          <w:b/>
          <w:bCs/>
          <w:color w:val="000000"/>
          <w:sz w:val="24"/>
          <w:szCs w:val="24"/>
        </w:rPr>
      </w:pPr>
      <w:r w:rsidRPr="004B02B2">
        <w:rPr>
          <w:rFonts w:ascii="Times New Roman" w:eastAsia="Times New Roman" w:hAnsi="Times New Roman" w:cs="Times New Roman"/>
          <w:b/>
          <w:color w:val="000000"/>
          <w:sz w:val="24"/>
          <w:szCs w:val="24"/>
        </w:rPr>
        <w:t>4. Results</w:t>
      </w:r>
    </w:p>
    <w:p w14:paraId="071F7BC5" w14:textId="77777777"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A8D3EB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Full-TA BAcc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+VMD BAcc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6D484E48" w14:textId="28F14C77"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 Y. Liu et al., 2024)</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Our ablation instead removes only the highest-frequency mode, keeps architectures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2F4E6F92" w14:textId="0E79AF57"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w:t>
      </w:r>
      <w:r w:rsidRPr="000829A5">
        <w:rPr>
          <w:rFonts w:ascii="Times New Roman" w:hAnsi="Times New Roman" w:cs="Times New Roman"/>
          <w:sz w:val="24"/>
          <w:szCs w:val="24"/>
        </w:rPr>
        <w:lastRenderedPageBreak/>
        <w:t>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51D8093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Delta BAcc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32C9553" w14:textId="6A53298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(W.-J. Liu et al., 2024; M. Wang et al., 2024)</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shuffled-news comparison is especially informative: if dated semantic information were driving the forecast, breaking its temporal alignment should materially reduce performance. Because that did not occur after adjustment, the news channel more likely acted as a weak proxy or noisy regularizer than as stable dated information. This does not show that financial news is uninformative; it narrows the claim to this out-of-sample daily representation under a fixed compute budget.</w:t>
      </w:r>
    </w:p>
    <w:p w14:paraId="7D6744B3" w14:textId="2465DF19" w:rsidR="0038564F" w:rsidRDefault="00880654" w:rsidP="009960B6">
      <w:pPr>
        <w:keepNext/>
        <w:keepLines/>
        <w:spacing w:before="180" w:after="80" w:line="360" w:lineRule="auto"/>
        <w:rPr>
          <w:rFonts w:ascii="Times New Roman" w:hAnsi="Times New Roman"/>
          <w:b/>
          <w:bCs/>
          <w:sz w:val="24"/>
          <w:szCs w:val="24"/>
        </w:rPr>
      </w:pPr>
      <w:r>
        <w:rPr>
          <w:rFonts w:ascii="Times New Roman" w:hAnsi="Times New Roman"/>
          <w:b/>
          <w:bCs/>
          <w:sz w:val="24"/>
          <w:szCs w:val="24"/>
        </w:rPr>
        <w:t>4.3 The LLM role system improved intrinsic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article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spacing w:before="60" w:line="240" w:lineRule="auto"/>
        <w:rPr>
          <w:rFonts w:ascii="Times New Roman" w:hAnsi="Times New Roman" w:cs="Times New Roman"/>
          <w:b/>
          <w:bCs/>
          <w:sz w:val="24"/>
          <w:szCs w:val="24"/>
        </w:rPr>
      </w:pPr>
      <w:r>
        <w:rPr>
          <w:rFonts w:ascii="Times New Roman" w:hAnsi="Times New Roman" w:cs="Times New Roman"/>
          <w:i/>
          <w:iCs/>
          <w:sz w:val="24"/>
          <w:szCs w:val="24"/>
        </w:rPr>
        <w:t>Note: Table 3B reports intrinsic sentiment performance on the locked 2023 cohort. These results must not be interpreted as evidence of downstream SET50 forecasting value.</w:t>
      </w:r>
    </w:p>
    <w:p w14:paraId="7999A36F" w14:textId="7BAAA7C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Pr>
          <w:rFonts w:ascii="Times New Roman" w:eastAsia="Times New Roman" w:hAnsi="Times New Roman"/>
          <w:b/>
          <w:sz w:val="24"/>
          <w:szCs w:val="24"/>
          <w:cs/>
        </w:rPr>
        <w:fldChar w:fldCharType="separate"/>
      </w:r>
      <w:r w:rsidRPr="0034462D">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34462D">
        <w:rPr>
          <w:rFonts w:ascii="Times New Roman" w:hAnsi="Times New Roman" w:cs="Times New Roman"/>
          <w:bCs/>
          <w:color w:val="000000"/>
          <w:sz w:val="24"/>
          <w:szCs w:val="24"/>
        </w:rPr>
        <w:t>. The equal-call and near-cost controls matter because they separate role diversity from the simpler benefit of spending more inference calls. However, the 2023 local classifier still exceeded the Leader by 6.23 accuracy points (82.82% versus 76.59%). This gap is informative rather than contradictory: the supervised classifier is optimized on a narrow target with repeated domain-specific lexical cues, whereas the LLM allocates capacity to broader reasoning and may be less calibrated to the local label policy. The result therefore suggests that Bull/Bear role separation recovers some ambiguous cases but does not replace temporally supervised domain calibration. Recent finance-agent reviews similarly identify prompt sensitivity and limited real-time adaptability as barriers to deployment, so the intrinsic gain remains distinct from downstream market value.</w:t>
      </w:r>
    </w:p>
    <w:p w14:paraId="12647C94" w14:textId="4A033F21"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Delta BAcc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 xml:space="preserve">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w:t>
      </w:r>
      <w:r w:rsidRPr="00880654">
        <w:rPr>
          <w:rFonts w:ascii="Times New Roman" w:hAnsi="Times New Roman" w:cs="Times New Roman"/>
          <w:sz w:val="24"/>
          <w:szCs w:val="24"/>
        </w:rPr>
        <w:lastRenderedPageBreak/>
        <w:t>complete factorial is retained as post-hoc integrated evidence in Table S5 rather than promoted as a success claim.</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26F4F236" w14:textId="6EE8D02F"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 Yeo et al., 2025)</w:t>
      </w:r>
      <w:r w:rsidRPr="00823AE8">
        <w:rPr>
          <w:rFonts w:ascii="Times New Roman" w:hAnsi="Times New Roman" w:cs="Times New Roman"/>
          <w:sz w:val="24"/>
          <w:szCs w:val="24"/>
        </w:rPr>
        <w:fldChar w:fldCharType="end"/>
      </w:r>
      <w:r w:rsidRPr="0034462D">
        <w:rPr>
          <w:rFonts w:ascii="Times New Roman" w:hAnsi="Times New Roman" w:cs="Times New Roman"/>
          <w:bCs/>
          <w:color w:val="000000"/>
          <w:sz w:val="24"/>
          <w:szCs w:val="24"/>
        </w:rPr>
        <w:t>. The low-fidelity LIME result reinforces that caution; consequently, the CNN effect is evidence of a model-specific routing hypothesis, not a universal regime feature set.</w:t>
      </w:r>
    </w:p>
    <w:p w14:paraId="0E01A98F" w14:textId="7EFF65E5"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Partial-2026 performance exposed majority-side collapse</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lastRenderedPageBreak/>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41DB6121"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BAcc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1EFBC17" w14:textId="0C3DD46B"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backtest selection and multiplicity; it supports retaining that result as a diagnostic rather than a profitability claim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(Arnott et al., 2019; Bailey &amp; López de Prado, 2014; Olorunnimbe &amp; Viktor, 2023)</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w:t>
      </w:r>
    </w:p>
    <w:p w14:paraId="1DF141AC" w14:textId="65087EA7"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5ED820CA"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retuning.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SET50 BAcc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SET100 BAcc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468F74C" w14:textId="1A5F7C5E" w:rsidR="0034462D"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(Bergmeir et al., 2018; Olorunnimbe &amp; Viktor, 2023; Sezer et al., 2020; The Stock Exchange of Thailand, n.d.-a, n.d.-b)</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The uniformly negative point estimates are consistent with feature-window mismatch rather than a different macro regime, because the outer years are identical. This stricter frozen design differs from dataset-specific studies that retune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368444A3" w14:textId="17E7D87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cs="Times New Roman"/>
          <w:bCs/>
          <w:sz w:val="24"/>
          <w:szCs w:val="24"/>
        </w:rPr>
        <w:t>Figure 7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Figure 7. Architecture-wise point-estimate summary across completed audit pillars. Heatmap cells report paired balanced-accuracy changes in percentage points for VMD, Observed-News versus Market-Only, Regime-SHAP versus Regime-All and SET100 minus matched SET50; green denotes positive and red denotes negative point estimates. The lower panel reports the Leader's intrinsic sentiment-accuracy gains over compute-matched controls as a separate endpoint. Confidence intervals and Holm-adjusted p-values are reported in Tables 2, 3A, 4 and 5B.</w:t>
      </w:r>
    </w:p>
    <w:p w14:paraId="390DD41E" w14:textId="77777777" w:rsidR="004B02B2"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t>5. Discussion</w:t>
      </w:r>
    </w:p>
    <w:p w14:paraId="0A326580" w14:textId="4FE23FD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Taken together, the results indicate that reliability depended more on the temporal contract and the fit between representation and architecture than on cumulative model complexity. VMD, predicted news and regime-SHAP produced effects with different signs across the five architectures, while the frozen SET100 transfer weakened every model. This architecture- and setting-sensitivity is consistent with financial deep-learning reviews that identify data representation, validation design and market context as major sources of apparent performance variation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{"citationID":"51dff9e4","properties":{"unsorted":false,"formattedCitation":"(Olorunnimbe \u0026 Viktor, 2023; Sezer et al., 2020)","plainCitation":"(Olorunnimbe \u0026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4B02B2">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Pr="004B02B2">
        <w:rPr>
          <w:rFonts w:ascii="Times New Roman" w:hAnsi="Times New Roman" w:cs="Times New Roman"/>
          <w:color w:val="000000"/>
          <w:sz w:val="24"/>
          <w:szCs w:val="24"/>
        </w:rPr>
        <w:t>. The paper therefore does not infer a universal hierarchy from isolated winning cells; it treats those cells as hypotheses that must survive matched budgets, falsification and temporal transfer.</w:t>
      </w:r>
    </w:p>
    <w:p w14:paraId="6E1D60ED" w14:textId="776441EF"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lastRenderedPageBreak/>
        <w:t xml:space="preserve">Across the component ablations, a common compression-capacity trade-off provides the most coherent explanation. VMD removes high-frequency variation, daily sentiment compresses multiple articles into a scalar and regime-SHAP restricts the input set within smaller conditional samples. Each operation can improve signal-to-noise alignment for one architecture while removing weak complementary information required by another. Consequently, benefits reported by continuous-price VMD systems and richer news-interaction systems do not directly contradict the mixed next-day directional effects observed here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{"citationID":"686a4392","properties":{"unsorted":false,"formattedCitation":"(T. Liu et al., 2022; Y. Liu et al., 2024; W.-J. Liu et al., 2024; M. Wang et al., 2024)","plainCitation":"(T. Liu et al., 2022; Y. Liu et al., 2024; W.-J. Liu et al., 2024; M. Wang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4B02B2">
        <w:rPr>
          <w:rFonts w:ascii="Times New Roman" w:hAnsi="Times New Roman" w:cs="Times New Roman"/>
          <w:sz w:val="24"/>
        </w:rPr>
        <w:t>(T. Liu et al., 2022; Y. Liu et al., 2024; W.-J. Liu et al., 2024; M. Wang et al., 2024)</w:t>
      </w:r>
      <w:r>
        <w:rPr>
          <w:rFonts w:ascii="Times New Roman" w:hAnsi="Times New Roman" w:cs="Times New Roman"/>
          <w:b/>
          <w:sz w:val="24"/>
          <w:szCs w:val="24"/>
        </w:rPr>
        <w:fldChar w:fldCharType="end"/>
      </w:r>
      <w:r w:rsidRPr="004B02B2">
        <w:rPr>
          <w:rFonts w:ascii="Times New Roman" w:hAnsi="Times New Roman" w:cs="Times New Roman"/>
          <w:color w:val="000000"/>
          <w:sz w:val="24"/>
          <w:szCs w:val="24"/>
        </w:rPr>
        <w:t>. The positive LSTM-CNN VMD cell and CNN regime-SHAP cell should therefore be interpreted as architecture-specific interactions, not evidence that either enhancement is generally beneficial.</w:t>
      </w:r>
    </w:p>
    <w:p w14:paraId="5BAA0922" w14:textId="2CF538E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intrinsic LLM experiment addresses a related but distinct level of reliability. Bull/Bear role separation improved sentiment accuracy relative to equal-call and near-cost controls, supporting the possibility that structured argument diversity contributes information beyond repeated sampling alone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{"citationID":"ac0331fd","properties":{"unsorted":false,"formattedCitation":"(Du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Pr>
          <w:rFonts w:ascii="Times New Roman" w:eastAsia="Times New Roman" w:hAnsi="Times New Roman"/>
          <w:b/>
          <w:sz w:val="24"/>
          <w:szCs w:val="24"/>
          <w:cs/>
        </w:rPr>
        <w:fldChar w:fldCharType="separate"/>
      </w:r>
      <w:r w:rsidRPr="004B02B2">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4B02B2">
        <w:rPr>
          <w:rFonts w:ascii="Times New Roman" w:hAnsi="Times New Roman" w:cs="Times New Roman"/>
          <w:color w:val="000000"/>
          <w:sz w:val="24"/>
          <w:szCs w:val="24"/>
        </w:rPr>
        <w:t>. However, the local supervised classifier remained stronger, and an authoritative Leader-derived downstream forecasting arm was not available on the locked common cohort. The defensible inference is therefore limited to intrinsic sentiment classification: better role-structured reasoning does not, by itself, demonstrate incremental next-day market predictability. Keeping those endpoints separate prevents an upstream benchmark gain from being misrepresented as a trading or forecasting gain.</w:t>
      </w:r>
    </w:p>
    <w:p w14:paraId="0D7D2528" w14:textId="3E9A807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inferential results further distinguish absence of conclusive evidence from evidence of no effect. Four outer years impose a minimum exact two-sided sign-flip p-value of 0.125, whereas Holm adjustment protects the registered family against selective emphasis. Balanced accuracy, shuffled and lagged controls, the partial-2026 stress test and frozen same-exchange transfer expose failure modes that raw accuracy or a single holdout would miss. This interpretation follows established cautions concerning class-sensitive evaluation, temporal cross-validation and backtest selection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{"citationID":"afa64926","properties":{"unsorted":false,"formattedCitation":"(Brodersen et al., 2010; Bergmeir et al., 2018; Arnott et al., 2019; Bailey \u0026 López de Prado, 2014)","plainCitation":"(Brodersen et al., 2010; Bergmeir et al., 2018; Arnott et al., 2019; Bailey \u0026 López de Prado, 2014)","noteIndex":0},"citationItems":[{"id":23,"uris":["http://zotero.org/users/local/DPQnJvcs/items/MEQTKLIC"],"itemData":{"id":23,"type":"paper-conference","container-title":"2010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Pr>
          <w:rFonts w:ascii="Times New Roman" w:eastAsia="Times New Roman" w:hAnsi="Times New Roman" w:cs="Times New Roman"/>
          <w:b/>
          <w:sz w:val="24"/>
          <w:szCs w:val="24"/>
        </w:rPr>
        <w:fldChar w:fldCharType="separate"/>
      </w:r>
      <w:r w:rsidRPr="004B02B2">
        <w:rPr>
          <w:rFonts w:ascii="Times New Roman" w:hAnsi="Times New Roman" w:cs="Times New Roman"/>
          <w:sz w:val="24"/>
        </w:rPr>
        <w:t>(Brodersen et al., 2010; Bergmeir et al., 2018; Arnott et al., 2019; Bailey &amp; López de Prado, 2014)</w:t>
      </w:r>
      <w:r>
        <w:rPr>
          <w:rFonts w:ascii="Times New Roman" w:eastAsia="Times New Roman" w:hAnsi="Times New Roman" w:cs="Times New Roman"/>
          <w:b/>
          <w:sz w:val="24"/>
          <w:szCs w:val="24"/>
        </w:rPr>
        <w:fldChar w:fldCharType="end"/>
      </w:r>
      <w:r w:rsidRPr="004B02B2">
        <w:rPr>
          <w:rFonts w:ascii="Times New Roman" w:hAnsi="Times New Roman" w:cs="Times New Roman"/>
          <w:color w:val="000000"/>
          <w:sz w:val="24"/>
          <w:szCs w:val="24"/>
        </w:rPr>
        <w:t>. The practical implication is that the framework is most useful as a reliability audit: it identifies which apparent gains remain plausible, which are architecture contingent and which require genuinely prospective confirmation before deployment claims are warranted.</w:t>
      </w:r>
    </w:p>
    <w:p w14:paraId="5C7901C7" w14:textId="517841B2" w:rsidR="00916F49"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lastRenderedPageBreak/>
        <w:t>6.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0FD5F" w14:textId="77777777" w:rsidR="006B36E6" w:rsidRDefault="006B36E6" w:rsidP="0021264C">
      <w:pPr>
        <w:spacing w:after="0" w:line="240" w:lineRule="auto"/>
      </w:pPr>
      <w:r>
        <w:separator/>
      </w:r>
    </w:p>
  </w:endnote>
  <w:endnote w:type="continuationSeparator" w:id="0">
    <w:p w14:paraId="48136256" w14:textId="77777777" w:rsidR="006B36E6" w:rsidRDefault="006B36E6"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ACC5" w14:textId="77777777" w:rsidR="006B36E6" w:rsidRDefault="006B36E6" w:rsidP="0021264C">
      <w:pPr>
        <w:spacing w:after="0" w:line="240" w:lineRule="auto"/>
      </w:pPr>
      <w:r>
        <w:separator/>
      </w:r>
    </w:p>
  </w:footnote>
  <w:footnote w:type="continuationSeparator" w:id="0">
    <w:p w14:paraId="3EACA6AD" w14:textId="77777777" w:rsidR="006B36E6" w:rsidRDefault="006B36E6"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2B2"/>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6E6"/>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A58"/>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21329</Words>
  <Characters>121581</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2</cp:revision>
  <cp:lastPrinted>2026-08-13T14:35:00Z</cp:lastPrinted>
  <dcterms:created xsi:type="dcterms:W3CDTF">2026-08-14T16:40:00Z</dcterms:created>
  <dcterms:modified xsi:type="dcterms:W3CDTF">2026-08-14T16:40:00Z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