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43501" w14:textId="77777777" w:rsidR="00536EFB" w:rsidRPr="003A2BC4" w:rsidRDefault="00077E87" w:rsidP="009960B6">
      <w:pPr>
        <w:keepNext/>
        <w:spacing w:after="240" w:line="360" w:lineRule="auto"/>
        <w:jc w:val="center"/>
        <w:rPr>
          <w:rFonts w:ascii="Times New Roman" w:hAnsi="Times New Roman" w:cs="Times New Roman"/>
          <w:b/>
          <w:bCs/>
          <w:sz w:val="24"/>
          <w:szCs w:val="24"/>
          <w:shd w:val="clear" w:color="auto" w:fill="FFFFFF"/>
        </w:rPr>
      </w:pPr>
      <w:r w:rsidRPr="0001396C">
        <w:rPr>
          <w:rFonts w:ascii="Times New Roman" w:hAnsi="Times New Roman" w:cs="Times New Roman"/>
          <w:b/>
          <w:bCs/>
          <w:sz w:val="24"/>
          <w:szCs w:val="24"/>
          <w:highlight w:val="yellow"/>
          <w:shd w:val="clear" w:color="auto" w:fill="FFFFFF"/>
        </w:rPr>
        <w:t>Multimodal and Regime-Aware Deep</w:t>
      </w:r>
      <w:r w:rsidR="001273DD">
        <w:rPr>
          <w:rFonts w:ascii="Times New Roman" w:hAnsi="Times New Roman" w:cs="Times New Roman"/>
          <w:b/>
          <w:bCs/>
          <w:sz w:val="24"/>
          <w:szCs w:val="24"/>
          <w:highlight w:val="yellow"/>
          <w:shd w:val="clear" w:color="auto" w:fill="FFFFFF"/>
        </w:rPr>
        <w:t xml:space="preserve"> </w:t>
      </w:r>
      <w:r w:rsidRPr="0001396C">
        <w:rPr>
          <w:rFonts w:ascii="Times New Roman" w:hAnsi="Times New Roman" w:cs="Times New Roman"/>
          <w:b/>
          <w:bCs/>
          <w:sz w:val="24"/>
          <w:szCs w:val="24"/>
          <w:highlight w:val="yellow"/>
          <w:shd w:val="clear" w:color="auto" w:fill="FFFFFF"/>
        </w:rPr>
        <w:t>Learning</w:t>
      </w:r>
      <w:r w:rsidR="00370E5E" w:rsidRPr="0001396C">
        <w:rPr>
          <w:rFonts w:ascii="Times New Roman" w:hAnsi="Times New Roman" w:cs="Times New Roman"/>
          <w:b/>
          <w:bCs/>
          <w:sz w:val="24"/>
          <w:szCs w:val="24"/>
          <w:highlight w:val="yellow"/>
          <w:shd w:val="clear" w:color="auto" w:fill="FFFFFF"/>
        </w:rPr>
        <w:t xml:space="preserve"> for</w:t>
      </w:r>
      <w:r w:rsidR="00D0143A" w:rsidRPr="0001396C">
        <w:rPr>
          <w:rFonts w:ascii="Times New Roman" w:hAnsi="Times New Roman" w:cs="Times New Roman"/>
          <w:b/>
          <w:bCs/>
          <w:sz w:val="24"/>
          <w:szCs w:val="24"/>
          <w:highlight w:val="yellow"/>
          <w:shd w:val="clear" w:color="auto" w:fill="FFFFFF"/>
        </w:rPr>
        <w:t xml:space="preserve"> </w:t>
      </w:r>
      <w:r w:rsidR="00370E5E" w:rsidRPr="0001396C">
        <w:rPr>
          <w:rFonts w:ascii="Times New Roman" w:hAnsi="Times New Roman" w:cs="Times New Roman"/>
          <w:b/>
          <w:bCs/>
          <w:sz w:val="24"/>
          <w:szCs w:val="24"/>
          <w:highlight w:val="yellow"/>
          <w:shd w:val="clear" w:color="auto" w:fill="FFFFFF"/>
        </w:rPr>
        <w:t>Next</w:t>
      </w:r>
      <w:r w:rsidR="001273DD">
        <w:rPr>
          <w:rFonts w:ascii="Times New Roman" w:hAnsi="Times New Roman" w:cs="Times New Roman"/>
          <w:b/>
          <w:bCs/>
          <w:sz w:val="24"/>
          <w:szCs w:val="24"/>
          <w:highlight w:val="yellow"/>
          <w:shd w:val="clear" w:color="auto" w:fill="FFFFFF"/>
        </w:rPr>
        <w:t xml:space="preserve"> </w:t>
      </w:r>
      <w:r w:rsidR="00370E5E" w:rsidRPr="0001396C">
        <w:rPr>
          <w:rFonts w:ascii="Times New Roman" w:hAnsi="Times New Roman" w:cs="Times New Roman"/>
          <w:b/>
          <w:bCs/>
          <w:sz w:val="24"/>
          <w:szCs w:val="24"/>
          <w:highlight w:val="yellow"/>
          <w:shd w:val="clear" w:color="auto" w:fill="FFFFFF"/>
        </w:rPr>
        <w:t xml:space="preserve">Day </w:t>
      </w:r>
      <w:r w:rsidR="00A84458" w:rsidRPr="0001396C">
        <w:rPr>
          <w:rFonts w:ascii="Times New Roman" w:hAnsi="Times New Roman" w:cs="Times New Roman"/>
          <w:b/>
          <w:bCs/>
          <w:sz w:val="24"/>
          <w:szCs w:val="24"/>
          <w:highlight w:val="yellow"/>
          <w:shd w:val="clear" w:color="auto" w:fill="FFFFFF"/>
        </w:rPr>
        <w:br/>
      </w:r>
      <w:r w:rsidR="00370E5E" w:rsidRPr="0001396C">
        <w:rPr>
          <w:rFonts w:ascii="Times New Roman" w:hAnsi="Times New Roman" w:cs="Times New Roman"/>
          <w:b/>
          <w:bCs/>
          <w:sz w:val="24"/>
          <w:szCs w:val="24"/>
          <w:highlight w:val="yellow"/>
          <w:shd w:val="clear" w:color="auto" w:fill="FFFFFF"/>
        </w:rPr>
        <w:t>SET Index Direction Forecasting</w:t>
      </w:r>
      <w:r w:rsidR="00D0143A">
        <w:rPr>
          <w:rFonts w:ascii="Times New Roman" w:hAnsi="Times New Roman" w:cs="Times New Roman"/>
          <w:b/>
          <w:bCs/>
          <w:sz w:val="24"/>
          <w:szCs w:val="24"/>
          <w:shd w:val="clear" w:color="auto" w:fill="FFFFFF"/>
        </w:rPr>
        <w:t xml:space="preserve"> </w:t>
      </w:r>
    </w:p>
    <w:p w14:paraId="2E825D9A" w14:textId="4F5D1B70" w:rsidR="00FC479C" w:rsidRPr="00466E3D" w:rsidRDefault="00710C26" w:rsidP="00907285">
      <w:pPr>
        <w:keepNext/>
        <w:tabs>
          <w:tab w:val="center" w:pos="4680"/>
          <w:tab w:val="left" w:pos="7088"/>
        </w:tabs>
        <w:spacing w:line="360" w:lineRule="auto"/>
        <w:jc w:val="center"/>
        <w:rPr>
          <w:rFonts w:ascii="Times New Roman" w:eastAsia="Times New Roman" w:hAnsi="Times New Roman" w:cs="Times New Roman"/>
          <w:sz w:val="24"/>
          <w:szCs w:val="24"/>
        </w:rPr>
      </w:pPr>
      <w:proofErr w:type="spellStart"/>
      <w:r w:rsidRPr="00466E3D">
        <w:rPr>
          <w:rFonts w:ascii="Times New Roman" w:eastAsia="Times New Roman" w:hAnsi="Times New Roman" w:cs="Times New Roman"/>
          <w:sz w:val="24"/>
          <w:szCs w:val="24"/>
        </w:rPr>
        <w:t>Arsanchai</w:t>
      </w:r>
      <w:proofErr w:type="spellEnd"/>
      <w:r w:rsidRPr="00466E3D">
        <w:rPr>
          <w:rFonts w:ascii="Times New Roman" w:eastAsia="Times New Roman" w:hAnsi="Times New Roman" w:cs="Times New Roman"/>
          <w:sz w:val="24"/>
          <w:szCs w:val="24"/>
        </w:rPr>
        <w:t xml:space="preserve"> Sukkuea</w:t>
      </w:r>
      <w:r w:rsidRPr="00466E3D">
        <w:rPr>
          <w:rFonts w:ascii="Times New Roman" w:eastAsia="Times New Roman" w:hAnsi="Times New Roman" w:cs="Times New Roman"/>
          <w:sz w:val="24"/>
          <w:szCs w:val="24"/>
          <w:vertAlign w:val="superscript"/>
        </w:rPr>
        <w:t>1,2</w:t>
      </w:r>
      <w:r w:rsidR="006559E8" w:rsidRPr="00466E3D">
        <w:rPr>
          <w:rFonts w:ascii="Times New Roman" w:eastAsia="Times New Roman" w:hAnsi="Times New Roman" w:cs="Times New Roman"/>
          <w:sz w:val="24"/>
          <w:szCs w:val="24"/>
        </w:rPr>
        <w:t xml:space="preserve">, </w:t>
      </w:r>
      <w:r w:rsidR="00C27182">
        <w:rPr>
          <w:rFonts w:ascii="Times New Roman" w:eastAsia="Times New Roman" w:hAnsi="Times New Roman" w:cs="Times New Roman"/>
          <w:sz w:val="24"/>
          <w:szCs w:val="24"/>
        </w:rPr>
        <w:t>Tanawat Rungwallapa</w:t>
      </w:r>
      <w:r w:rsidRPr="00466E3D">
        <w:rPr>
          <w:rFonts w:ascii="Times New Roman" w:eastAsia="Times New Roman" w:hAnsi="Times New Roman" w:cs="Angsana New"/>
          <w:sz w:val="24"/>
          <w:szCs w:val="24"/>
          <w:vertAlign w:val="superscript"/>
        </w:rPr>
        <w:t>3</w:t>
      </w:r>
    </w:p>
    <w:p w14:paraId="5A4DA8B2" w14:textId="77777777" w:rsidR="00710C26" w:rsidRPr="003D5177" w:rsidRDefault="00710C26" w:rsidP="00907285">
      <w:pPr>
        <w:spacing w:after="0" w:line="240" w:lineRule="auto"/>
        <w:jc w:val="center"/>
        <w:rPr>
          <w:rFonts w:ascii="Times New Roman" w:hAnsi="Times New Roman"/>
          <w:sz w:val="24"/>
          <w:szCs w:val="24"/>
          <w:vertAlign w:val="superscript"/>
          <w:cs/>
        </w:rPr>
      </w:pPr>
    </w:p>
    <w:p w14:paraId="704DA701" w14:textId="77777777" w:rsidR="00710C26" w:rsidRPr="00466E3D" w:rsidRDefault="00710C26" w:rsidP="00907285">
      <w:pPr>
        <w:keepNext/>
        <w:spacing w:after="0" w:line="240" w:lineRule="auto"/>
        <w:jc w:val="center"/>
        <w:rPr>
          <w:rFonts w:ascii="Times New Roman" w:hAnsi="Times New Roman" w:cs="Times New Roman"/>
          <w:sz w:val="24"/>
          <w:szCs w:val="24"/>
        </w:rPr>
      </w:pPr>
      <w:r w:rsidRPr="00466E3D">
        <w:rPr>
          <w:rFonts w:ascii="Times New Roman" w:hAnsi="Times New Roman" w:cs="Times New Roman"/>
          <w:sz w:val="24"/>
          <w:szCs w:val="24"/>
          <w:vertAlign w:val="superscript"/>
        </w:rPr>
        <w:t>1</w:t>
      </w:r>
      <w:r w:rsidRPr="00466E3D">
        <w:rPr>
          <w:rFonts w:ascii="Times New Roman" w:hAnsi="Times New Roman" w:cs="Times New Roman"/>
          <w:sz w:val="24"/>
          <w:szCs w:val="24"/>
        </w:rPr>
        <w:t xml:space="preserve"> School of Engineering and Technology, </w:t>
      </w:r>
      <w:proofErr w:type="spellStart"/>
      <w:r w:rsidRPr="00466E3D">
        <w:rPr>
          <w:rFonts w:ascii="Times New Roman" w:hAnsi="Times New Roman" w:cs="Times New Roman"/>
          <w:sz w:val="24"/>
          <w:szCs w:val="24"/>
        </w:rPr>
        <w:t>Walailak</w:t>
      </w:r>
      <w:proofErr w:type="spellEnd"/>
      <w:r w:rsidRPr="00466E3D">
        <w:rPr>
          <w:rFonts w:ascii="Times New Roman" w:hAnsi="Times New Roman" w:cs="Times New Roman"/>
          <w:sz w:val="24"/>
          <w:szCs w:val="24"/>
        </w:rPr>
        <w:t xml:space="preserve"> University, 222 </w:t>
      </w:r>
      <w:proofErr w:type="spellStart"/>
      <w:r w:rsidRPr="00466E3D">
        <w:rPr>
          <w:rFonts w:ascii="Times New Roman" w:hAnsi="Times New Roman" w:cs="Times New Roman"/>
          <w:sz w:val="24"/>
          <w:szCs w:val="24"/>
        </w:rPr>
        <w:t>Thaiburi</w:t>
      </w:r>
      <w:proofErr w:type="spellEnd"/>
      <w:r w:rsidRPr="00466E3D">
        <w:rPr>
          <w:rFonts w:ascii="Times New Roman" w:hAnsi="Times New Roman" w:cs="Times New Roman"/>
          <w:sz w:val="24"/>
          <w:szCs w:val="24"/>
        </w:rPr>
        <w:t xml:space="preserve">, </w:t>
      </w:r>
      <w:proofErr w:type="spellStart"/>
      <w:r w:rsidRPr="00466E3D">
        <w:rPr>
          <w:rFonts w:ascii="Times New Roman" w:hAnsi="Times New Roman" w:cs="Times New Roman"/>
          <w:sz w:val="24"/>
          <w:szCs w:val="24"/>
        </w:rPr>
        <w:t>Thasala</w:t>
      </w:r>
      <w:proofErr w:type="spellEnd"/>
      <w:r w:rsidRPr="00466E3D">
        <w:rPr>
          <w:rFonts w:ascii="Times New Roman" w:hAnsi="Times New Roman" w:cs="Times New Roman"/>
          <w:sz w:val="24"/>
          <w:szCs w:val="24"/>
        </w:rPr>
        <w:t xml:space="preserve"> District, Nakhon Si Thammarat 80160, Thailand.</w:t>
      </w:r>
    </w:p>
    <w:p w14:paraId="6E0CB23E" w14:textId="77777777" w:rsidR="00710C26" w:rsidRPr="00466E3D" w:rsidRDefault="00710C26" w:rsidP="00907285">
      <w:pPr>
        <w:keepNext/>
        <w:spacing w:after="0" w:line="240" w:lineRule="auto"/>
        <w:jc w:val="center"/>
        <w:rPr>
          <w:rFonts w:ascii="Times New Roman" w:hAnsi="Times New Roman" w:cs="Times New Roman"/>
          <w:sz w:val="24"/>
          <w:szCs w:val="24"/>
        </w:rPr>
      </w:pPr>
      <w:r w:rsidRPr="00466E3D">
        <w:rPr>
          <w:rFonts w:ascii="Times New Roman" w:hAnsi="Times New Roman" w:cs="Times New Roman"/>
          <w:sz w:val="24"/>
          <w:szCs w:val="24"/>
          <w:vertAlign w:val="superscript"/>
        </w:rPr>
        <w:t>2</w:t>
      </w:r>
      <w:r w:rsidRPr="00466E3D">
        <w:rPr>
          <w:rFonts w:ascii="Times New Roman" w:hAnsi="Times New Roman" w:cs="Times New Roman"/>
          <w:sz w:val="24"/>
          <w:szCs w:val="24"/>
        </w:rPr>
        <w:t xml:space="preserve"> Research Center for Intelligent Technology and Integration, School of Engineering and Technology, </w:t>
      </w:r>
      <w:proofErr w:type="spellStart"/>
      <w:r w:rsidRPr="00466E3D">
        <w:rPr>
          <w:rFonts w:ascii="Times New Roman" w:hAnsi="Times New Roman" w:cs="Times New Roman"/>
          <w:sz w:val="24"/>
          <w:szCs w:val="24"/>
        </w:rPr>
        <w:t>Walailak</w:t>
      </w:r>
      <w:proofErr w:type="spellEnd"/>
      <w:r w:rsidRPr="00466E3D">
        <w:rPr>
          <w:rFonts w:ascii="Times New Roman" w:hAnsi="Times New Roman" w:cs="Times New Roman"/>
          <w:sz w:val="24"/>
          <w:szCs w:val="24"/>
        </w:rPr>
        <w:t xml:space="preserve"> University, Nakhon Si Thammarat 80160, Thailand.</w:t>
      </w:r>
    </w:p>
    <w:p w14:paraId="781EEF7A" w14:textId="77777777" w:rsidR="00710C26" w:rsidRPr="00466E3D" w:rsidRDefault="00857FE5" w:rsidP="00907285">
      <w:pPr>
        <w:keepNext/>
        <w:spacing w:after="0" w:line="240" w:lineRule="auto"/>
        <w:jc w:val="center"/>
        <w:rPr>
          <w:rFonts w:ascii="Times New Roman" w:hAnsi="Times New Roman" w:cs="Times New Roman"/>
          <w:sz w:val="24"/>
          <w:szCs w:val="24"/>
        </w:rPr>
      </w:pPr>
      <w:r w:rsidRPr="00466E3D">
        <w:rPr>
          <w:rFonts w:ascii="Times New Roman" w:hAnsi="Times New Roman" w:cs="Times New Roman"/>
          <w:sz w:val="24"/>
          <w:szCs w:val="24"/>
          <w:vertAlign w:val="superscript"/>
        </w:rPr>
        <w:t>3</w:t>
      </w:r>
      <w:r w:rsidRPr="00466E3D">
        <w:rPr>
          <w:rFonts w:ascii="Times New Roman" w:hAnsi="Times New Roman" w:cs="Times New Roman"/>
          <w:sz w:val="24"/>
          <w:szCs w:val="24"/>
        </w:rPr>
        <w:t xml:space="preserve"> </w:t>
      </w:r>
      <w:r w:rsidR="00C27182" w:rsidRPr="00C27182">
        <w:rPr>
          <w:rFonts w:ascii="Times New Roman" w:hAnsi="Times New Roman" w:cs="Times New Roman"/>
          <w:sz w:val="24"/>
          <w:szCs w:val="24"/>
        </w:rPr>
        <w:t xml:space="preserve">Faculty of Engineering, </w:t>
      </w:r>
      <w:proofErr w:type="spellStart"/>
      <w:r w:rsidR="00C27182" w:rsidRPr="00C27182">
        <w:rPr>
          <w:rFonts w:ascii="Times New Roman" w:hAnsi="Times New Roman" w:cs="Times New Roman"/>
          <w:sz w:val="24"/>
          <w:szCs w:val="24"/>
        </w:rPr>
        <w:t>Kasetsart</w:t>
      </w:r>
      <w:proofErr w:type="spellEnd"/>
      <w:r w:rsidR="00C27182" w:rsidRPr="00C27182">
        <w:rPr>
          <w:rFonts w:ascii="Times New Roman" w:hAnsi="Times New Roman" w:cs="Times New Roman"/>
          <w:sz w:val="24"/>
          <w:szCs w:val="24"/>
        </w:rPr>
        <w:t xml:space="preserve"> University, Bangkok, 10900 Thailand</w:t>
      </w:r>
      <w:r w:rsidR="007F7553">
        <w:rPr>
          <w:rFonts w:ascii="Times New Roman" w:hAnsi="Times New Roman" w:cs="Times New Roman"/>
          <w:sz w:val="24"/>
          <w:szCs w:val="24"/>
        </w:rPr>
        <w:t>.</w:t>
      </w:r>
    </w:p>
    <w:p w14:paraId="55D61E5E" w14:textId="77777777" w:rsidR="00912DEC" w:rsidRPr="009C14B8" w:rsidRDefault="00912DEC" w:rsidP="00907285">
      <w:pPr>
        <w:spacing w:after="240" w:line="240" w:lineRule="auto"/>
        <w:jc w:val="center"/>
        <w:rPr>
          <w:rFonts w:ascii="Times New Roman" w:eastAsia="Times New Roman" w:hAnsi="Times New Roman"/>
          <w:sz w:val="24"/>
          <w:szCs w:val="24"/>
          <w:cs/>
        </w:rPr>
      </w:pPr>
      <w:r w:rsidRPr="00466E3D">
        <w:rPr>
          <w:rFonts w:ascii="Times New Roman" w:eastAsia="Times New Roman" w:hAnsi="Times New Roman" w:cs="Times New Roman"/>
          <w:sz w:val="24"/>
          <w:szCs w:val="24"/>
        </w:rPr>
        <w:t xml:space="preserve">* Correspondence: </w:t>
      </w:r>
      <w:r w:rsidR="00B12A51" w:rsidRPr="0001396C">
        <w:rPr>
          <w:rFonts w:ascii="Times New Roman" w:eastAsia="Times New Roman" w:hAnsi="Times New Roman" w:cs="Times New Roman"/>
          <w:sz w:val="24"/>
          <w:szCs w:val="24"/>
          <w:highlight w:val="yellow"/>
        </w:rPr>
        <w:t>tanawat.run@ku.th</w:t>
      </w:r>
    </w:p>
    <w:p w14:paraId="1257F084" w14:textId="77777777" w:rsidR="00AB33B6" w:rsidRPr="00466E3D" w:rsidRDefault="001F1F8A" w:rsidP="009960B6">
      <w:pPr>
        <w:keepNext/>
        <w:pBdr>
          <w:top w:val="nil"/>
          <w:left w:val="nil"/>
          <w:bottom w:val="nil"/>
          <w:right w:val="nil"/>
          <w:between w:val="nil"/>
        </w:pBdr>
        <w:spacing w:before="120" w:after="80" w:line="360" w:lineRule="auto"/>
        <w:rPr>
          <w:rFonts w:ascii="Times New Roman" w:eastAsia="Times New Roman" w:hAnsi="Times New Roman" w:cs="Times New Roman"/>
          <w:b/>
          <w:sz w:val="24"/>
          <w:szCs w:val="24"/>
        </w:rPr>
      </w:pPr>
      <w:r w:rsidRPr="00D0143A">
        <w:rPr>
          <w:rFonts w:ascii="Times New Roman" w:eastAsia="Times New Roman" w:hAnsi="Times New Roman" w:cs="Times New Roman"/>
          <w:b/>
          <w:sz w:val="24"/>
          <w:szCs w:val="24"/>
        </w:rPr>
        <w:t xml:space="preserve">Abstract </w:t>
      </w:r>
    </w:p>
    <w:p w14:paraId="52B2AECD" w14:textId="77777777" w:rsidR="00DF162D" w:rsidRPr="00A27524" w:rsidRDefault="005E03E1" w:rsidP="009960B6">
      <w:pPr>
        <w:spacing w:line="360" w:lineRule="auto"/>
        <w:jc w:val="both"/>
        <w:rPr>
          <w:rFonts w:ascii="Times New Roman" w:eastAsia="Times New Roman" w:hAnsi="Times New Roman"/>
          <w:bCs/>
          <w:sz w:val="24"/>
          <w:szCs w:val="24"/>
        </w:rPr>
      </w:pPr>
      <w:r>
        <w:rPr>
          <w:rFonts w:ascii="Times New Roman" w:eastAsia="Times New Roman" w:hAnsi="Times New Roman" w:cs="Times New Roman"/>
          <w:sz w:val="24"/>
          <w:szCs w:val="24"/>
        </w:rPr>
        <w:t>Market-direc</w:t>
      </w:r>
      <w:r w:rsidR="00891BF0">
        <w:rPr>
          <w:rFonts w:ascii="Times New Roman" w:eastAsia="Times New Roman" w:hAnsi="Times New Roman" w:cs="Times New Roman"/>
          <w:sz w:val="24"/>
          <w:szCs w:val="24"/>
        </w:rPr>
        <w:t xml:space="preserve">tion studies often emphasize the best-performing configuration </w:t>
      </w:r>
      <w:r w:rsidR="00A27524">
        <w:rPr>
          <w:rFonts w:ascii="Times New Roman" w:eastAsia="Times New Roman" w:hAnsi="Times New Roman" w:cs="Times New Roman"/>
          <w:sz w:val="24"/>
          <w:szCs w:val="24"/>
        </w:rPr>
        <w:t>but wh</w:t>
      </w:r>
      <w:r w:rsidR="00EF231A">
        <w:rPr>
          <w:rFonts w:ascii="Times New Roman" w:eastAsia="Times New Roman" w:hAnsi="Times New Roman" w:cs="Times New Roman"/>
          <w:sz w:val="24"/>
          <w:szCs w:val="24"/>
        </w:rPr>
        <w:t>ether reported gains persist under strict point-in-time evaluation and robustness checks remain unclear.</w:t>
      </w:r>
      <w:r w:rsidR="00D0143A">
        <w:rPr>
          <w:rFonts w:ascii="Times New Roman" w:eastAsia="Times New Roman" w:hAnsi="Times New Roman" w:cs="Times New Roman"/>
          <w:sz w:val="24"/>
          <w:szCs w:val="24"/>
        </w:rPr>
        <w:t xml:space="preserve"> </w:t>
      </w:r>
      <w:r w:rsidR="00EB7450">
        <w:rPr>
          <w:rFonts w:ascii="Times New Roman" w:eastAsia="Times New Roman" w:hAnsi="Times New Roman" w:cs="Times New Roman"/>
          <w:sz w:val="24"/>
          <w:szCs w:val="24"/>
        </w:rPr>
        <w:t>We conduct a point-in-time reliability audit of numerical denoising, predicted financial-news sentiment, role-structured large-language-model inference, regime-aware feature selection and neural complexity</w:t>
      </w:r>
      <w:r w:rsidR="0011282B">
        <w:rPr>
          <w:rFonts w:ascii="Times New Roman" w:eastAsia="Times New Roman" w:hAnsi="Times New Roman" w:cs="Times New Roman"/>
          <w:sz w:val="24"/>
          <w:szCs w:val="24"/>
        </w:rPr>
        <w:t xml:space="preserve">. The study uses daily SET50 price index data from 2012-2025, expanding </w:t>
      </w:r>
      <w:r w:rsidR="00D0143A">
        <w:rPr>
          <w:rFonts w:ascii="Times New Roman" w:eastAsia="Times New Roman" w:hAnsi="Times New Roman" w:cs="Times New Roman"/>
          <w:sz w:val="24"/>
          <w:szCs w:val="24"/>
        </w:rPr>
        <w:t>pre-2022 model selection</w:t>
      </w:r>
      <w:r w:rsidR="0011282B">
        <w:rPr>
          <w:rFonts w:ascii="Times New Roman" w:eastAsia="Times New Roman" w:hAnsi="Times New Roman" w:cs="Times New Roman"/>
          <w:sz w:val="24"/>
          <w:szCs w:val="24"/>
        </w:rPr>
        <w:t>, four outer test years (2022-2025; 962 sessions)</w:t>
      </w:r>
      <w:r w:rsidR="007A7BF9">
        <w:rPr>
          <w:rFonts w:ascii="Times New Roman" w:eastAsia="Times New Roman" w:hAnsi="Times New Roman" w:cs="Times New Roman"/>
          <w:sz w:val="24"/>
          <w:szCs w:val="24"/>
        </w:rPr>
        <w:t>, five fixed seeds and five architectures: LSTM, CNN, LSTM-CNN, LSTM-Attention and LSTM-CNN</w:t>
      </w:r>
      <w:r w:rsidR="00A24D75">
        <w:rPr>
          <w:rFonts w:ascii="Times New Roman" w:eastAsia="Times New Roman" w:hAnsi="Times New Roman" w:cs="Times New Roman"/>
          <w:sz w:val="24"/>
          <w:szCs w:val="24"/>
        </w:rPr>
        <w:t>-</w:t>
      </w:r>
      <w:r w:rsidR="007A7BF9">
        <w:rPr>
          <w:rFonts w:ascii="Times New Roman" w:eastAsia="Times New Roman" w:hAnsi="Times New Roman" w:cs="Times New Roman"/>
          <w:sz w:val="24"/>
          <w:szCs w:val="24"/>
        </w:rPr>
        <w:t>Attention.</w:t>
      </w:r>
      <w:r w:rsidR="00A24D75">
        <w:rPr>
          <w:rFonts w:ascii="Times New Roman" w:eastAsia="Times New Roman" w:hAnsi="Times New Roman"/>
          <w:bCs/>
          <w:sz w:val="24"/>
          <w:szCs w:val="24"/>
        </w:rPr>
        <w:t xml:space="preserve"> Labels are purged by observation date, transformations are fitted on training dat</w:t>
      </w:r>
      <w:r w:rsidR="009279E2">
        <w:rPr>
          <w:rFonts w:ascii="Times New Roman" w:eastAsia="Times New Roman" w:hAnsi="Times New Roman"/>
          <w:bCs/>
          <w:sz w:val="24"/>
          <w:szCs w:val="24"/>
        </w:rPr>
        <w:t>a only</w:t>
      </w:r>
      <w:r w:rsidR="00CB01CA">
        <w:rPr>
          <w:rFonts w:ascii="Times New Roman" w:eastAsia="Times New Roman" w:hAnsi="Times New Roman"/>
          <w:bCs/>
          <w:sz w:val="24"/>
          <w:szCs w:val="24"/>
        </w:rPr>
        <w:t xml:space="preserve"> and balanced accuracy is the primary endpoint.</w:t>
      </w:r>
      <w:r w:rsidR="00E51467">
        <w:rPr>
          <w:rFonts w:ascii="Times New Roman" w:eastAsia="Times New Roman" w:hAnsi="Times New Roman"/>
          <w:bCs/>
          <w:sz w:val="24"/>
          <w:szCs w:val="24"/>
        </w:rPr>
        <w:t xml:space="preserve"> </w:t>
      </w:r>
      <w:r w:rsidR="00D0143A">
        <w:rPr>
          <w:rFonts w:ascii="Times New Roman" w:eastAsia="Times New Roman" w:hAnsi="Times New Roman"/>
          <w:bCs/>
          <w:sz w:val="24"/>
          <w:szCs w:val="24"/>
        </w:rPr>
        <w:t>Causal rolling variational mode decomposition</w:t>
      </w:r>
      <w:r w:rsidR="00E51467">
        <w:rPr>
          <w:rFonts w:ascii="Times New Roman" w:eastAsia="Times New Roman" w:hAnsi="Times New Roman"/>
          <w:bCs/>
          <w:sz w:val="24"/>
          <w:szCs w:val="24"/>
        </w:rPr>
        <w:t xml:space="preserve"> changed balanced accuracy by -0.</w:t>
      </w:r>
      <w:r w:rsidR="002575A8">
        <w:rPr>
          <w:rFonts w:ascii="Times New Roman" w:eastAsia="Times New Roman" w:hAnsi="Times New Roman"/>
          <w:bCs/>
          <w:sz w:val="24"/>
          <w:szCs w:val="24"/>
        </w:rPr>
        <w:t>60 to +0.35</w:t>
      </w:r>
      <w:r w:rsidR="00541F97">
        <w:rPr>
          <w:rFonts w:ascii="Times New Roman" w:eastAsia="Times New Roman" w:hAnsi="Times New Roman"/>
          <w:bCs/>
          <w:sz w:val="24"/>
          <w:szCs w:val="24"/>
        </w:rPr>
        <w:t xml:space="preserve"> percentage points across architectures, </w:t>
      </w:r>
      <w:r w:rsidR="00390FB2">
        <w:rPr>
          <w:rFonts w:ascii="Times New Roman" w:eastAsia="Times New Roman" w:hAnsi="Times New Roman"/>
          <w:bCs/>
          <w:sz w:val="24"/>
          <w:szCs w:val="24"/>
        </w:rPr>
        <w:t>with no conclusive effect. Predicted news produced no multiplicity-adjusted gain over market-only and falsification controls. In a locked 2023 sentiment benchmark</w:t>
      </w:r>
      <w:r w:rsidR="00072BE6">
        <w:rPr>
          <w:rFonts w:ascii="Times New Roman" w:eastAsia="Times New Roman" w:hAnsi="Times New Roman"/>
          <w:bCs/>
          <w:sz w:val="24"/>
          <w:szCs w:val="24"/>
        </w:rPr>
        <w:t>, a Bull/Bear/Leader large-language-model system exceeded equal-call and near-cost self-consistency controls by 5.93 and 6.00 points, respectively</w:t>
      </w:r>
      <w:r w:rsidR="00B51388">
        <w:rPr>
          <w:rFonts w:ascii="Times New Roman" w:eastAsia="Times New Roman" w:hAnsi="Times New Roman"/>
          <w:bCs/>
          <w:sz w:val="24"/>
          <w:szCs w:val="24"/>
        </w:rPr>
        <w:t>. Regime-specific SHAP selection improved CNN by 1.46 points but produc</w:t>
      </w:r>
      <w:r w:rsidR="00925D4A">
        <w:rPr>
          <w:rFonts w:ascii="Times New Roman" w:eastAsia="Times New Roman" w:hAnsi="Times New Roman"/>
          <w:bCs/>
          <w:sz w:val="24"/>
          <w:szCs w:val="24"/>
        </w:rPr>
        <w:t xml:space="preserve">ed mixed or negative effects elsewhere </w:t>
      </w:r>
      <w:r w:rsidR="00D0143A">
        <w:rPr>
          <w:rFonts w:ascii="Times New Roman" w:eastAsia="Times New Roman" w:hAnsi="Times New Roman"/>
          <w:bCs/>
          <w:sz w:val="24"/>
          <w:szCs w:val="24"/>
        </w:rPr>
        <w:t>without Holm-adjusted significance</w:t>
      </w:r>
      <w:r w:rsidR="00925D4A">
        <w:rPr>
          <w:rFonts w:ascii="Times New Roman" w:eastAsia="Times New Roman" w:hAnsi="Times New Roman"/>
          <w:bCs/>
          <w:sz w:val="24"/>
          <w:szCs w:val="24"/>
        </w:rPr>
        <w:t xml:space="preserve">. </w:t>
      </w:r>
      <w:r w:rsidR="00521BE1">
        <w:rPr>
          <w:rFonts w:ascii="Times New Roman" w:eastAsia="Times New Roman" w:hAnsi="Times New Roman"/>
          <w:bCs/>
          <w:sz w:val="24"/>
          <w:szCs w:val="24"/>
        </w:rPr>
        <w:t xml:space="preserve">Partial-2026 testing exposed one-sided prediction collapse while frozen SET100 transfer was uniformly </w:t>
      </w:r>
      <w:r w:rsidR="00077E87">
        <w:rPr>
          <w:rFonts w:ascii="Times New Roman" w:eastAsia="Times New Roman" w:hAnsi="Times New Roman"/>
          <w:bCs/>
          <w:sz w:val="24"/>
          <w:szCs w:val="24"/>
        </w:rPr>
        <w:t>weaker,</w:t>
      </w:r>
      <w:r w:rsidR="00521BE1">
        <w:rPr>
          <w:rFonts w:ascii="Times New Roman" w:eastAsia="Times New Roman" w:hAnsi="Times New Roman"/>
          <w:bCs/>
          <w:sz w:val="24"/>
          <w:szCs w:val="24"/>
        </w:rPr>
        <w:t xml:space="preserve"> indicating </w:t>
      </w:r>
      <w:r w:rsidR="001D50B5">
        <w:rPr>
          <w:rFonts w:ascii="Times New Roman" w:eastAsia="Times New Roman" w:hAnsi="Times New Roman"/>
          <w:bCs/>
          <w:sz w:val="24"/>
          <w:szCs w:val="24"/>
        </w:rPr>
        <w:t>that the observed gains were configuration-specific rather than generalizable.</w:t>
      </w:r>
    </w:p>
    <w:p w14:paraId="2BE8C6D1" w14:textId="77777777" w:rsidR="00DB3A79" w:rsidRPr="00342C57" w:rsidRDefault="00DB3A79" w:rsidP="009960B6">
      <w:pPr>
        <w:pBdr>
          <w:top w:val="nil"/>
          <w:left w:val="nil"/>
          <w:bottom w:val="nil"/>
          <w:right w:val="nil"/>
          <w:between w:val="nil"/>
        </w:pBdr>
        <w:spacing w:after="240" w:line="360" w:lineRule="auto"/>
        <w:rPr>
          <w:rFonts w:ascii="Times New Roman" w:eastAsia="Times New Roman" w:hAnsi="Times New Roman"/>
          <w:bCs/>
          <w:sz w:val="24"/>
          <w:szCs w:val="24"/>
          <w:cs/>
        </w:rPr>
      </w:pPr>
      <w:r>
        <w:rPr>
          <w:rFonts w:ascii="Times New Roman" w:eastAsia="Times New Roman" w:hAnsi="Times New Roman" w:cs="Times New Roman"/>
          <w:b/>
          <w:sz w:val="24"/>
          <w:szCs w:val="24"/>
        </w:rPr>
        <w:t xml:space="preserve">Keywords: </w:t>
      </w:r>
      <w:r w:rsidR="00207E38" w:rsidRPr="00207E38">
        <w:rPr>
          <w:rFonts w:ascii="Times New Roman" w:eastAsia="Times New Roman" w:hAnsi="Times New Roman" w:cs="Times New Roman"/>
          <w:bCs/>
          <w:sz w:val="24"/>
          <w:szCs w:val="24"/>
        </w:rPr>
        <w:t>point-in-time evaluation; stock-market direction; SET50;</w:t>
      </w:r>
      <w:r w:rsidR="00D0143A">
        <w:rPr>
          <w:rFonts w:ascii="Times New Roman" w:eastAsia="Times New Roman" w:hAnsi="Times New Roman" w:cs="Times New Roman"/>
          <w:bCs/>
          <w:sz w:val="24"/>
          <w:szCs w:val="24"/>
        </w:rPr>
        <w:t xml:space="preserve"> </w:t>
      </w:r>
      <w:r w:rsidR="00207E38" w:rsidRPr="00207E38">
        <w:rPr>
          <w:rFonts w:ascii="Times New Roman" w:eastAsia="Times New Roman" w:hAnsi="Times New Roman" w:cs="Times New Roman"/>
          <w:bCs/>
          <w:sz w:val="24"/>
          <w:szCs w:val="24"/>
        </w:rPr>
        <w:t>balanced accuracy; multimodal learning; financial sentiment; variational mode</w:t>
      </w:r>
      <w:r w:rsidR="00D0143A">
        <w:rPr>
          <w:rFonts w:ascii="Times New Roman" w:eastAsia="Times New Roman" w:hAnsi="Times New Roman" w:cs="Times New Roman"/>
          <w:bCs/>
          <w:sz w:val="24"/>
          <w:szCs w:val="24"/>
        </w:rPr>
        <w:t xml:space="preserve"> </w:t>
      </w:r>
      <w:r w:rsidR="00207E38" w:rsidRPr="00207E38">
        <w:rPr>
          <w:rFonts w:ascii="Times New Roman" w:eastAsia="Times New Roman" w:hAnsi="Times New Roman" w:cs="Times New Roman"/>
          <w:bCs/>
          <w:sz w:val="24"/>
          <w:szCs w:val="24"/>
        </w:rPr>
        <w:t>decomposition; market regime; SHAP; reliability audit</w:t>
      </w:r>
    </w:p>
    <w:p w14:paraId="1C1FF953" w14:textId="77777777" w:rsidR="007A2436" w:rsidRPr="00466E3D" w:rsidRDefault="00FF3971" w:rsidP="009960B6">
      <w:pPr>
        <w:keepNext/>
        <w:keepLines/>
        <w:pBdr>
          <w:top w:val="nil"/>
          <w:left w:val="nil"/>
          <w:bottom w:val="nil"/>
          <w:right w:val="nil"/>
          <w:between w:val="nil"/>
        </w:pBdr>
        <w:spacing w:before="240" w:line="360" w:lineRule="auto"/>
        <w:rPr>
          <w:rFonts w:ascii="Times New Roman" w:eastAsia="Times New Roman" w:hAnsi="Times New Roman"/>
          <w:b/>
          <w:sz w:val="24"/>
          <w:szCs w:val="24"/>
          <w:cs/>
        </w:rPr>
      </w:pPr>
      <w:r w:rsidRPr="00D0143A">
        <w:rPr>
          <w:rFonts w:ascii="Times New Roman" w:eastAsia="Times New Roman" w:hAnsi="Times New Roman" w:cs="Times New Roman"/>
          <w:b/>
          <w:sz w:val="24"/>
          <w:szCs w:val="24"/>
        </w:rPr>
        <w:lastRenderedPageBreak/>
        <w:t>1</w:t>
      </w:r>
      <w:r w:rsidR="002C6417" w:rsidRPr="00D0143A">
        <w:rPr>
          <w:rFonts w:ascii="Times New Roman" w:eastAsia="Times New Roman" w:hAnsi="Times New Roman" w:cs="Times New Roman"/>
          <w:b/>
          <w:sz w:val="24"/>
          <w:szCs w:val="24"/>
        </w:rPr>
        <w:t>.</w:t>
      </w:r>
      <w:r w:rsidRPr="00D0143A">
        <w:rPr>
          <w:rFonts w:ascii="Times New Roman" w:eastAsia="Times New Roman" w:hAnsi="Times New Roman" w:cs="Times New Roman"/>
          <w:b/>
          <w:sz w:val="24"/>
          <w:szCs w:val="24"/>
        </w:rPr>
        <w:t xml:space="preserve"> Introduction</w:t>
      </w:r>
    </w:p>
    <w:p w14:paraId="11AC9DE0" w14:textId="77777777" w:rsidR="003361A4" w:rsidRDefault="003361A4" w:rsidP="009960B6">
      <w:pPr>
        <w:spacing w:line="360" w:lineRule="auto"/>
        <w:ind w:firstLine="720"/>
        <w:jc w:val="both"/>
        <w:rPr>
          <w:rFonts w:ascii="Times New Roman" w:hAnsi="Times New Roman" w:cs="Times New Roman"/>
          <w:sz w:val="24"/>
          <w:szCs w:val="24"/>
        </w:rPr>
      </w:pPr>
      <w:r w:rsidRPr="000829A5">
        <w:rPr>
          <w:rFonts w:ascii="Times New Roman" w:hAnsi="Times New Roman" w:cs="Times New Roman"/>
          <w:sz w:val="24"/>
          <w:szCs w:val="24"/>
        </w:rPr>
        <w:t>Predicting whether a market index will rise or fall on the next trading day is an unusually compact statement of a difficult forecasting problem. The target is binary, but the data-generating process is non-stationary, the usable signal is weak relative to market noise and small implementation choices can alter the apparent outcome</w:t>
      </w:r>
      <w:r w:rsidR="00F14050">
        <w:rPr>
          <w:rFonts w:ascii="Times New Roman" w:hAnsi="Times New Roman" w:cs="Times New Roman"/>
          <w:b/>
          <w:sz w:val="24"/>
          <w:szCs w:val="24"/>
        </w:rPr>
        <w:t xml:space="preserve"> </w:t>
      </w:r>
      <w:r w:rsidR="00A84458">
        <w:rPr>
          <w:rFonts w:ascii="Times New Roman" w:hAnsi="Times New Roman" w:cs="Times New Roman"/>
          <w:sz w:val="24"/>
          <w:szCs w:val="24"/>
        </w:rPr>
        <w:fldChar w:fldCharType="begin"/>
      </w:r>
      <w:r w:rsidR="00A84458">
        <w:rPr>
          <w:rFonts w:ascii="Times New Roman" w:hAnsi="Times New Roman" w:cs="Times New Roman"/>
          <w:sz w:val="24"/>
          <w:szCs w:val="24"/>
        </w:rPr>
        <w:instrText xml:space="preserve"> ADDIN ZOTERO_ITEM CSL_CITATION {"citationID":"PHp5qcwN","properties":{"unsorted":false,"formattedCitation":"(Fama, 1970; Olorunnimbe &amp; Viktor, 2023)","plainCitation":"(Fama, 1970; Olorunnimbe &amp; Viktor, 2023)","noteIndex":0},"citationItems":[{"id":41,"uris":["http://zotero.org/users/local/DPQnJvcs/items/XV3MVRHR"],"itemData":{"id":41,"type":"article-journal","container-title":"The Journal of Finance","DOI":"10.1111/j.1540-6261.1970.tb00518.x","issue":"2","page":"383–417","title":"Efficient Capital Markets: A Review of Theory and Empirical Work","volume":"25","author":[{"family":"Fama","given":"Eugene F."}],"issued":{"date-parts":[["1970"]]}}},{"id":33,"uris":["http://zotero.org/users/local/DPQnJvcs/items/8Z849LRX"],"itemData":{"id":33,"type":"article-journal","container-title":"Artificial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A84458">
        <w:rPr>
          <w:rFonts w:ascii="Times New Roman" w:hAnsi="Times New Roman" w:cs="Times New Roman"/>
          <w:sz w:val="24"/>
          <w:szCs w:val="24"/>
        </w:rPr>
        <w:fldChar w:fldCharType="separate"/>
      </w:r>
      <w:r w:rsidR="00A84458" w:rsidRPr="00A84458">
        <w:rPr>
          <w:rFonts w:ascii="Times New Roman" w:hAnsi="Times New Roman" w:cs="Times New Roman"/>
          <w:sz w:val="24"/>
        </w:rPr>
        <w:t>(Fama, 1970; Olorunnimbe &amp; Viktor, 2023)</w:t>
      </w:r>
      <w:r w:rsidR="00A84458">
        <w:rPr>
          <w:rFonts w:ascii="Times New Roman" w:hAnsi="Times New Roman" w:cs="Times New Roman"/>
          <w:sz w:val="24"/>
          <w:szCs w:val="24"/>
        </w:rPr>
        <w:fldChar w:fldCharType="end"/>
      </w:r>
      <w:r w:rsidR="00D0143A" w:rsidRPr="00D0143A">
        <w:rPr>
          <w:rFonts w:ascii="Times New Roman" w:hAnsi="Times New Roman" w:cs="Times New Roman"/>
          <w:sz w:val="24"/>
          <w:szCs w:val="24"/>
        </w:rPr>
        <w:t xml:space="preserve"> Deep</w:t>
      </w:r>
      <w:r w:rsidR="004105C3" w:rsidRPr="000829A5">
        <w:rPr>
          <w:rFonts w:ascii="Times New Roman" w:hAnsi="Times New Roman" w:cs="Times New Roman"/>
          <w:sz w:val="24"/>
          <w:szCs w:val="24"/>
        </w:rPr>
        <w:t xml:space="preserve"> recurrent networks, convolutional networks and attention mechanisms offer flexible representations of sequential financial data</w:t>
      </w:r>
      <w:r w:rsidR="002B5A1D">
        <w:rPr>
          <w:rFonts w:ascii="Times New Roman" w:eastAsia="Times New Roman" w:hAnsi="Times New Roman" w:cs="Times New Roman"/>
          <w:b/>
          <w:bCs/>
          <w:sz w:val="24"/>
          <w:szCs w:val="24"/>
        </w:rPr>
        <w:t xml:space="preserve"> </w:t>
      </w:r>
      <w:r w:rsidR="002D69D4">
        <w:rPr>
          <w:rFonts w:ascii="Times New Roman" w:eastAsia="Times New Roman" w:hAnsi="Times New Roman" w:cs="Times New Roman"/>
          <w:bCs/>
          <w:sz w:val="24"/>
          <w:szCs w:val="24"/>
        </w:rPr>
        <w:fldChar w:fldCharType="begin"/>
      </w:r>
      <w:r w:rsidR="002D69D4">
        <w:rPr>
          <w:rFonts w:ascii="Times New Roman" w:eastAsia="Times New Roman" w:hAnsi="Times New Roman" w:cs="Times New Roman"/>
          <w:bCs/>
          <w:sz w:val="24"/>
          <w:szCs w:val="24"/>
        </w:rPr>
        <w:instrText xml:space="preserve"> ADDIN ZOTERO_ITEM CSL_CITATION {"citationID":"4Z32oDF6","properties":{"unsorted":false,"formattedCitation":"(Hochreiter &amp; Schmidhuber, 1997; Qin et al., 2017; Vaswani et al., 2017)","plainCitation":"(Hochreiter &amp; Schmidhuber, 1997; Qin et al., 2017; Vaswani et al., 2017)","noteIndex":0},"citationItems":[{"id":2,"uris":["http://zotero.org/users/local/DPQnJvcs/items/SPQI23HJ"],"itemData":{"id":2,"type":"article-journal","container-title":"Neural Computation","DOI":"10.1162/neco.1997.9.8.1735","issue":"8","page":"1735–1780","title":"Long Short-Term Memory","volume":"9","author":[{"family":"Hochreiter","given":"Sepp"},{"family":"Schmidhuber","given":"Jürgen"}],"issued":{"date-parts":[["1997"]]}}},{"id":7,"uris":["http://zotero.org/users/local/DPQnJvcs/items/JH2MZFDZ"],"itemData":{"id":7,"type":"paper-conference","container-title":"Proceedings of the Twenty-Sixth International Joint Conference on Artificial Intelligence","DOI":"10.24963/ijcai.2017/366","page":"2627–2633","title":"A Dual-Stage Attention-Based Recurrent Neural Network for Time Series Prediction","author":[{"family":"Qin","given":"Yao"},{"family":"Song","given":"Dongjin"},{"family":"Chen","given":"Haifeng"},{"family":"Cheng","given":"Wei"},{"family":"Jiang","given":"Guofei"},{"family":"Cottrell","given":"Garrison W."}],"issued":{"date-parts":[["2017"]]}}},{"id":3,"uris":["http://zotero.org/users/local/DPQnJvcs/items/T8TL9SVN"],"itemData":{"id":3,"type":"paper-conference","container-title":"Advances in Neural Information Processing Systems","title":"Attention Is All You Need","URL":"https://proceedings.neurips.cc/paper_files/paper/2017/hash/3f5ee243547dee91fbd053c1c4a845aa-Abstract.html","volume":"30","author":[{"family":"Vaswani","given":"Ashish"},{"family":"Shazeer","given":"Noam"},{"family":"Parmar","given":"Niki"},{"family":"Uszkoreit","given":"Jakob"},{"family":"Jones","given":"Llion"},{"family":"Gomez","given":"Aidan N."},{"family":"Kaiser","given":"Łukasz"},{"family":"Polosukhin","given":"Illia"}],"issued":{"date-parts":[["2017"]]}}}],"schema":"https://github.com/citation-style-language/schema/raw/master/csl-citation.json"} </w:instrText>
      </w:r>
      <w:r w:rsidR="002D69D4">
        <w:rPr>
          <w:rFonts w:ascii="Times New Roman" w:eastAsia="Times New Roman" w:hAnsi="Times New Roman" w:cs="Times New Roman"/>
          <w:bCs/>
          <w:sz w:val="24"/>
          <w:szCs w:val="24"/>
        </w:rPr>
        <w:fldChar w:fldCharType="separate"/>
      </w:r>
      <w:r w:rsidR="002D69D4" w:rsidRPr="002D69D4">
        <w:rPr>
          <w:rFonts w:ascii="Times New Roman" w:hAnsi="Times New Roman" w:cs="Times New Roman"/>
          <w:sz w:val="24"/>
        </w:rPr>
        <w:t>(Hochreiter &amp; Schmidhuber, 1997; Qin et al., 2017; Vaswani et al., 2017)</w:t>
      </w:r>
      <w:r w:rsidR="002D69D4">
        <w:rPr>
          <w:rFonts w:ascii="Times New Roman" w:eastAsia="Times New Roman" w:hAnsi="Times New Roman" w:cs="Times New Roman"/>
          <w:bCs/>
          <w:sz w:val="24"/>
          <w:szCs w:val="24"/>
        </w:rPr>
        <w:fldChar w:fldCharType="end"/>
      </w:r>
      <w:r w:rsidR="00D0143A" w:rsidRPr="00D0143A">
        <w:rPr>
          <w:rFonts w:ascii="Times New Roman" w:eastAsia="Times New Roman" w:hAnsi="Times New Roman" w:cs="Times New Roman"/>
          <w:bCs/>
          <w:sz w:val="24"/>
          <w:szCs w:val="24"/>
        </w:rPr>
        <w:t xml:space="preserve"> Representative</w:t>
      </w:r>
      <w:r w:rsidR="0070444E" w:rsidRPr="000829A5">
        <w:rPr>
          <w:rFonts w:ascii="Times New Roman" w:hAnsi="Times New Roman" w:cs="Times New Roman"/>
          <w:sz w:val="24"/>
          <w:szCs w:val="24"/>
        </w:rPr>
        <w:t xml:space="preserve"> financial applications have reported gains from LSTM and CNN architectures</w:t>
      </w:r>
      <w:r w:rsidR="0070444E">
        <w:rPr>
          <w:rFonts w:ascii="Times New Roman" w:hAnsi="Times New Roman" w:cs="Times New Roman"/>
          <w:sz w:val="24"/>
          <w:szCs w:val="24"/>
        </w:rPr>
        <w:t xml:space="preserve"> </w:t>
      </w:r>
      <w:r w:rsidR="00FA4C19">
        <w:rPr>
          <w:rFonts w:ascii="Times New Roman" w:hAnsi="Times New Roman" w:cs="Times New Roman"/>
          <w:b/>
          <w:sz w:val="24"/>
          <w:szCs w:val="24"/>
        </w:rPr>
        <w:fldChar w:fldCharType="begin"/>
      </w:r>
      <w:r w:rsidR="00FA4C19">
        <w:rPr>
          <w:rFonts w:ascii="Times New Roman" w:hAnsi="Times New Roman" w:cs="Times New Roman"/>
          <w:b/>
          <w:sz w:val="24"/>
          <w:szCs w:val="24"/>
        </w:rPr>
        <w:instrText xml:space="preserve"> ADDIN ZOTERO_ITEM CSL_CITATION {"citationID":"kXhk7D5Q","properties":{"unsorted":false,"formattedCitation":"(Fischer &amp; Krauss, 2018; Hoseinzade &amp; Haratizadeh, 2019)","plainCitation":"(Fischer &amp; Krauss, 2018; Hoseinzade &amp; Haratizadeh, 2019)","noteIndex":0},"citationItems":[{"id":4,"uris":["http://zotero.org/users/local/DPQnJvcs/items/AGMKWFCU"],"itemData":{"id":4,"type":"article-journal","container-title":"European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id":5,"uris":["http://zotero.org/users/local/DPQnJvcs/items/AY49X3SC"],"itemData":{"id":5,"type":"article-journal","container-title":"Expert Systems with Applications","DOI":"10.1016/j.eswa.2019.03.029","page":"273–285","title":"CNNpred: CNN-Based Stock Market Prediction Using a Diverse Set of Variables","volume":"129","author":[{"family":"Hoseinzade","given":"Ehsan"},{"family":"Haratizadeh","given":"Saman"}],"issued":{"date-parts":[["2019"]]}}}],"schema":"https://github.com/citation-style-language/schema/raw/master/csl-citation.json"} </w:instrText>
      </w:r>
      <w:r w:rsidR="00FA4C19">
        <w:rPr>
          <w:rFonts w:ascii="Times New Roman" w:hAnsi="Times New Roman" w:cs="Times New Roman"/>
          <w:b/>
          <w:sz w:val="24"/>
          <w:szCs w:val="24"/>
        </w:rPr>
        <w:fldChar w:fldCharType="separate"/>
      </w:r>
      <w:r w:rsidR="00FA4C19" w:rsidRPr="00FA4C19">
        <w:rPr>
          <w:rFonts w:ascii="Times New Roman" w:hAnsi="Times New Roman" w:cs="Times New Roman"/>
          <w:sz w:val="24"/>
        </w:rPr>
        <w:t>(Fischer &amp; Krauss, 2018; Hoseinzade &amp; Haratizadeh, 2019)</w:t>
      </w:r>
      <w:r w:rsidR="00FA4C19">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That</w:t>
      </w:r>
      <w:r w:rsidR="009F1E3D" w:rsidRPr="000829A5">
        <w:rPr>
          <w:rFonts w:ascii="Times New Roman" w:hAnsi="Times New Roman" w:cs="Times New Roman"/>
          <w:sz w:val="24"/>
          <w:szCs w:val="24"/>
        </w:rPr>
        <w:t xml:space="preserve"> flexibility also increases the number of choices available to a researcher: feature families, lookback windows, decomposition settings, text encoders, fusion mechanisms, random seeds, thresholds, regimes and post-hoc explanations. A result selected from many such choices can look stronger than the underlying signal.</w:t>
      </w:r>
    </w:p>
    <w:p w14:paraId="2631611C" w14:textId="77777777" w:rsidR="00796B85" w:rsidRPr="00796B85" w:rsidRDefault="00560BEF" w:rsidP="009960B6">
      <w:pPr>
        <w:spacing w:line="360" w:lineRule="auto"/>
        <w:jc w:val="both"/>
        <w:rPr>
          <w:rFonts w:ascii="Times New Roman" w:eastAsia="Times New Roman" w:hAnsi="Times New Roman" w:cs="Times New Roman"/>
          <w:b/>
          <w:bCs/>
          <w:sz w:val="24"/>
          <w:szCs w:val="24"/>
        </w:rPr>
      </w:pPr>
      <w:r w:rsidRPr="000829A5">
        <w:rPr>
          <w:rFonts w:ascii="Times New Roman" w:hAnsi="Times New Roman" w:cs="Times New Roman"/>
          <w:sz w:val="24"/>
          <w:szCs w:val="24"/>
        </w:rPr>
        <w:t xml:space="preserve">The financial forecasting literature contains increasingly elaborate hybrid systems. Reviews document extensive use of LSTM, CNN and hybrid deep-learning models for price and direction prediction, while also identifying continuing gaps in </w:t>
      </w:r>
      <w:proofErr w:type="spellStart"/>
      <w:r w:rsidRPr="000829A5">
        <w:rPr>
          <w:rFonts w:ascii="Times New Roman" w:hAnsi="Times New Roman" w:cs="Times New Roman"/>
          <w:sz w:val="24"/>
          <w:szCs w:val="24"/>
        </w:rPr>
        <w:t>backtesting</w:t>
      </w:r>
      <w:proofErr w:type="spellEnd"/>
      <w:r w:rsidRPr="000829A5">
        <w:rPr>
          <w:rFonts w:ascii="Times New Roman" w:hAnsi="Times New Roman" w:cs="Times New Roman"/>
          <w:sz w:val="24"/>
          <w:szCs w:val="24"/>
        </w:rPr>
        <w:t>, reproducibility and practical evaluation</w:t>
      </w:r>
      <w:r>
        <w:rPr>
          <w:rFonts w:ascii="Times New Roman" w:eastAsia="Times New Roman" w:hAnsi="Times New Roman" w:cs="Times New Roman"/>
          <w:b/>
          <w:bCs/>
          <w:sz w:val="24"/>
          <w:szCs w:val="24"/>
        </w:rPr>
        <w:t xml:space="preserve"> </w:t>
      </w:r>
      <w:r w:rsidR="00AF01DB">
        <w:rPr>
          <w:rFonts w:ascii="Times New Roman" w:eastAsia="Times New Roman" w:hAnsi="Times New Roman" w:cs="Times New Roman"/>
          <w:b/>
          <w:bCs/>
          <w:sz w:val="24"/>
          <w:szCs w:val="24"/>
        </w:rPr>
        <w:fldChar w:fldCharType="begin"/>
      </w:r>
      <w:r w:rsidR="00AF01DB">
        <w:rPr>
          <w:rFonts w:ascii="Times New Roman" w:eastAsia="Times New Roman" w:hAnsi="Times New Roman" w:cs="Times New Roman"/>
          <w:b/>
          <w:bCs/>
          <w:sz w:val="24"/>
          <w:szCs w:val="24"/>
        </w:rPr>
        <w:instrText xml:space="preserve"> ADDIN ZOTERO_ITEM CSL_CITATION {"citationID":"mRwKpEiX","properties":{"unsorted":false,"formattedCitation":"(Olorunnimbe &amp; Viktor, 2023; Sezer et al., 2020)","plainCitation":"(Olorunnimbe &amp; Viktor, 2023; Sezer et al., 2020)","noteIndex":0},"citationItems":[{"id":33,"uris":["http://zotero.org/users/local/DPQnJvcs/items/8Z849LRX"],"itemData":{"id":33,"type":"article-journal","container-title":"Artificial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id":6,"uris":["http://zotero.org/users/local/DPQnJvcs/items/I7XYAE2J"],"itemData":{"id":6,"type":"article-journal","container-title":"Applied Soft Computing","DOI":"10.1016/j.asoc.2020.106181","page":"106181","title":"Financial Time Series Forecasting with Deep Learning: A Systematic Literature Review: 2005–2019","volume":"90","author":[{"family":"Sezer","given":"Omer Berat"},{"family":"Gudelek","given":"Mehmet Ugur"},{"family":"Ozbayoglu","given":"Ahmet Murat"}],"issued":{"date-parts":[["2020"]]}}}],"schema":"https://github.com/citation-style-language/schema/raw/master/csl-citation.json"} </w:instrText>
      </w:r>
      <w:r w:rsidR="00AF01DB">
        <w:rPr>
          <w:rFonts w:ascii="Times New Roman" w:eastAsia="Times New Roman" w:hAnsi="Times New Roman" w:cs="Times New Roman"/>
          <w:b/>
          <w:bCs/>
          <w:sz w:val="24"/>
          <w:szCs w:val="24"/>
        </w:rPr>
        <w:fldChar w:fldCharType="separate"/>
      </w:r>
      <w:r w:rsidR="00AF01DB" w:rsidRPr="00AF01DB">
        <w:rPr>
          <w:rFonts w:ascii="Times New Roman" w:hAnsi="Times New Roman" w:cs="Times New Roman"/>
          <w:sz w:val="24"/>
        </w:rPr>
        <w:t>(Olorunnimbe &amp; Viktor, 2023; Sezer et al., 2020)</w:t>
      </w:r>
      <w:r w:rsidR="00AF01DB">
        <w:rPr>
          <w:rFonts w:ascii="Times New Roman" w:eastAsia="Times New Roman" w:hAnsi="Times New Roman" w:cs="Times New Roman"/>
          <w:b/>
          <w:bCs/>
          <w:sz w:val="24"/>
          <w:szCs w:val="24"/>
        </w:rPr>
        <w:fldChar w:fldCharType="end"/>
      </w:r>
      <w:r w:rsidR="00D0143A" w:rsidRPr="00D0143A">
        <w:rPr>
          <w:rFonts w:ascii="Times New Roman" w:eastAsia="Times New Roman" w:hAnsi="Times New Roman" w:cs="Times New Roman"/>
          <w:bCs/>
          <w:sz w:val="24"/>
          <w:szCs w:val="24"/>
        </w:rPr>
        <w:t xml:space="preserve"> Earlier</w:t>
      </w:r>
      <w:r w:rsidR="000B4AA2" w:rsidRPr="000829A5">
        <w:rPr>
          <w:rFonts w:ascii="Times New Roman" w:hAnsi="Times New Roman" w:cs="Times New Roman"/>
          <w:sz w:val="24"/>
          <w:szCs w:val="24"/>
        </w:rPr>
        <w:t xml:space="preserve"> multimodal systems combined text and market signals through attention, graph structure, expert-opinion aggregation and cross-modal interaction</w:t>
      </w:r>
      <w:r w:rsidR="000B4AA2">
        <w:rPr>
          <w:rFonts w:ascii="Times New Roman" w:hAnsi="Times New Roman" w:cs="Times New Roman"/>
          <w:sz w:val="24"/>
          <w:szCs w:val="24"/>
        </w:rPr>
        <w:t xml:space="preserve"> </w:t>
      </w:r>
      <w:r w:rsidR="008D746B">
        <w:rPr>
          <w:rFonts w:ascii="Times New Roman" w:hAnsi="Times New Roman" w:cs="Times New Roman"/>
          <w:b/>
          <w:sz w:val="24"/>
          <w:szCs w:val="24"/>
        </w:rPr>
        <w:fldChar w:fldCharType="begin"/>
      </w:r>
      <w:r w:rsidR="008150E4">
        <w:rPr>
          <w:rFonts w:ascii="Times New Roman" w:hAnsi="Times New Roman" w:cs="Times New Roman"/>
          <w:b/>
          <w:sz w:val="24"/>
          <w:szCs w:val="24"/>
        </w:rPr>
        <w:instrText xml:space="preserve"> ADDIN ZOTERO_ITEM CSL_CITATION {"citationID":"UjGv5zgM","properties":{"unsorted":false,"formattedCitation":"(Luo et al., 2023; Sawhney et al., 2020; H. Wang et al., 2020)","plainCitation":"(Luo et al., 2023; Sawhney et al., 2020; H. Wang et al., 2020)","noteIndex":0},"citationItems":[{"id":11,"uris":["http://zotero.org/users/local/DPQnJvcs/items/D2QUG5UZ"],"itemData":{"id":11,"type":"paper-conference","container-title":"Proceedings of the 61st Annual Meeting of the Association for Computational Linguistics (Volume 1: Long Papers)","DOI":"10.18653/v1/2023.acl-long.679","page":"12164–12176","publisher":"Association for Computational Linguistics","title":"Causality-Guided Multi-Memory Interaction Network for Multivariate Stock Price Movement Prediction","author":[{"family":"Luo","given":"Di"},{"family":"Liao","given":"Weiheng"},{"family":"Li","given":"Shuqi"},{"family":"Cheng","given":"Xin"},{"family":"Yan","given":"Rui"}],"issued":{"date-parts":[["2023"]]}}},{"id":10,"uris":["http://zotero.org/users/local/DPQnJvcs/items/RUSPTZJ5"],"itemData":{"id":10,"type":"paper-conference","container-title":"Proceedings of the 2020 Conference on Empirical Methods in Natural Language Processing","DOI":"10.18653/v1/2020.emnlp-main.676","page":"8415–8426","publisher":"Association for Computational Linguistics","title":"Deep Attentive Learning for Stock Movement Prediction From Social Media Text and Company Correlations","author":[{"family":"Sawhney","given":"Ramit"},{"family":"Agarwal","given":"Shivam"},{"family":"Wadhwa","given":"Arnav"},{"family":"Shah","given":"Rajiv Ratn"}],"issued":{"date-parts":[["2020"]]}}},{"id":9,"uris":["http://zotero.org/users/local/DPQnJvcs/items/WNCCDXYI"],"itemData":{"id":9,"type":"paper-conference","container-title":"Proceedings of the AAAI Conference on Artificial Intelligence","DOI":"10.1609/aaai.v34i01.5445","issue":"1","page":"971–978","title":"Incorporating Expert-Based Investment Opinion Signals in Stock Prediction: A Deep Learning Framework","volume":"34","author":[{"family":"Wang","given":"Heyuan"},{"family":"Wang","given":"Tengjiao"},{"family":"Li","given":"Yi"}],"issued":{"date-parts":[["2020"]]}}}],"schema":"https://github.com/citation-style-language/schema/raw/master/csl-citation.json"} </w:instrText>
      </w:r>
      <w:r w:rsidR="008D746B">
        <w:rPr>
          <w:rFonts w:ascii="Times New Roman" w:hAnsi="Times New Roman" w:cs="Times New Roman"/>
          <w:b/>
          <w:sz w:val="24"/>
          <w:szCs w:val="24"/>
        </w:rPr>
        <w:fldChar w:fldCharType="separate"/>
      </w:r>
      <w:r w:rsidR="008150E4" w:rsidRPr="008150E4">
        <w:rPr>
          <w:rFonts w:ascii="Times New Roman" w:hAnsi="Times New Roman" w:cs="Times New Roman"/>
          <w:sz w:val="24"/>
        </w:rPr>
        <w:t>(Luo et al., 2023; Sawhney et al., 2020; H. Wang et al., 2020)</w:t>
      </w:r>
      <w:r w:rsidR="008D746B">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More</w:t>
      </w:r>
      <w:r w:rsidR="00D5534F" w:rsidRPr="000829A5">
        <w:rPr>
          <w:rFonts w:ascii="Times New Roman" w:hAnsi="Times New Roman" w:cs="Times New Roman"/>
          <w:sz w:val="24"/>
          <w:szCs w:val="24"/>
        </w:rPr>
        <w:t xml:space="preserve"> recent work models interactions among news items or uses sentiment-attention mechanisms for index prediction</w:t>
      </w:r>
      <w:r w:rsidR="00F60519">
        <w:rPr>
          <w:rFonts w:ascii="Times New Roman" w:hAnsi="Times New Roman" w:cs="Times New Roman"/>
          <w:sz w:val="24"/>
          <w:szCs w:val="24"/>
        </w:rPr>
        <w:t xml:space="preserve"> </w:t>
      </w:r>
      <w:r w:rsidR="008150E4">
        <w:rPr>
          <w:rFonts w:ascii="Times New Roman" w:hAnsi="Times New Roman" w:cs="Times New Roman"/>
          <w:b/>
          <w:sz w:val="24"/>
          <w:szCs w:val="24"/>
        </w:rPr>
        <w:fldChar w:fldCharType="begin"/>
      </w:r>
      <w:r w:rsidR="006F5802">
        <w:rPr>
          <w:rFonts w:ascii="Times New Roman" w:hAnsi="Times New Roman" w:cs="Times New Roman"/>
          <w:b/>
          <w:sz w:val="24"/>
          <w:szCs w:val="24"/>
        </w:rPr>
        <w:instrText xml:space="preserve"> ADDIN ZOTERO_ITEM CSL_CITATION {"citationID":"huBg7by3","properties":{"unsorted":false,"formattedCitation":"(W.-J. Liu et al., 2024; M. Wang et al., 2024)","plainCitation":"(W.-J. Liu et al., 2024; M. Wang et al., 2024)","noteIndex":0},"citationItems":[{"id":38,"uris":["http://zotero.org/users/local/DPQnJvcs/items/VIIIS229"],"itemData":{"id":38,"type":"article-journal","container-title":"Expert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sidR="008150E4">
        <w:rPr>
          <w:rFonts w:ascii="Times New Roman" w:hAnsi="Times New Roman" w:cs="Times New Roman"/>
          <w:b/>
          <w:sz w:val="24"/>
          <w:szCs w:val="24"/>
        </w:rPr>
        <w:fldChar w:fldCharType="separate"/>
      </w:r>
      <w:r w:rsidR="006F5802" w:rsidRPr="006F5802">
        <w:rPr>
          <w:rFonts w:ascii="Times New Roman" w:hAnsi="Times New Roman" w:cs="Times New Roman"/>
          <w:sz w:val="24"/>
        </w:rPr>
        <w:t>(W.-J. Liu et al., 2024; M. Wang et al., 2024)</w:t>
      </w:r>
      <w:r w:rsidR="008150E4">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Signal</w:t>
      </w:r>
      <w:r w:rsidR="00D41FA7" w:rsidRPr="000829A5">
        <w:rPr>
          <w:rFonts w:ascii="Times New Roman" w:hAnsi="Times New Roman" w:cs="Times New Roman"/>
          <w:sz w:val="24"/>
          <w:szCs w:val="24"/>
        </w:rPr>
        <w:t>-decomposition methods offer a second route: separate a price process into frequency components and expose a denoised representation to the predictor. Yet a component can improve squared-price error without improving the sign of the next movement and a text model can classify sentiment well without adding conditional information to an already strong market-data feature set. These distinctions are often blurred when performance is summarized by a single best accuracy.</w:t>
      </w:r>
    </w:p>
    <w:p w14:paraId="4F6734A1" w14:textId="77777777" w:rsidR="00796B85" w:rsidRDefault="00796B85" w:rsidP="009960B6">
      <w:pPr>
        <w:spacing w:line="360" w:lineRule="auto"/>
        <w:jc w:val="both"/>
        <w:rPr>
          <w:rFonts w:ascii="Times New Roman" w:eastAsia="Times New Roman" w:hAnsi="Times New Roman" w:cs="Times New Roman"/>
          <w:sz w:val="24"/>
          <w:szCs w:val="24"/>
        </w:rPr>
      </w:pPr>
      <w:r w:rsidRPr="00796B85">
        <w:rPr>
          <w:rFonts w:ascii="Times New Roman" w:hAnsi="Times New Roman" w:cs="Times New Roman"/>
          <w:sz w:val="24"/>
          <w:szCs w:val="24"/>
          <w:lang w:bidi="ar-SA"/>
        </w:rPr>
        <w:t>This study treats these distinctions as the object of analysis. Rather than selecting the best-performing configuration, we examine whether five audit dimensions remain informative</w:t>
      </w:r>
      <w:r w:rsidR="00D0143A">
        <w:rPr>
          <w:rFonts w:ascii="Times New Roman" w:hAnsi="Times New Roman" w:cs="Times New Roman"/>
          <w:sz w:val="24"/>
          <w:szCs w:val="24"/>
          <w:lang w:bidi="ar-SA"/>
        </w:rPr>
        <w:t xml:space="preserve"> </w:t>
      </w:r>
      <w:r w:rsidRPr="00796B85">
        <w:rPr>
          <w:rFonts w:ascii="Times New Roman" w:hAnsi="Times New Roman" w:cs="Times New Roman"/>
          <w:sz w:val="24"/>
          <w:szCs w:val="24"/>
          <w:lang w:bidi="ar-SA"/>
        </w:rPr>
        <w:t>under a common point-in-time and inferential protocol</w:t>
      </w:r>
    </w:p>
    <w:p w14:paraId="455AECF0" w14:textId="77777777" w:rsidR="009B2585" w:rsidRDefault="004C119B" w:rsidP="009960B6">
      <w:pPr>
        <w:pStyle w:val="ListParagraph"/>
        <w:numPr>
          <w:ilvl w:val="0"/>
          <w:numId w:val="39"/>
        </w:numPr>
        <w:spacing w:after="60" w:line="360" w:lineRule="auto"/>
        <w:jc w:val="both"/>
        <w:rPr>
          <w:rFonts w:ascii="Times New Roman" w:eastAsia="Times New Roman" w:hAnsi="Times New Roman" w:cs="Times New Roman"/>
          <w:sz w:val="24"/>
          <w:szCs w:val="24"/>
        </w:rPr>
      </w:pPr>
      <w:r w:rsidRPr="004C119B">
        <w:rPr>
          <w:rFonts w:ascii="Times New Roman" w:hAnsi="Times New Roman" w:cs="Times New Roman"/>
          <w:b/>
          <w:bCs/>
          <w:sz w:val="24"/>
          <w:szCs w:val="24"/>
        </w:rPr>
        <w:lastRenderedPageBreak/>
        <w:t xml:space="preserve">Point-in-time data reliability: </w:t>
      </w:r>
      <w:r w:rsidRPr="004C119B">
        <w:rPr>
          <w:rFonts w:ascii="Times New Roman" w:hAnsi="Times New Roman" w:cs="Times New Roman"/>
          <w:sz w:val="24"/>
          <w:szCs w:val="24"/>
        </w:rPr>
        <w:t>Are features, labels, scalers and sequence boundaries consistent with the information available at the prediction time?</w:t>
      </w:r>
    </w:p>
    <w:p w14:paraId="4C4094F8" w14:textId="77777777" w:rsidR="009B2585" w:rsidRDefault="004C119B" w:rsidP="009960B6">
      <w:pPr>
        <w:pStyle w:val="ListParagraph"/>
        <w:numPr>
          <w:ilvl w:val="0"/>
          <w:numId w:val="39"/>
        </w:numPr>
        <w:spacing w:after="60" w:line="360" w:lineRule="auto"/>
        <w:jc w:val="both"/>
        <w:rPr>
          <w:rFonts w:ascii="Times New Roman" w:eastAsia="Times New Roman" w:hAnsi="Times New Roman" w:cs="Times New Roman"/>
          <w:sz w:val="24"/>
          <w:szCs w:val="24"/>
        </w:rPr>
      </w:pPr>
      <w:r w:rsidRPr="004C119B">
        <w:rPr>
          <w:rFonts w:ascii="Times New Roman" w:eastAsia="Times New Roman" w:hAnsi="Times New Roman" w:cs="Times New Roman"/>
          <w:b/>
          <w:bCs/>
          <w:sz w:val="24"/>
          <w:szCs w:val="24"/>
        </w:rPr>
        <w:t>Numerical and denoising reliability:</w:t>
      </w:r>
      <w:r w:rsidRPr="004C119B">
        <w:rPr>
          <w:rFonts w:ascii="Times New Roman" w:eastAsia="Times New Roman" w:hAnsi="Times New Roman" w:cs="Times New Roman"/>
          <w:sz w:val="24"/>
          <w:szCs w:val="24"/>
        </w:rPr>
        <w:t xml:space="preserve"> Does causal rolling VMD provide a repeatable directional benefit beyond a comprehensive technical-analysis feature set?</w:t>
      </w:r>
    </w:p>
    <w:p w14:paraId="649FC981" w14:textId="77777777" w:rsidR="009B2585" w:rsidRDefault="001937FA" w:rsidP="009960B6">
      <w:pPr>
        <w:pStyle w:val="ListParagraph"/>
        <w:numPr>
          <w:ilvl w:val="0"/>
          <w:numId w:val="39"/>
        </w:numPr>
        <w:spacing w:after="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Multimodal and LLM reliability:</w:t>
      </w:r>
      <w:r w:rsidRPr="001937FA">
        <w:rPr>
          <w:rFonts w:ascii="Times New Roman" w:eastAsia="Times New Roman" w:hAnsi="Times New Roman" w:cs="Times New Roman"/>
          <w:sz w:val="24"/>
          <w:szCs w:val="24"/>
        </w:rPr>
        <w:t xml:space="preserve"> Does out-of-sample predicted news add incremental forecasting information and does a role-structured LLM system retain an intrinsic sentiment advantage over compute-matched controls?</w:t>
      </w:r>
    </w:p>
    <w:p w14:paraId="61024AC7" w14:textId="77777777" w:rsidR="001937FA" w:rsidRDefault="001937FA" w:rsidP="009960B6">
      <w:pPr>
        <w:pStyle w:val="ListParagraph"/>
        <w:numPr>
          <w:ilvl w:val="0"/>
          <w:numId w:val="39"/>
        </w:numPr>
        <w:spacing w:after="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Regime-aware explainability reliability:</w:t>
      </w:r>
      <w:r w:rsidRPr="001937FA">
        <w:rPr>
          <w:rFonts w:ascii="Times New Roman" w:eastAsia="Times New Roman" w:hAnsi="Times New Roman" w:cs="Times New Roman"/>
          <w:sz w:val="24"/>
          <w:szCs w:val="24"/>
        </w:rPr>
        <w:t xml:space="preserve"> Do causal Bull/Sideway/Bear routing and SHAP-selected feature subsets generalize across architectures, or are their benefits architecture-specific?</w:t>
      </w:r>
    </w:p>
    <w:p w14:paraId="2FFBAA3B" w14:textId="77777777" w:rsidR="001937FA" w:rsidRDefault="001937FA" w:rsidP="009960B6">
      <w:pPr>
        <w:pStyle w:val="ListParagraph"/>
        <w:numPr>
          <w:ilvl w:val="0"/>
          <w:numId w:val="39"/>
        </w:numPr>
        <w:spacing w:after="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Forward and transfer reliability:</w:t>
      </w:r>
      <w:r w:rsidRPr="001937FA">
        <w:rPr>
          <w:rFonts w:ascii="Times New Roman" w:eastAsia="Times New Roman" w:hAnsi="Times New Roman" w:cs="Times New Roman"/>
          <w:sz w:val="24"/>
          <w:szCs w:val="24"/>
        </w:rPr>
        <w:t xml:space="preserve"> Do the conclusions persist in a later source-contingent period and under frozen transfer from SET50 to the broader SET100 index?</w:t>
      </w:r>
    </w:p>
    <w:p w14:paraId="64BE6F86" w14:textId="77777777" w:rsidR="001937FA" w:rsidRDefault="001937FA" w:rsidP="009960B6">
      <w:pPr>
        <w:spacing w:line="360" w:lineRule="auto"/>
        <w:jc w:val="both"/>
        <w:rPr>
          <w:rFonts w:ascii="Times New Roman" w:eastAsia="Times New Roman" w:hAnsi="Times New Roman" w:cs="Times New Roman"/>
          <w:b/>
          <w:bCs/>
          <w:sz w:val="24"/>
          <w:szCs w:val="24"/>
        </w:rPr>
      </w:pPr>
      <w:r w:rsidRPr="001937FA">
        <w:rPr>
          <w:rFonts w:ascii="Times New Roman" w:hAnsi="Times New Roman" w:cs="Times New Roman"/>
          <w:sz w:val="24"/>
          <w:szCs w:val="24"/>
        </w:rPr>
        <w:t xml:space="preserve">The five registered neural architectures provide a common benchmark panel across these audit dimensions. They are not presented as separate contributions and the study does not claim a new state-of-the-art forecasting model. Instead, the contribution is an integrated reliability-audit framework combining point-in-time reconstruction, architecture-paired ablations, negative-control falsification, compute-matched LLM evaluation, capacity-aware regime analysis, local-explanation diagnostics, serial-dependence sensitivity and frozen same-exchange transfer. The results are heterogeneous: selected enhancements improve </w:t>
      </w:r>
      <w:proofErr w:type="gramStart"/>
      <w:r w:rsidRPr="001937FA">
        <w:rPr>
          <w:rFonts w:ascii="Times New Roman" w:hAnsi="Times New Roman" w:cs="Times New Roman"/>
          <w:sz w:val="24"/>
          <w:szCs w:val="24"/>
        </w:rPr>
        <w:t>particular architectures</w:t>
      </w:r>
      <w:proofErr w:type="gramEnd"/>
      <w:r w:rsidRPr="001937FA">
        <w:rPr>
          <w:rFonts w:ascii="Times New Roman" w:hAnsi="Times New Roman" w:cs="Times New Roman"/>
          <w:sz w:val="24"/>
          <w:szCs w:val="24"/>
        </w:rPr>
        <w:t xml:space="preserve"> or intrinsic endpoints, but none of the completed primary forecasting contrasts </w:t>
      </w:r>
      <w:r w:rsidR="00B51DC7" w:rsidRPr="001937FA">
        <w:rPr>
          <w:rFonts w:ascii="Times New Roman" w:hAnsi="Times New Roman" w:cs="Times New Roman"/>
          <w:sz w:val="24"/>
          <w:szCs w:val="24"/>
        </w:rPr>
        <w:t>survive</w:t>
      </w:r>
      <w:r w:rsidRPr="001937FA">
        <w:rPr>
          <w:rFonts w:ascii="Times New Roman" w:hAnsi="Times New Roman" w:cs="Times New Roman"/>
          <w:sz w:val="24"/>
          <w:szCs w:val="24"/>
        </w:rPr>
        <w:t xml:space="preserve"> the registered multiplicity controls. This lack of generalizable superiority is a substantive finding of the audit.</w:t>
      </w:r>
    </w:p>
    <w:p w14:paraId="78C95C91" w14:textId="77777777" w:rsidR="00E017F3" w:rsidRPr="00466E3D" w:rsidRDefault="00E017F3" w:rsidP="009960B6">
      <w:pPr>
        <w:keepNext/>
        <w:keepLines/>
        <w:spacing w:before="240" w:line="360" w:lineRule="auto"/>
        <w:rPr>
          <w:rFonts w:ascii="Times New Roman" w:eastAsia="Times New Roman" w:hAnsi="Times New Roman" w:cs="Times New Roman"/>
          <w:b/>
          <w:bCs/>
          <w:sz w:val="24"/>
          <w:szCs w:val="24"/>
        </w:rPr>
      </w:pPr>
      <w:r w:rsidRPr="00D0143A">
        <w:rPr>
          <w:rFonts w:ascii="Times New Roman" w:eastAsia="Times New Roman" w:hAnsi="Times New Roman" w:cs="Times New Roman"/>
          <w:b/>
          <w:bCs/>
          <w:sz w:val="24"/>
          <w:szCs w:val="24"/>
        </w:rPr>
        <w:t>2</w:t>
      </w:r>
      <w:r w:rsidR="006260C9" w:rsidRPr="00D0143A">
        <w:rPr>
          <w:rFonts w:ascii="Times New Roman" w:eastAsia="Times New Roman" w:hAnsi="Times New Roman" w:cs="Times New Roman"/>
          <w:b/>
          <w:bCs/>
          <w:sz w:val="24"/>
          <w:szCs w:val="24"/>
        </w:rPr>
        <w:t xml:space="preserve">. </w:t>
      </w:r>
      <w:r w:rsidRPr="00D0143A">
        <w:rPr>
          <w:rFonts w:ascii="Times New Roman" w:eastAsia="Times New Roman" w:hAnsi="Times New Roman" w:cs="Times New Roman"/>
          <w:b/>
          <w:bCs/>
          <w:sz w:val="24"/>
          <w:szCs w:val="24"/>
        </w:rPr>
        <w:t>Related works</w:t>
      </w:r>
    </w:p>
    <w:p w14:paraId="5FF10E4D" w14:textId="77777777" w:rsidR="00B21E8A" w:rsidRPr="00B21E8A" w:rsidRDefault="00B96D27" w:rsidP="009960B6">
      <w:pPr>
        <w:keepNext/>
        <w:keepLines/>
        <w:spacing w:before="180" w:after="80" w:line="360" w:lineRule="auto"/>
        <w:rPr>
          <w:rFonts w:ascii="Times New Roman" w:eastAsia="Times New Roman" w:hAnsi="Times New Roman" w:cs="Times New Roman"/>
          <w:b/>
          <w:bCs/>
          <w:sz w:val="24"/>
          <w:szCs w:val="24"/>
        </w:rPr>
      </w:pPr>
      <w:r w:rsidRPr="00D0143A">
        <w:rPr>
          <w:rFonts w:ascii="Times New Roman" w:eastAsia="Times New Roman" w:hAnsi="Times New Roman" w:cs="Times New Roman"/>
          <w:b/>
          <w:bCs/>
          <w:sz w:val="24"/>
          <w:szCs w:val="24"/>
        </w:rPr>
        <w:t>2.1 Deep Sequence models for financial direction</w:t>
      </w:r>
    </w:p>
    <w:p w14:paraId="3DBE81E8" w14:textId="77777777" w:rsidR="00E97CD1" w:rsidRDefault="00B96D27" w:rsidP="009960B6">
      <w:pPr>
        <w:spacing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LSTM</w:t>
      </w:r>
      <w:r w:rsidR="007901A5">
        <w:rPr>
          <w:rFonts w:ascii="Times New Roman" w:eastAsia="Times New Roman" w:hAnsi="Times New Roman" w:cs="Times New Roman"/>
          <w:sz w:val="24"/>
          <w:szCs w:val="24"/>
        </w:rPr>
        <w:t xml:space="preserve"> </w:t>
      </w:r>
      <w:r w:rsidR="007901A5" w:rsidRPr="000829A5">
        <w:rPr>
          <w:rFonts w:ascii="Times New Roman" w:hAnsi="Times New Roman" w:cs="Times New Roman"/>
          <w:sz w:val="24"/>
          <w:szCs w:val="24"/>
        </w:rPr>
        <w:t>networks were designed to retain information over long sequences while controlling vanishing gradients</w:t>
      </w:r>
      <w:r w:rsidR="007901A5">
        <w:rPr>
          <w:rFonts w:ascii="Times New Roman" w:hAnsi="Times New Roman" w:cs="Times New Roman"/>
          <w:sz w:val="24"/>
          <w:szCs w:val="24"/>
        </w:rPr>
        <w:t xml:space="preserve"> </w:t>
      </w:r>
      <w:r w:rsidR="00F60519">
        <w:rPr>
          <w:rFonts w:ascii="Times New Roman" w:hAnsi="Times New Roman" w:cs="Times New Roman"/>
          <w:b/>
          <w:sz w:val="24"/>
          <w:szCs w:val="24"/>
        </w:rPr>
        <w:fldChar w:fldCharType="begin"/>
      </w:r>
      <w:r w:rsidR="00F60519">
        <w:rPr>
          <w:rFonts w:ascii="Times New Roman" w:hAnsi="Times New Roman" w:cs="Times New Roman"/>
          <w:b/>
          <w:sz w:val="24"/>
          <w:szCs w:val="24"/>
        </w:rPr>
        <w:instrText xml:space="preserve"> ADDIN ZOTERO_ITEM CSL_CITATION {"citationID":"fHqQHpFy","properties":{"unsorted":false,"formattedCitation":"(Hochreiter &amp; Schmidhuber, 1997)","plainCitation":"(Hochreiter &amp; Schmidhuber, 1997)","noteIndex":0},"citationItems":[{"id":2,"uris":["http://zotero.org/users/local/DPQnJvcs/items/SPQI23HJ"],"itemData":{"id":2,"type":"article-journal","container-title":"Neural Computation","DOI":"10.1162/neco.1997.9.8.1735","issue":"8","page":"1735–1780","title":"Long Short-Term Memory","volume":"9","author":[{"family":"Hochreiter","given":"Sepp"},{"family":"Schmidhuber","given":"Jürgen"}],"issued":{"date-parts":[["1997"]]}}}],"schema":"https://github.com/citation-style-language/schema/raw/master/csl-citation.json"} </w:instrText>
      </w:r>
      <w:r w:rsidR="00F60519">
        <w:rPr>
          <w:rFonts w:ascii="Times New Roman" w:hAnsi="Times New Roman" w:cs="Times New Roman"/>
          <w:b/>
          <w:sz w:val="24"/>
          <w:szCs w:val="24"/>
        </w:rPr>
        <w:fldChar w:fldCharType="separate"/>
      </w:r>
      <w:r w:rsidR="00F60519" w:rsidRPr="00F60519">
        <w:rPr>
          <w:rFonts w:ascii="Times New Roman" w:hAnsi="Times New Roman" w:cs="Times New Roman"/>
          <w:sz w:val="24"/>
        </w:rPr>
        <w:t>(Hochreiter &amp; Schmidhuber, 1997)</w:t>
      </w:r>
      <w:r w:rsidR="00F60519">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Their</w:t>
      </w:r>
      <w:r w:rsidR="004B4ACD" w:rsidRPr="000829A5">
        <w:rPr>
          <w:rFonts w:ascii="Times New Roman" w:hAnsi="Times New Roman" w:cs="Times New Roman"/>
          <w:sz w:val="24"/>
          <w:szCs w:val="24"/>
        </w:rPr>
        <w:t xml:space="preserve"> use in financial prediction is motivated by delayed dependencies, while CNNs provide local filters that can extract short-range temporal patterns. Attention adds a learned mechanism for weighting representations across a sequence</w:t>
      </w:r>
      <w:r w:rsidR="004B4ACD">
        <w:rPr>
          <w:rFonts w:ascii="Times New Roman" w:hAnsi="Times New Roman" w:cs="Times New Roman"/>
          <w:sz w:val="24"/>
          <w:szCs w:val="24"/>
        </w:rPr>
        <w:t xml:space="preserve"> </w:t>
      </w:r>
      <w:r w:rsidR="007C0B2E">
        <w:rPr>
          <w:rFonts w:ascii="Times New Roman" w:hAnsi="Times New Roman" w:cs="Times New Roman"/>
          <w:sz w:val="24"/>
          <w:szCs w:val="24"/>
        </w:rPr>
        <w:fldChar w:fldCharType="begin"/>
      </w:r>
      <w:r w:rsidR="007C0B2E">
        <w:rPr>
          <w:rFonts w:ascii="Times New Roman" w:hAnsi="Times New Roman" w:cs="Times New Roman"/>
          <w:sz w:val="24"/>
          <w:szCs w:val="24"/>
        </w:rPr>
        <w:instrText xml:space="preserve"> ADDIN ZOTERO_ITEM CSL_CITATION {"citationID":"yBQfNdbL","properties":{"unsorted":false,"formattedCitation":"(Qin et al., 2017; Vaswani et al., 2017)","plainCitation":"(Qin et al., 2017; Vaswani et al., 2017)","noteIndex":0},"citationItems":[{"id":7,"uris":["http://zotero.org/users/local/DPQnJvcs/items/JH2MZFDZ"],"itemData":{"id":7,"type":"paper-conference","container-title":"Proceedings of the Twenty-Sixth International Joint Conference on Artificial Intelligence","DOI":"10.24963/ijcai.2017/366","page":"2627–2633","title":"A Dual-Stage Attention-Based Recurrent Neural Network for Time Series Prediction","author":[{"family":"Qin","given":"Yao"},{"family":"Song","given":"Dongjin"},{"family":"Chen","given":"Haifeng"},{"family":"Cheng","given":"Wei"},{"family":"Jiang","given":"Guofei"},{"family":"Cottrell","given":"Garrison W."}],"issued":{"date-parts":[["2017"]]}}},{"id":3,"uris":["http://zotero.org/users/local/DPQnJvcs/items/T8TL9SVN"],"itemData":{"id":3,"type":"paper-conference","container-title":"Advances in Neural Information Processing Systems","title":"Attention Is All You Need","URL":"https://proceedings.neurips.cc/paper_files/paper/2017/hash/3f5ee243547dee91fbd053c1c4a845aa-Abstract.html","volume":"30","author":[{"family":"Vaswani","given":"Ashish"},{"family":"Shazeer","given":"Noam"},{"family":"Parmar","given":"Niki"},{"family":"Uszkoreit","given":"Jakob"},{"family":"Jones","given":"Llion"},{"family":"Gomez","given":"Aidan N."},{"family":"Kaiser","given":"Łukasz"},{"family":"Polosukhin","given":"Illia"}],"issued":{"date-parts":[["2017"]]}}}],"schema":"https://github.com/citation-style-language/schema/raw/master/csl-citation.json"} </w:instrText>
      </w:r>
      <w:r w:rsidR="007C0B2E">
        <w:rPr>
          <w:rFonts w:ascii="Times New Roman" w:hAnsi="Times New Roman" w:cs="Times New Roman"/>
          <w:sz w:val="24"/>
          <w:szCs w:val="24"/>
        </w:rPr>
        <w:fldChar w:fldCharType="separate"/>
      </w:r>
      <w:r w:rsidR="007C0B2E" w:rsidRPr="007C0B2E">
        <w:rPr>
          <w:rFonts w:ascii="Times New Roman" w:hAnsi="Times New Roman" w:cs="Times New Roman"/>
          <w:sz w:val="24"/>
        </w:rPr>
        <w:t>(Qin et al., 2017; Vaswani et al., 2017)</w:t>
      </w:r>
      <w:r w:rsidR="007C0B2E">
        <w:rPr>
          <w:rFonts w:ascii="Times New Roman" w:hAnsi="Times New Roman" w:cs="Times New Roman"/>
          <w:sz w:val="24"/>
          <w:szCs w:val="24"/>
        </w:rPr>
        <w:fldChar w:fldCharType="end"/>
      </w:r>
      <w:r w:rsidR="00D0143A" w:rsidRPr="00D0143A">
        <w:rPr>
          <w:rFonts w:ascii="Times New Roman" w:hAnsi="Times New Roman" w:cs="Times New Roman"/>
          <w:sz w:val="24"/>
          <w:szCs w:val="24"/>
        </w:rPr>
        <w:t xml:space="preserve"> Large</w:t>
      </w:r>
      <w:r w:rsidR="00667D9C" w:rsidRPr="000829A5">
        <w:rPr>
          <w:rFonts w:ascii="Times New Roman" w:hAnsi="Times New Roman" w:cs="Times New Roman"/>
          <w:sz w:val="24"/>
          <w:szCs w:val="24"/>
        </w:rPr>
        <w:t xml:space="preserve"> empirical studies have reported advantages for LSTM-based financial prediction</w:t>
      </w:r>
      <w:r w:rsidR="00667D9C">
        <w:rPr>
          <w:rFonts w:ascii="Times New Roman" w:hAnsi="Times New Roman" w:cs="Times New Roman"/>
          <w:sz w:val="24"/>
          <w:szCs w:val="24"/>
        </w:rPr>
        <w:t xml:space="preserve"> </w:t>
      </w:r>
      <w:r w:rsidR="00667D9C" w:rsidRPr="006A0782">
        <w:rPr>
          <w:rFonts w:ascii="Times New Roman" w:hAnsi="Times New Roman" w:cs="Times New Roman"/>
          <w:sz w:val="24"/>
          <w:szCs w:val="24"/>
        </w:rPr>
        <w:fldChar w:fldCharType="begin"/>
      </w:r>
      <w:r w:rsidR="00667D9C" w:rsidRPr="006A0782">
        <w:rPr>
          <w:rFonts w:ascii="Times New Roman" w:hAnsi="Times New Roman" w:cs="Times New Roman"/>
          <w:sz w:val="24"/>
          <w:szCs w:val="24"/>
        </w:rPr>
        <w:instrText xml:space="preserve"> ADDIN ZOTERO_ITEM CSL_CITATION {"citationID":"Ygk3KwON","properties":{"unsorted":false,"formattedCitation":"(Fischer &amp; Krauss, 2018)","plainCitation":"(Fischer &amp; Krauss, 2018)","noteIndex":0},"citationItems":[{"id":4,"uris":["http://zotero.org/users/local/DPQnJvcs/items/AGMKWFCU"],"itemData":{"id":4,"type":"article-journal","container-title":"European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Predictions","volume":"270","author":[{"family":"Fischer","given":"Thomas"},{"family":"Krauss","given":"Christopher"}],"issued":{"date-parts":[["2018"]]}}}],"schema":"https://github.com/citation-style-language/schema/raw/master/csl-citation.json"} </w:instrText>
      </w:r>
      <w:r w:rsidR="00667D9C" w:rsidRPr="006A0782">
        <w:rPr>
          <w:rFonts w:ascii="Times New Roman" w:hAnsi="Times New Roman" w:cs="Times New Roman"/>
          <w:sz w:val="24"/>
          <w:szCs w:val="24"/>
        </w:rPr>
        <w:fldChar w:fldCharType="separate"/>
      </w:r>
      <w:r w:rsidR="00667D9C" w:rsidRPr="006A0782">
        <w:rPr>
          <w:rFonts w:ascii="Times New Roman" w:hAnsi="Times New Roman" w:cs="Times New Roman"/>
          <w:sz w:val="24"/>
        </w:rPr>
        <w:t>(Fischer &amp; Krauss, 2018)</w:t>
      </w:r>
      <w:r w:rsidR="00667D9C" w:rsidRPr="006A0782">
        <w:rPr>
          <w:rFonts w:ascii="Times New Roman" w:hAnsi="Times New Roman" w:cs="Times New Roman"/>
          <w:sz w:val="24"/>
          <w:szCs w:val="24"/>
        </w:rPr>
        <w:fldChar w:fldCharType="end"/>
      </w:r>
      <w:r w:rsidR="007C0B2E">
        <w:rPr>
          <w:rFonts w:ascii="Times New Roman" w:hAnsi="Times New Roman" w:cs="Times New Roman"/>
          <w:sz w:val="24"/>
          <w:szCs w:val="24"/>
        </w:rPr>
        <w:t xml:space="preserve"> </w:t>
      </w:r>
      <w:r w:rsidR="001B4763" w:rsidRPr="000829A5">
        <w:rPr>
          <w:rFonts w:ascii="Times New Roman" w:hAnsi="Times New Roman" w:cs="Times New Roman"/>
          <w:sz w:val="24"/>
          <w:szCs w:val="24"/>
        </w:rPr>
        <w:t>and CNN-based systems have combined diverse market variables for next-day index direction</w:t>
      </w:r>
      <w:r w:rsidR="001B4763">
        <w:rPr>
          <w:rFonts w:ascii="Times New Roman" w:hAnsi="Times New Roman" w:cs="Times New Roman"/>
          <w:sz w:val="24"/>
          <w:szCs w:val="24"/>
        </w:rPr>
        <w:t xml:space="preserve"> </w:t>
      </w:r>
      <w:r w:rsidR="006A0782">
        <w:rPr>
          <w:rFonts w:ascii="Times New Roman" w:hAnsi="Times New Roman" w:cs="Times New Roman"/>
          <w:b/>
          <w:sz w:val="24"/>
          <w:szCs w:val="24"/>
        </w:rPr>
        <w:fldChar w:fldCharType="begin"/>
      </w:r>
      <w:r w:rsidR="006A0782">
        <w:rPr>
          <w:rFonts w:ascii="Times New Roman" w:hAnsi="Times New Roman" w:cs="Times New Roman"/>
          <w:b/>
          <w:sz w:val="24"/>
          <w:szCs w:val="24"/>
        </w:rPr>
        <w:instrText xml:space="preserve"> ADDIN ZOTERO_ITEM CSL_CITATION {"citationID":"SI39f0Yu","properties":{"unsorted":false,"formattedCitation":"(Hoseinzade &amp; Haratizadeh, 2019)","plainCitation":"(Hoseinzade &amp; Haratizadeh, 2019)","noteIndex":0},"citationItems":[{"id":5,"uris":["http://zotero.org/users/local/DPQnJvcs/items/AY49X3SC"],"itemData":{"id":5,"type":"article-journal","container-title":"Expert Systems with Applications","DOI":"10.1016/j.eswa.2019.03.029","page":"273–285","title":"CNNpred: CNN-Based Stock Market Prediction Using a Diverse Set of Variables","volume":"129","author":[{"family":"Hoseinzade","given":"Ehsan"},{"family":"Haratizadeh","given":"Saman"}],"issued":{"date-parts":[["2019"]]}}}],"schema":"https://github.com/citation-style-language/schema/raw/master/csl-citation.json"} </w:instrText>
      </w:r>
      <w:r w:rsidR="006A0782">
        <w:rPr>
          <w:rFonts w:ascii="Times New Roman" w:hAnsi="Times New Roman" w:cs="Times New Roman"/>
          <w:b/>
          <w:sz w:val="24"/>
          <w:szCs w:val="24"/>
        </w:rPr>
        <w:fldChar w:fldCharType="separate"/>
      </w:r>
      <w:r w:rsidR="006A0782" w:rsidRPr="006A0782">
        <w:rPr>
          <w:rFonts w:ascii="Times New Roman" w:hAnsi="Times New Roman" w:cs="Times New Roman"/>
          <w:sz w:val="24"/>
        </w:rPr>
        <w:t>(Hoseinzade &amp; Haratizadeh, 2019)</w:t>
      </w:r>
      <w:r w:rsidR="006A0782">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w:t>
      </w:r>
      <w:r w:rsidR="00D0143A" w:rsidRPr="00D0143A">
        <w:rPr>
          <w:rFonts w:ascii="Times New Roman" w:hAnsi="Times New Roman" w:cs="Times New Roman"/>
          <w:sz w:val="24"/>
          <w:szCs w:val="24"/>
        </w:rPr>
        <w:lastRenderedPageBreak/>
        <w:t>However</w:t>
      </w:r>
      <w:r w:rsidR="00FE3662" w:rsidRPr="000829A5">
        <w:rPr>
          <w:rFonts w:ascii="Times New Roman" w:hAnsi="Times New Roman" w:cs="Times New Roman"/>
          <w:sz w:val="24"/>
          <w:szCs w:val="24"/>
        </w:rPr>
        <w:t xml:space="preserve">, the existence of a flexible mapping does not imply a stable signal. Market dynamics change across </w:t>
      </w:r>
      <w:proofErr w:type="gramStart"/>
      <w:r w:rsidR="00FE3662" w:rsidRPr="000829A5">
        <w:rPr>
          <w:rFonts w:ascii="Times New Roman" w:hAnsi="Times New Roman" w:cs="Times New Roman"/>
          <w:sz w:val="24"/>
          <w:szCs w:val="24"/>
        </w:rPr>
        <w:t>years</w:t>
      </w:r>
      <w:proofErr w:type="gramEnd"/>
      <w:r w:rsidR="00FE3662" w:rsidRPr="000829A5">
        <w:rPr>
          <w:rFonts w:ascii="Times New Roman" w:hAnsi="Times New Roman" w:cs="Times New Roman"/>
          <w:sz w:val="24"/>
          <w:szCs w:val="24"/>
        </w:rPr>
        <w:t xml:space="preserve"> and a high-capacity hybrid can magnify optimization variance or collapse to a majority-side decision while retaining superficially acceptable raw accuracy. Recent review evidence likewise treats architecture choice as only one part of a credible, </w:t>
      </w:r>
      <w:proofErr w:type="spellStart"/>
      <w:r w:rsidR="00FE3662" w:rsidRPr="000829A5">
        <w:rPr>
          <w:rFonts w:ascii="Times New Roman" w:hAnsi="Times New Roman" w:cs="Times New Roman"/>
          <w:sz w:val="24"/>
          <w:szCs w:val="24"/>
        </w:rPr>
        <w:t>backtested</w:t>
      </w:r>
      <w:proofErr w:type="spellEnd"/>
      <w:r w:rsidR="00FE3662" w:rsidRPr="000829A5">
        <w:rPr>
          <w:rFonts w:ascii="Times New Roman" w:hAnsi="Times New Roman" w:cs="Times New Roman"/>
          <w:sz w:val="24"/>
          <w:szCs w:val="24"/>
        </w:rPr>
        <w:t>, reproducible financial-learning pipeline</w:t>
      </w:r>
      <w:r w:rsidR="00FE3662">
        <w:rPr>
          <w:rFonts w:ascii="Times New Roman" w:hAnsi="Times New Roman" w:cs="Times New Roman"/>
          <w:sz w:val="24"/>
          <w:szCs w:val="24"/>
        </w:rPr>
        <w:t xml:space="preserve"> </w:t>
      </w:r>
      <w:r w:rsidR="00FE3662">
        <w:rPr>
          <w:rFonts w:ascii="Times New Roman" w:hAnsi="Times New Roman" w:cs="Times New Roman"/>
          <w:sz w:val="24"/>
          <w:szCs w:val="24"/>
        </w:rPr>
        <w:fldChar w:fldCharType="begin"/>
      </w:r>
      <w:r w:rsidR="00FE3662">
        <w:rPr>
          <w:rFonts w:ascii="Times New Roman" w:hAnsi="Times New Roman" w:cs="Times New Roman"/>
          <w:sz w:val="24"/>
          <w:szCs w:val="24"/>
        </w:rPr>
        <w:instrText xml:space="preserve"> ADDIN ZOTERO_ITEM CSL_CITATION {"citationID":"IvRDMJFF","properties":{"unsorted":false,"formattedCitation":"(Olorunnimbe &amp; Viktor, 2023)","plainCitation":"(Olorunnimbe &amp; Viktor, 2023)","noteIndex":0},"citationItems":[{"id":33,"uris":["http://zotero.org/users/local/DPQnJvcs/items/8Z849LRX"],"itemData":{"id":33,"type":"article-journal","container-title":"Artificial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FE3662">
        <w:rPr>
          <w:rFonts w:ascii="Times New Roman" w:hAnsi="Times New Roman" w:cs="Times New Roman"/>
          <w:sz w:val="24"/>
          <w:szCs w:val="24"/>
        </w:rPr>
        <w:fldChar w:fldCharType="separate"/>
      </w:r>
      <w:r w:rsidR="00FE3662" w:rsidRPr="00D0143A">
        <w:rPr>
          <w:rFonts w:ascii="Times New Roman" w:hAnsi="Times New Roman" w:cs="Times New Roman"/>
          <w:b/>
          <w:sz w:val="24"/>
        </w:rPr>
        <w:t>(</w:t>
      </w:r>
      <w:r w:rsidR="00FE3662" w:rsidRPr="006A0782">
        <w:rPr>
          <w:rFonts w:ascii="Times New Roman" w:hAnsi="Times New Roman" w:cs="Times New Roman"/>
          <w:bCs/>
          <w:sz w:val="24"/>
        </w:rPr>
        <w:t>Olorunnimbe &amp; Viktor, 2023)</w:t>
      </w:r>
      <w:r w:rsidR="00FE3662">
        <w:rPr>
          <w:rFonts w:ascii="Times New Roman" w:hAnsi="Times New Roman" w:cs="Times New Roman"/>
          <w:sz w:val="24"/>
          <w:szCs w:val="24"/>
        </w:rPr>
        <w:fldChar w:fldCharType="end"/>
      </w:r>
    </w:p>
    <w:p w14:paraId="508A6444" w14:textId="77777777" w:rsidR="00D0143A" w:rsidRDefault="00E97CD1" w:rsidP="009960B6">
      <w:pPr>
        <w:spacing w:line="360" w:lineRule="auto"/>
        <w:jc w:val="both"/>
        <w:rPr>
          <w:rFonts w:ascii="Times New Roman" w:eastAsia="Times New Roman" w:hAnsi="Times New Roman" w:cs="Times New Roman"/>
          <w:b/>
          <w:bCs/>
          <w:sz w:val="24"/>
          <w:szCs w:val="24"/>
        </w:rPr>
      </w:pPr>
      <w:r w:rsidRPr="000829A5">
        <w:rPr>
          <w:rFonts w:ascii="Times New Roman" w:hAnsi="Times New Roman" w:cs="Times New Roman"/>
          <w:sz w:val="24"/>
          <w:szCs w:val="24"/>
        </w:rPr>
        <w:t>The present benchmark therefore keeps training budgets deliberately compact and constant, repeats each outer cell across five seeds and treats the year</w:t>
      </w:r>
      <w:r w:rsidR="00796B85">
        <w:rPr>
          <w:rFonts w:ascii="Times New Roman" w:hAnsi="Times New Roman" w:cs="Times New Roman"/>
          <w:sz w:val="24"/>
          <w:szCs w:val="24"/>
        </w:rPr>
        <w:t xml:space="preserve"> </w:t>
      </w:r>
      <w:r w:rsidRPr="000829A5">
        <w:rPr>
          <w:rFonts w:ascii="Times New Roman" w:hAnsi="Times New Roman" w:cs="Times New Roman"/>
          <w:sz w:val="24"/>
          <w:szCs w:val="24"/>
        </w:rPr>
        <w:t>not the seed</w:t>
      </w:r>
      <w:r w:rsidR="00796B85">
        <w:rPr>
          <w:rFonts w:ascii="Times New Roman" w:hAnsi="Times New Roman" w:cs="Times New Roman"/>
          <w:sz w:val="24"/>
          <w:szCs w:val="24"/>
        </w:rPr>
        <w:t xml:space="preserve"> </w:t>
      </w:r>
      <w:r w:rsidRPr="000829A5">
        <w:rPr>
          <w:rFonts w:ascii="Times New Roman" w:hAnsi="Times New Roman" w:cs="Times New Roman"/>
          <w:sz w:val="24"/>
          <w:szCs w:val="24"/>
        </w:rPr>
        <w:t>as the temporal inferential unit. This design distinguishes stochastic fit variability from independent evidence over time</w:t>
      </w:r>
      <w:r>
        <w:rPr>
          <w:rFonts w:ascii="Times New Roman" w:eastAsia="Times New Roman" w:hAnsi="Times New Roman" w:cs="Times New Roman"/>
          <w:sz w:val="24"/>
          <w:szCs w:val="24"/>
        </w:rPr>
        <w:t xml:space="preserve">. </w:t>
      </w:r>
    </w:p>
    <w:p w14:paraId="68356D60" w14:textId="77777777" w:rsidR="00F11ACE" w:rsidRPr="00B11EDA" w:rsidRDefault="0057361D" w:rsidP="009960B6">
      <w:pPr>
        <w:keepNext/>
        <w:keepLines/>
        <w:spacing w:before="180" w:after="80" w:line="360" w:lineRule="auto"/>
        <w:rPr>
          <w:rFonts w:ascii="Times New Roman" w:eastAsia="Times New Roman" w:hAnsi="Times New Roman" w:cs="Times New Roman"/>
          <w:sz w:val="24"/>
          <w:szCs w:val="24"/>
        </w:rPr>
      </w:pPr>
      <w:r w:rsidRPr="00D0143A">
        <w:rPr>
          <w:rFonts w:ascii="Times New Roman" w:eastAsia="Times New Roman" w:hAnsi="Times New Roman" w:cs="Times New Roman"/>
          <w:b/>
          <w:bCs/>
          <w:sz w:val="24"/>
          <w:szCs w:val="24"/>
        </w:rPr>
        <w:t>2.2 Denoising and multimodal financial information</w:t>
      </w:r>
    </w:p>
    <w:p w14:paraId="64B1F28F" w14:textId="77777777" w:rsidR="00187B55" w:rsidRDefault="00F11ACE" w:rsidP="009960B6">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Variational mode decomposition separates a signal into band</w:t>
      </w:r>
      <w:r w:rsidR="001273DD">
        <w:rPr>
          <w:rFonts w:ascii="Times New Roman" w:hAnsi="Times New Roman" w:cs="Times New Roman"/>
          <w:sz w:val="24"/>
          <w:szCs w:val="24"/>
        </w:rPr>
        <w:t xml:space="preserve"> </w:t>
      </w:r>
      <w:r w:rsidRPr="000829A5">
        <w:rPr>
          <w:rFonts w:ascii="Times New Roman" w:hAnsi="Times New Roman" w:cs="Times New Roman"/>
          <w:sz w:val="24"/>
          <w:szCs w:val="24"/>
        </w:rPr>
        <w:t xml:space="preserve">limited intrinsic mode functions through a constrained variational formulation </w:t>
      </w:r>
      <w:r w:rsidR="006A0782">
        <w:rPr>
          <w:rFonts w:ascii="Times New Roman" w:eastAsia="Times New Roman" w:hAnsi="Times New Roman" w:cs="Times New Roman"/>
          <w:b/>
          <w:sz w:val="24"/>
          <w:szCs w:val="24"/>
        </w:rPr>
        <w:fldChar w:fldCharType="begin"/>
      </w:r>
      <w:r w:rsidR="006A0782">
        <w:rPr>
          <w:rFonts w:ascii="Times New Roman" w:eastAsia="Times New Roman" w:hAnsi="Times New Roman" w:cs="Times New Roman"/>
          <w:b/>
          <w:sz w:val="24"/>
          <w:szCs w:val="24"/>
        </w:rPr>
        <w:instrText xml:space="preserve"> ADDIN ZOTERO_ITEM CSL_CITATION {"citationID":"wSoTk9Yp","properties":{"unsorted":false,"formattedCitation":"(Dragomiretskiy &amp; Zosso, 2014)","plainCitation":"(Dragomiretskiy &amp; Zosso, 2014)","noteIndex":0},"citationItems":[{"id":8,"uris":["http://zotero.org/users/local/DPQnJvcs/items/B5YAFXST"],"itemData":{"id":8,"type":"article-journal","container-title":"IEEE Transactions on Signal Processing","DOI":"10.1109/TSP.2013.2288675","issue":"3","page":"531–544","title":"Variational Mode Decomposition","volume":"62","author":[{"family":"Dragomiretskiy","given":"Konstantin"},{"family":"Zosso","given":"Dominique"}],"issued":{"date-parts":[["2014"]]}}}],"schema":"https://github.com/citation-style-language/schema/raw/master/csl-citation.json"} </w:instrText>
      </w:r>
      <w:r w:rsidR="006A0782">
        <w:rPr>
          <w:rFonts w:ascii="Times New Roman" w:eastAsia="Times New Roman" w:hAnsi="Times New Roman" w:cs="Times New Roman"/>
          <w:b/>
          <w:sz w:val="24"/>
          <w:szCs w:val="24"/>
        </w:rPr>
        <w:fldChar w:fldCharType="separate"/>
      </w:r>
      <w:r w:rsidR="006A0782" w:rsidRPr="006A0782">
        <w:rPr>
          <w:rFonts w:ascii="Times New Roman" w:hAnsi="Times New Roman" w:cs="Times New Roman"/>
          <w:sz w:val="24"/>
        </w:rPr>
        <w:t>(Dragomiretskiy &amp; Zosso, 2014)</w:t>
      </w:r>
      <w:r w:rsidR="006A0782">
        <w:rPr>
          <w:rFonts w:ascii="Times New Roman" w:eastAsia="Times New Roman" w:hAnsi="Times New Roman" w:cs="Times New Roman"/>
          <w:b/>
          <w:sz w:val="24"/>
          <w:szCs w:val="24"/>
        </w:rPr>
        <w:fldChar w:fldCharType="end"/>
      </w:r>
      <w:r w:rsidR="00D0143A" w:rsidRPr="00D0143A">
        <w:rPr>
          <w:rFonts w:ascii="Times New Roman" w:eastAsia="Times New Roman" w:hAnsi="Times New Roman" w:cs="Times New Roman"/>
          <w:sz w:val="24"/>
          <w:szCs w:val="24"/>
        </w:rPr>
        <w:t xml:space="preserve"> In</w:t>
      </w:r>
      <w:r w:rsidR="003E51E5" w:rsidRPr="000829A5">
        <w:rPr>
          <w:rFonts w:ascii="Times New Roman" w:hAnsi="Times New Roman" w:cs="Times New Roman"/>
          <w:sz w:val="24"/>
          <w:szCs w:val="24"/>
        </w:rPr>
        <w:t xml:space="preserve"> financial applications, decomposition can reduce high-frequency variation or provide additional frequency-domain features and recent stock-forecasting systems have paired VMD with LSTM, meta-learning and attention-based networks</w:t>
      </w:r>
      <w:r w:rsidR="003E51E5">
        <w:rPr>
          <w:rFonts w:ascii="Times New Roman" w:hAnsi="Times New Roman" w:cs="Times New Roman"/>
          <w:sz w:val="24"/>
          <w:szCs w:val="24"/>
        </w:rPr>
        <w:t xml:space="preserve"> </w:t>
      </w:r>
      <w:r w:rsidR="006F5802">
        <w:rPr>
          <w:rFonts w:ascii="Times New Roman" w:hAnsi="Times New Roman" w:cs="Times New Roman"/>
          <w:b/>
          <w:sz w:val="24"/>
          <w:szCs w:val="24"/>
        </w:rPr>
        <w:fldChar w:fldCharType="begin"/>
      </w:r>
      <w:r w:rsidR="006F5802">
        <w:rPr>
          <w:rFonts w:ascii="Times New Roman" w:hAnsi="Times New Roman" w:cs="Times New Roman"/>
          <w:b/>
          <w:sz w:val="24"/>
          <w:szCs w:val="24"/>
        </w:rPr>
        <w:instrText xml:space="preserve"> ADDIN ZOTERO_ITEM CSL_CITATION {"citationID":"O2GNIphH","properties":{"unsorted":false,"formattedCitation":"(T. Liu et al., 2022; Y. Liu et al., 2024)","plainCitation":"(T. Liu et al., 2022; Y. Liu et al., 2024)","noteIndex":0},"citationItems":[{"id":35,"uris":["http://zotero.org/users/local/DPQnJvcs/items/ZLXIQGMF"],"itemData":{"id":35,"type":"article-journal","container-title":"Knowledge-Based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id":36,"uris":["http://zotero.org/users/local/DPQnJvcs/items/JPXM8FAB"],"itemData":{"id":36,"type":"article-journal","container-title":"Expert Systems with Applications","DOI":"10.1016/j.eswa.2023.121708","page":"121708","title":"A Stock Series Prediction Model Based on Variational Mode Decomposition and Dual-Channel Attention Network","volume":"238","author":[{"family":"Liu","given":"Yepeng"},{"family":"Huang","given":"Siyuan"},{"family":"Tian","given":"Xiaoyi"},{"family":"Zhang","given":"Fan"},{"family":"Zhao","given":"Feng"},{"family":"Zhang","given":"Caiming"}],"issued":{"date-parts":[["2024"]]}}}],"schema":"https://github.com/citation-style-language/schema/raw/master/csl-citation.json"} </w:instrText>
      </w:r>
      <w:r w:rsidR="006F5802">
        <w:rPr>
          <w:rFonts w:ascii="Times New Roman" w:hAnsi="Times New Roman" w:cs="Times New Roman"/>
          <w:b/>
          <w:sz w:val="24"/>
          <w:szCs w:val="24"/>
        </w:rPr>
        <w:fldChar w:fldCharType="separate"/>
      </w:r>
      <w:r w:rsidR="006F5802" w:rsidRPr="006F5802">
        <w:rPr>
          <w:rFonts w:ascii="Times New Roman" w:hAnsi="Times New Roman" w:cs="Times New Roman"/>
          <w:sz w:val="24"/>
        </w:rPr>
        <w:t>(T. Liu et al., 2022; Y. Liu et al., 2024)</w:t>
      </w:r>
      <w:r w:rsidR="006F5802">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The</w:t>
      </w:r>
      <w:r w:rsidR="00AC6BAE" w:rsidRPr="000829A5">
        <w:rPr>
          <w:rFonts w:ascii="Times New Roman" w:hAnsi="Times New Roman" w:cs="Times New Roman"/>
          <w:sz w:val="24"/>
          <w:szCs w:val="24"/>
        </w:rPr>
        <w:t xml:space="preserve"> key causal requirement is that decomposition at date (t) must use only observations available through (t). A full-series decomposition, even when followed by a temporal train/test split, can transmit future information into past components; windowed decomposition has been proposed specifically to address this proble</w:t>
      </w:r>
      <w:r w:rsidR="00AC6BAE">
        <w:rPr>
          <w:rFonts w:ascii="Times New Roman" w:hAnsi="Times New Roman" w:cs="Times New Roman"/>
          <w:sz w:val="24"/>
          <w:szCs w:val="24"/>
        </w:rPr>
        <w:t xml:space="preserve">m </w:t>
      </w:r>
      <w:r w:rsidR="006F5802">
        <w:rPr>
          <w:rFonts w:ascii="Times New Roman" w:hAnsi="Times New Roman" w:cs="Times New Roman"/>
          <w:b/>
          <w:sz w:val="24"/>
          <w:szCs w:val="24"/>
        </w:rPr>
        <w:fldChar w:fldCharType="begin"/>
      </w:r>
      <w:r w:rsidR="006F5802">
        <w:rPr>
          <w:rFonts w:ascii="Times New Roman" w:hAnsi="Times New Roman" w:cs="Times New Roman"/>
          <w:b/>
          <w:sz w:val="24"/>
          <w:szCs w:val="24"/>
        </w:rPr>
        <w:instrText xml:space="preserve"> ADDIN ZOTERO_ITEM CSL_CITATION {"citationID":"jUA7uPjc","properties":{"unsorted":false,"formattedCitation":"(T. Liu et al., 2022)","plainCitation":"(T. Liu et al., 2022)","noteIndex":0},"citationItems":[{"id":35,"uris":["http://zotero.org/users/local/DPQnJvcs/items/ZLXIQGMF"],"itemData":{"id":35,"type":"article-journal","container-title":"Knowledge-Based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schema":"https://github.com/citation-style-language/schema/raw/master/csl-citation.json"} </w:instrText>
      </w:r>
      <w:r w:rsidR="006F5802">
        <w:rPr>
          <w:rFonts w:ascii="Times New Roman" w:hAnsi="Times New Roman" w:cs="Times New Roman"/>
          <w:b/>
          <w:sz w:val="24"/>
          <w:szCs w:val="24"/>
        </w:rPr>
        <w:fldChar w:fldCharType="separate"/>
      </w:r>
      <w:r w:rsidR="006F5802" w:rsidRPr="006F5802">
        <w:rPr>
          <w:rFonts w:ascii="Times New Roman" w:hAnsi="Times New Roman" w:cs="Times New Roman"/>
          <w:sz w:val="24"/>
        </w:rPr>
        <w:t>(T. Liu et al., 2022)</w:t>
      </w:r>
      <w:r w:rsidR="006F5802">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We</w:t>
      </w:r>
      <w:r w:rsidR="00796B85" w:rsidRPr="000829A5">
        <w:rPr>
          <w:rFonts w:ascii="Times New Roman" w:hAnsi="Times New Roman" w:cs="Times New Roman"/>
          <w:sz w:val="24"/>
          <w:szCs w:val="24"/>
        </w:rPr>
        <w:t xml:space="preserve"> therefore use a rolling past-only implementation and test VMD as a feature addition rather than assuming it is beneficial denoising.</w:t>
      </w:r>
    </w:p>
    <w:p w14:paraId="19B34D5D" w14:textId="77777777" w:rsidR="00187B55" w:rsidRDefault="00FE5BD7" w:rsidP="009960B6">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Financial text offers a different information channel. Prior work has used social media, analyst or expert opinions and news to enrich stock-movement models</w:t>
      </w:r>
      <w:r w:rsidR="00FC21F1">
        <w:rPr>
          <w:rFonts w:ascii="Times New Roman" w:hAnsi="Times New Roman" w:cs="Times New Roman"/>
          <w:sz w:val="24"/>
          <w:szCs w:val="24"/>
        </w:rPr>
        <w:t xml:space="preserve"> </w:t>
      </w:r>
      <w:r w:rsidR="00F92BCB">
        <w:rPr>
          <w:rFonts w:ascii="Times New Roman" w:eastAsia="Times New Roman" w:hAnsi="Times New Roman" w:cs="Times New Roman"/>
          <w:b/>
          <w:sz w:val="24"/>
          <w:szCs w:val="24"/>
        </w:rPr>
        <w:fldChar w:fldCharType="begin"/>
      </w:r>
      <w:r w:rsidR="00F92BCB">
        <w:rPr>
          <w:rFonts w:ascii="Times New Roman" w:eastAsia="Times New Roman" w:hAnsi="Times New Roman" w:cs="Times New Roman"/>
          <w:b/>
          <w:sz w:val="24"/>
          <w:szCs w:val="24"/>
        </w:rPr>
        <w:instrText xml:space="preserve"> ADDIN ZOTERO_ITEM CSL_CITATION {"citationID":"F4ykloi6","properties":{"unsorted":false,"formattedCitation":"(Luo et al., 2023; Sawhney et al., 2020; H. Wang et al., 2020)","plainCitation":"(Luo et al., 2023; Sawhney et al., 2020; H. Wang et al., 2020)","noteIndex":0},"citationItems":[{"id":11,"uris":["http://zotero.org/users/local/DPQnJvcs/items/D2QUG5UZ"],"itemData":{"id":11,"type":"paper-conference","container-title":"Proceedings of the 61st Annual Meeting of the Association for Computational Linguistics (Volume 1: Long Papers)","DOI":"10.18653/v1/2023.acl-long.679","page":"12164–12176","publisher":"Association for Computational Linguistics","title":"Causality-Guided Multi-Memory Interaction Network for Multivariate Stock Price Movement Prediction","author":[{"family":"Luo","given":"Di"},{"family":"Liao","given":"Weiheng"},{"family":"Li","given":"Shuqi"},{"family":"Cheng","given":"Xin"},{"family":"Yan","given":"Rui"}],"issued":{"date-parts":[["2023"]]}}},{"id":10,"uris":["http://zotero.org/users/local/DPQnJvcs/items/RUSPTZJ5"],"itemData":{"id":10,"type":"paper-conference","container-title":"Proceedings of the 2020 Conference on Empirical Methods in Natural Language Processing","DOI":"10.18653/v1/2020.emnlp-main.676","page":"8415–8426","publisher":"Association for Computational Linguistics","title":"Deep Attentive Learning for Stock Movement Prediction From Social Media Text and Company Correlations","author":[{"family":"Sawhney","given":"Ramit"},{"family":"Agarwal","given":"Shivam"},{"family":"Wadhwa","given":"Arnav"},{"family":"Shah","given":"Rajiv Ratn"}],"issued":{"date-parts":[["2020"]]}}},{"id":9,"uris":["http://zotero.org/users/local/DPQnJvcs/items/WNCCDXYI"],"itemData":{"id":9,"type":"paper-conference","container-title":"Proceedings of the AAAI Conference on Artificial Intelligence","DOI":"10.1609/aaai.v34i01.5445","issue":"1","page":"971–978","title":"Incorporating Expert-Based Investment Opinion Signals in Stock Prediction: A Deep Learning Framework","volume":"34","author":[{"family":"Wang","given":"Heyuan"},{"family":"Wang","given":"Tengjiao"},{"family":"Li","given":"Yi"}],"issued":{"date-parts":[["2020"]]}}}],"schema":"https://github.com/citation-style-language/schema/raw/master/csl-citation.json"} </w:instrText>
      </w:r>
      <w:r w:rsidR="00F92BCB">
        <w:rPr>
          <w:rFonts w:ascii="Times New Roman" w:eastAsia="Times New Roman" w:hAnsi="Times New Roman" w:cs="Times New Roman"/>
          <w:b/>
          <w:sz w:val="24"/>
          <w:szCs w:val="24"/>
        </w:rPr>
        <w:fldChar w:fldCharType="separate"/>
      </w:r>
      <w:r w:rsidR="00F92BCB" w:rsidRPr="00F92BCB">
        <w:rPr>
          <w:rFonts w:ascii="Times New Roman" w:hAnsi="Times New Roman" w:cs="Times New Roman"/>
          <w:sz w:val="24"/>
        </w:rPr>
        <w:t>(Luo et al., 2023; Sawhney et al., 2020; H. Wang et al., 2020)</w:t>
      </w:r>
      <w:r w:rsidR="00F92BCB">
        <w:rPr>
          <w:rFonts w:ascii="Times New Roman" w:eastAsia="Times New Roman" w:hAnsi="Times New Roman" w:cs="Times New Roman"/>
          <w:b/>
          <w:sz w:val="24"/>
          <w:szCs w:val="24"/>
        </w:rPr>
        <w:fldChar w:fldCharType="end"/>
      </w:r>
      <w:r w:rsidR="00D0143A" w:rsidRPr="00D0143A">
        <w:rPr>
          <w:rFonts w:ascii="Times New Roman" w:eastAsia="Times New Roman" w:hAnsi="Times New Roman" w:cs="Times New Roman"/>
          <w:sz w:val="24"/>
          <w:szCs w:val="24"/>
        </w:rPr>
        <w:t>. Recent</w:t>
      </w:r>
      <w:r w:rsidR="00ED15EB" w:rsidRPr="000829A5">
        <w:rPr>
          <w:rFonts w:ascii="Times New Roman" w:hAnsi="Times New Roman" w:cs="Times New Roman"/>
          <w:sz w:val="24"/>
          <w:szCs w:val="24"/>
        </w:rPr>
        <w:t xml:space="preserve"> systems further model interactions among news items or sentiment-attention mechanisms for index prediction</w:t>
      </w:r>
      <w:r w:rsidR="00ED15EB">
        <w:rPr>
          <w:rFonts w:ascii="Times New Roman" w:hAnsi="Times New Roman" w:cs="Times New Roman"/>
          <w:sz w:val="24"/>
          <w:szCs w:val="24"/>
        </w:rPr>
        <w:t xml:space="preserve"> </w:t>
      </w:r>
      <w:r w:rsidR="003B0949">
        <w:rPr>
          <w:rFonts w:ascii="Times New Roman" w:hAnsi="Times New Roman" w:cs="Times New Roman"/>
          <w:b/>
          <w:sz w:val="24"/>
          <w:szCs w:val="24"/>
        </w:rPr>
        <w:fldChar w:fldCharType="begin"/>
      </w:r>
      <w:r w:rsidR="003B0949">
        <w:rPr>
          <w:rFonts w:ascii="Times New Roman" w:hAnsi="Times New Roman" w:cs="Times New Roman"/>
          <w:b/>
          <w:sz w:val="24"/>
          <w:szCs w:val="24"/>
        </w:rPr>
        <w:instrText xml:space="preserve"> ADDIN ZOTERO_ITEM CSL_CITATION {"citationID":"ykPnyAUj","properties":{"unsorted":false,"formattedCitation":"(W.-J. Liu et al., 2024; M. Wang et al., 2024)","plainCitation":"(W.-J. Liu et al., 2024; M. Wang et al., 2024)","noteIndex":0},"citationItems":[{"id":38,"uris":["http://zotero.org/users/local/DPQnJvcs/items/VIIIS229"],"itemData":{"id":38,"type":"article-journal","container-title":"Expert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sidR="003B0949">
        <w:rPr>
          <w:rFonts w:ascii="Times New Roman" w:hAnsi="Times New Roman" w:cs="Times New Roman"/>
          <w:b/>
          <w:sz w:val="24"/>
          <w:szCs w:val="24"/>
        </w:rPr>
        <w:fldChar w:fldCharType="separate"/>
      </w:r>
      <w:r w:rsidR="003B0949" w:rsidRPr="003B0949">
        <w:rPr>
          <w:rFonts w:ascii="Times New Roman" w:hAnsi="Times New Roman" w:cs="Times New Roman"/>
          <w:sz w:val="24"/>
        </w:rPr>
        <w:t>(W.-J. Liu et al., 2024; M. Wang et al., 2024)</w:t>
      </w:r>
      <w:r w:rsidR="003B0949">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An</w:t>
      </w:r>
      <w:r w:rsidR="00974FC3" w:rsidRPr="000829A5">
        <w:rPr>
          <w:rFonts w:ascii="Times New Roman" w:hAnsi="Times New Roman" w:cs="Times New Roman"/>
          <w:sz w:val="24"/>
          <w:szCs w:val="24"/>
        </w:rPr>
        <w:t xml:space="preserve"> intrinsic sentiment score and an incremental forecasting signal are nevertheless different </w:t>
      </w:r>
      <w:proofErr w:type="spellStart"/>
      <w:r w:rsidR="00974FC3" w:rsidRPr="000829A5">
        <w:rPr>
          <w:rFonts w:ascii="Times New Roman" w:hAnsi="Times New Roman" w:cs="Times New Roman"/>
          <w:sz w:val="24"/>
          <w:szCs w:val="24"/>
        </w:rPr>
        <w:t>estimands</w:t>
      </w:r>
      <w:proofErr w:type="spellEnd"/>
      <w:r w:rsidR="00974FC3" w:rsidRPr="000829A5">
        <w:rPr>
          <w:rFonts w:ascii="Times New Roman" w:hAnsi="Times New Roman" w:cs="Times New Roman"/>
          <w:sz w:val="24"/>
          <w:szCs w:val="24"/>
        </w:rPr>
        <w:t>. Text may be labelled accurately but arrive too late, be redundant with price adjustment, be diluted during daily aggregation, or exhibit source and length shift. A credible multimodal test therefore needs date-aware prediction of text labels, equal forecasting cohorts and controls that distinguish chronology from generic extra dimensions.</w:t>
      </w:r>
    </w:p>
    <w:p w14:paraId="0EABB477" w14:textId="77777777" w:rsidR="00B11EDA" w:rsidRPr="00B11EDA" w:rsidRDefault="00B11EDA" w:rsidP="009960B6">
      <w:pPr>
        <w:keepNext/>
        <w:keepLines/>
        <w:spacing w:before="180" w:after="80" w:line="360" w:lineRule="auto"/>
        <w:rPr>
          <w:rFonts w:ascii="Times New Roman" w:eastAsia="Times New Roman" w:hAnsi="Times New Roman" w:cs="Times New Roman"/>
          <w:sz w:val="24"/>
          <w:szCs w:val="24"/>
        </w:rPr>
      </w:pPr>
      <w:r w:rsidRPr="00D0143A">
        <w:rPr>
          <w:rFonts w:ascii="Times New Roman" w:eastAsia="Times New Roman" w:hAnsi="Times New Roman" w:cs="Times New Roman"/>
          <w:b/>
          <w:bCs/>
          <w:sz w:val="24"/>
          <w:szCs w:val="24"/>
        </w:rPr>
        <w:lastRenderedPageBreak/>
        <w:t>2</w:t>
      </w:r>
      <w:r w:rsidR="00D04304" w:rsidRPr="00D0143A">
        <w:rPr>
          <w:rFonts w:ascii="Times New Roman" w:eastAsia="Times New Roman" w:hAnsi="Times New Roman" w:cs="Times New Roman"/>
          <w:b/>
          <w:bCs/>
          <w:sz w:val="24"/>
          <w:szCs w:val="24"/>
        </w:rPr>
        <w:t>.</w:t>
      </w:r>
      <w:r w:rsidR="00D04304" w:rsidRPr="00D0143A">
        <w:rPr>
          <w:rFonts w:ascii="Times New Roman" w:hAnsi="Times New Roman" w:cs="Times New Roman"/>
          <w:b/>
          <w:bCs/>
          <w:sz w:val="24"/>
          <w:szCs w:val="24"/>
        </w:rPr>
        <w:t>3</w:t>
      </w:r>
      <w:r w:rsidR="00D04304" w:rsidRPr="00D0143A">
        <w:rPr>
          <w:rFonts w:ascii="Times New Roman" w:hAnsi="Times New Roman" w:cs="Times New Roman"/>
          <w:b/>
          <w:sz w:val="24"/>
          <w:szCs w:val="24"/>
        </w:rPr>
        <w:t xml:space="preserve"> </w:t>
      </w:r>
      <w:r w:rsidR="00D04304" w:rsidRPr="00D0143A">
        <w:rPr>
          <w:rFonts w:ascii="Times New Roman" w:hAnsi="Times New Roman" w:cs="Times New Roman"/>
          <w:b/>
          <w:bCs/>
          <w:sz w:val="24"/>
          <w:szCs w:val="24"/>
        </w:rPr>
        <w:t>LLM role systems and compute matching</w:t>
      </w:r>
    </w:p>
    <w:p w14:paraId="6C36FE3D" w14:textId="77777777" w:rsidR="00C17ECC" w:rsidRDefault="00C17ECC" w:rsidP="009960B6">
      <w:pPr>
        <w:spacing w:line="360" w:lineRule="auto"/>
        <w:jc w:val="both"/>
        <w:rPr>
          <w:rFonts w:ascii="Times New Roman" w:eastAsia="Times New Roman" w:hAnsi="Times New Roman"/>
          <w:b/>
          <w:sz w:val="24"/>
          <w:szCs w:val="24"/>
        </w:rPr>
      </w:pPr>
      <w:r w:rsidRPr="000829A5">
        <w:rPr>
          <w:rFonts w:ascii="Times New Roman" w:hAnsi="Times New Roman" w:cs="Times New Roman"/>
          <w:sz w:val="24"/>
          <w:szCs w:val="24"/>
        </w:rPr>
        <w:t>Multi-agent debate and judge-style LLM systems can improve reasoning by eliciting divergent intermediate positions before a final decision</w:t>
      </w:r>
      <w:r w:rsidR="00AB3A50">
        <w:rPr>
          <w:rFonts w:ascii="Times New Roman" w:hAnsi="Times New Roman" w:cs="Times New Roman"/>
          <w:sz w:val="24"/>
          <w:szCs w:val="24"/>
        </w:rPr>
        <w:t xml:space="preserve"> </w:t>
      </w:r>
      <w:r w:rsidR="003E3B67">
        <w:rPr>
          <w:rFonts w:ascii="Times New Roman" w:eastAsia="Times New Roman" w:hAnsi="Times New Roman"/>
          <w:b/>
          <w:sz w:val="24"/>
          <w:szCs w:val="24"/>
          <w:cs/>
        </w:rPr>
        <w:fldChar w:fldCharType="begin"/>
      </w:r>
      <w:r w:rsidR="003E3B67">
        <w:rPr>
          <w:rFonts w:ascii="Times New Roman" w:eastAsia="Times New Roman" w:hAnsi="Times New Roman"/>
          <w:b/>
          <w:sz w:val="24"/>
          <w:szCs w:val="24"/>
        </w:rPr>
        <w:instrText xml:space="preserve"> ADDIN ZOTERO_ITEM CSL_CITATION {"citationID":"Imx5Gar0","properties":{"unsorted":false,"formattedCitation":"(Du et al., 2024; Liang et al., 2024)","plainCitation":"(Du et al., 2024; Liang et al., 2024)","noteIndex":0},"citationItems":[{"id":14,"uris":["http://zotero.org/users/local/DPQnJvcs/items/D3CHYCUL"],"itemData":{"id":14,"type":"paper-conference","collection-title":"Proceedings of Machine Learning Research","container-title":"Proceedings of the 41st International Conference on Machine Learning","page":"11733–11763","publisher":"PMLR","title":"Improving Factuality and Reasoning in Language Models through Multiagent Debate","URL":"https://proceedings.mlr.press/v235/du24e.html","volume":"235","author":[{"family":"Du","given":"Yilun"},{"family":"Li","given":"Shuang"},{"family":"Torralba","given":"Antonio"},{"family":"Tenenbaum","given":"Joshua B."},{"family":"Mordatch","given":"Igor"}],"issued":{"date-parts":[["2024"]]}}},{"id":15,"uris":["http://zotero.org/users/local/DPQnJvcs/items/PLY8SHS7"],"itemData":{"id":15,"type":"paper-conference","container-title":"Proceedings of the 2024 Conference on Empirical Methods in Natural Language Processing","DOI":"10.18653/v1/2024.emnlp-main.992","page":"17889–17904","publisher":"Association for Computational Linguistics","title":"Encouraging Divergent Thinking in Large Language Models through Multi-Agent Debate","author":[{"family":"Liang","given":"Tian"},{"family":"He","given":"Zhiwei"},{"family":"Jiao","given":"Wenxiang"},{"family":"Wang","given":"Xing"},{"family":"Wang","given":"Yan"},{"family":"Wang","given":"Rui"},{"family":"Yang","given":"Yujiu"},{"family":"Shi","given":"Shuming"},{"family":"Tu","given":"Zhaopeng"}],"issued":{"date-parts":[["2024"]]}}}],"schema":"https://github.com/citation-style-language/schema/raw/master/csl-citation.json"} </w:instrText>
      </w:r>
      <w:r w:rsidR="003E3B67">
        <w:rPr>
          <w:rFonts w:ascii="Times New Roman" w:eastAsia="Times New Roman" w:hAnsi="Times New Roman"/>
          <w:b/>
          <w:sz w:val="24"/>
          <w:szCs w:val="24"/>
          <w:cs/>
        </w:rPr>
        <w:fldChar w:fldCharType="separate"/>
      </w:r>
      <w:r w:rsidR="003E3B67" w:rsidRPr="003E3B67">
        <w:rPr>
          <w:rFonts w:ascii="Times New Roman" w:hAnsi="Times New Roman" w:cs="Times New Roman"/>
          <w:sz w:val="24"/>
        </w:rPr>
        <w:t>(Du et al., 2024; Liang et al., 2024)</w:t>
      </w:r>
      <w:r w:rsidR="003E3B67">
        <w:rPr>
          <w:rFonts w:ascii="Times New Roman" w:eastAsia="Times New Roman" w:hAnsi="Times New Roman"/>
          <w:b/>
          <w:sz w:val="24"/>
          <w:szCs w:val="24"/>
          <w:cs/>
        </w:rPr>
        <w:fldChar w:fldCharType="end"/>
      </w:r>
      <w:r w:rsidR="00D0143A" w:rsidRPr="00D0143A">
        <w:rPr>
          <w:rFonts w:ascii="Times New Roman" w:eastAsia="Times New Roman" w:hAnsi="Times New Roman"/>
          <w:sz w:val="24"/>
          <w:szCs w:val="24"/>
          <w:cs/>
        </w:rPr>
        <w:t xml:space="preserve"> </w:t>
      </w:r>
      <w:r w:rsidR="00D0143A" w:rsidRPr="00D0143A">
        <w:rPr>
          <w:rFonts w:ascii="Times New Roman" w:eastAsia="Times New Roman" w:hAnsi="Times New Roman"/>
          <w:sz w:val="24"/>
          <w:szCs w:val="24"/>
        </w:rPr>
        <w:t>Self</w:t>
      </w:r>
      <w:r w:rsidR="00E42D37" w:rsidRPr="000829A5">
        <w:rPr>
          <w:rFonts w:ascii="Times New Roman" w:hAnsi="Times New Roman" w:cs="Times New Roman"/>
          <w:sz w:val="24"/>
          <w:szCs w:val="24"/>
        </w:rPr>
        <w:t>-consistency provides a strong alternative explanation: repeated sampling itself can improve a result by aggregating several reasoning paths</w:t>
      </w:r>
      <w:r w:rsidR="00AB3A50">
        <w:rPr>
          <w:rFonts w:ascii="Times New Roman" w:hAnsi="Times New Roman" w:cs="Times New Roman"/>
          <w:sz w:val="24"/>
          <w:szCs w:val="24"/>
        </w:rPr>
        <w:t xml:space="preserve"> </w:t>
      </w:r>
      <w:r w:rsidR="00AB3A50">
        <w:rPr>
          <w:rFonts w:ascii="Times New Roman" w:hAnsi="Times New Roman" w:cs="Times New Roman"/>
          <w:b/>
          <w:sz w:val="24"/>
          <w:szCs w:val="24"/>
        </w:rPr>
        <w:fldChar w:fldCharType="begin"/>
      </w:r>
      <w:r w:rsidR="00AB3A50">
        <w:rPr>
          <w:rFonts w:ascii="Times New Roman" w:hAnsi="Times New Roman" w:cs="Times New Roman"/>
          <w:b/>
          <w:sz w:val="24"/>
          <w:szCs w:val="24"/>
        </w:rPr>
        <w:instrText xml:space="preserve"> ADDIN ZOTERO_ITEM CSL_CITATION {"citationID":"wEQDytrU","properties":{"unsorted":false,"formattedCitation":"(X. Wang et al., 2023)","plainCitation":"(X. Wang et al., 2023)","noteIndex":0},"citationItems":[{"id":16,"uris":["http://zotero.org/users/local/DPQnJvcs/items/MGSIQEJ4"],"itemData":{"id":16,"type":"paper-conference","container-title":"The Eleventh International Conference on Learning Representations","title":"Self-Consistency Improves Chain of Thought Reasoning in Language Models","URL":"https://openreview.net/forum?id=1PL1NIMMrw","author":[{"family":"Wang","given":"Xuezhi"},{"family":"Wei","given":"Jason"},{"family":"Schuurmans","given":"Dale"},{"family":"Le","given":"Quoc V."},{"family":"Chi","given":"Ed H."},{"family":"Narang","given":"Sharan"},{"family":"Chowdhery","given":"Aakanksha"},{"family":"Zhou","given":"Denny"}],"issued":{"date-parts":[["2023"]]}}}],"schema":"https://github.com/citation-style-language/schema/raw/master/csl-citation.json"} </w:instrText>
      </w:r>
      <w:r w:rsidR="00AB3A50">
        <w:rPr>
          <w:rFonts w:ascii="Times New Roman" w:hAnsi="Times New Roman" w:cs="Times New Roman"/>
          <w:b/>
          <w:sz w:val="24"/>
          <w:szCs w:val="24"/>
        </w:rPr>
        <w:fldChar w:fldCharType="separate"/>
      </w:r>
      <w:r w:rsidR="00AB3A50" w:rsidRPr="00AB3A50">
        <w:rPr>
          <w:rFonts w:ascii="Times New Roman" w:hAnsi="Times New Roman" w:cs="Times New Roman"/>
          <w:sz w:val="24"/>
        </w:rPr>
        <w:t>(X. Wang et al., 2023)</w:t>
      </w:r>
      <w:r w:rsidR="00AB3A50">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Comparing</w:t>
      </w:r>
      <w:r w:rsidR="00FD0A3B" w:rsidRPr="000829A5">
        <w:rPr>
          <w:rFonts w:ascii="Times New Roman" w:hAnsi="Times New Roman" w:cs="Times New Roman"/>
          <w:sz w:val="24"/>
          <w:szCs w:val="24"/>
        </w:rPr>
        <w:t xml:space="preserve"> a three-call role system only with one call therefore confounds role structure with inference budget. Our intrinsic benchmark uses both an equal-call three-pass control and a four-pass near-cost control. Even then, the comparison is system-level: all roles use the same underlying proprietary model, so the result cannot identify abstract “debate reasoning” as the sole causal mechanism. A recent survey of financial LLM agents similarly identifies prompt sensitivity, real-time adaptation and institutional deployment constraints as open evaluation problems</w:t>
      </w:r>
      <w:r w:rsidR="00FD0A3B">
        <w:rPr>
          <w:rFonts w:ascii="Times New Roman" w:hAnsi="Times New Roman" w:cs="Times New Roman"/>
          <w:sz w:val="24"/>
          <w:szCs w:val="24"/>
        </w:rPr>
        <w:t xml:space="preserve"> </w:t>
      </w:r>
      <w:r w:rsidR="00FD0A3B" w:rsidRPr="00AB3A50">
        <w:rPr>
          <w:rFonts w:ascii="Times New Roman" w:hAnsi="Times New Roman" w:cs="Times New Roman"/>
          <w:sz w:val="24"/>
          <w:szCs w:val="24"/>
        </w:rPr>
        <w:fldChar w:fldCharType="begin"/>
      </w:r>
      <w:r w:rsidR="00FD0A3B" w:rsidRPr="00AB3A50">
        <w:rPr>
          <w:rFonts w:ascii="Times New Roman" w:hAnsi="Times New Roman" w:cs="Times New Roman"/>
          <w:sz w:val="24"/>
          <w:szCs w:val="24"/>
        </w:rPr>
        <w:instrText xml:space="preserve"> ADDIN ZOTERO_ITEM CSL_CITATION {"citationID":"5EKDHQHl","properties":{"unsorted":false,"formattedCitation":"(Dong et al., 2025)","plainCitation":"(Dong et al., 2025)","noteIndex":0},"citationItems":[{"id":39,"uris":["http://zotero.org/users/local/DPQnJvcs/items/5X3GYKMQ"],"itemData":{"id":39,"type":"paper-conference","container-title":"Findings of the Association for Computational Linguistics: EMNLP 2025","DOI":"10.18653/v1/2025.findings-emnlp.972","page":"17889–17907","publisher":"Association for Computational Linguistics","title":"Large Language Model Agents in Finance: A Survey Bridging Research, Practice, and Real-World Deployment","URL":"https://aclanthology.org/2025.findings-emnlp.972/","author":[{"family":"Dong","given":"Yifei"},{"family":"Wu","given":"Fengyi"},{"family":"Zhang","given":"Kunlin"},{"family":"Dai","given":"Yilong"},{"family":"Zhang","given":"Sanjian"},{"family":"Ye","given":"Wanghao"},{"family":"Chen","given":"Sihan"},{"family":"Cheng","given":"Zhi-Qi"}],"issued":{"date-parts":[["2025"]]}}}],"schema":"https://github.com/citation-style-language/schema/raw/master/csl-citation.json"} </w:instrText>
      </w:r>
      <w:r w:rsidR="00FD0A3B" w:rsidRPr="00AB3A50">
        <w:rPr>
          <w:rFonts w:ascii="Times New Roman" w:hAnsi="Times New Roman" w:cs="Times New Roman"/>
          <w:sz w:val="24"/>
          <w:szCs w:val="24"/>
        </w:rPr>
        <w:fldChar w:fldCharType="separate"/>
      </w:r>
      <w:r w:rsidR="00FD0A3B" w:rsidRPr="00AB3A50">
        <w:rPr>
          <w:rFonts w:ascii="Times New Roman" w:hAnsi="Times New Roman" w:cs="Times New Roman"/>
          <w:sz w:val="24"/>
        </w:rPr>
        <w:t>(Dong et al., 2025)</w:t>
      </w:r>
      <w:r w:rsidR="00FD0A3B" w:rsidRPr="00AB3A50">
        <w:rPr>
          <w:rFonts w:ascii="Times New Roman" w:hAnsi="Times New Roman" w:cs="Times New Roman"/>
          <w:sz w:val="24"/>
          <w:szCs w:val="24"/>
        </w:rPr>
        <w:fldChar w:fldCharType="end"/>
      </w:r>
    </w:p>
    <w:p w14:paraId="14C44F2B" w14:textId="77777777" w:rsidR="00FD0A3B" w:rsidRPr="00B11EDA" w:rsidRDefault="00FD0A3B" w:rsidP="009960B6">
      <w:pPr>
        <w:keepNext/>
        <w:keepLines/>
        <w:spacing w:before="180" w:after="80" w:line="360" w:lineRule="auto"/>
        <w:rPr>
          <w:rFonts w:ascii="Times New Roman" w:eastAsia="Times New Roman" w:hAnsi="Times New Roman" w:cs="Times New Roman"/>
          <w:sz w:val="24"/>
          <w:szCs w:val="24"/>
        </w:rPr>
      </w:pPr>
      <w:r w:rsidRPr="00D0143A">
        <w:rPr>
          <w:rFonts w:ascii="Times New Roman" w:eastAsia="Times New Roman" w:hAnsi="Times New Roman" w:cs="Times New Roman"/>
          <w:b/>
          <w:bCs/>
          <w:sz w:val="24"/>
          <w:szCs w:val="24"/>
        </w:rPr>
        <w:t>2</w:t>
      </w:r>
      <w:r w:rsidR="00B7742C" w:rsidRPr="00D0143A">
        <w:rPr>
          <w:rFonts w:ascii="Times New Roman" w:eastAsia="Times New Roman" w:hAnsi="Times New Roman" w:cs="Times New Roman"/>
          <w:b/>
          <w:bCs/>
          <w:sz w:val="24"/>
          <w:szCs w:val="24"/>
        </w:rPr>
        <w:t>.</w:t>
      </w:r>
      <w:r w:rsidR="00B7742C" w:rsidRPr="00D0143A">
        <w:rPr>
          <w:rFonts w:ascii="Times New Roman" w:hAnsi="Times New Roman" w:cs="Times New Roman"/>
          <w:b/>
          <w:bCs/>
          <w:sz w:val="24"/>
          <w:szCs w:val="24"/>
        </w:rPr>
        <w:t>4 Market regimes and explanation reliability</w:t>
      </w:r>
    </w:p>
    <w:p w14:paraId="4A1DD267" w14:textId="77777777" w:rsidR="00F756DC" w:rsidRDefault="00F756DC" w:rsidP="009960B6">
      <w:pPr>
        <w:spacing w:line="360" w:lineRule="auto"/>
        <w:jc w:val="both"/>
        <w:rPr>
          <w:rFonts w:ascii="Times New Roman" w:hAnsi="Times New Roman" w:cs="Times New Roman"/>
          <w:sz w:val="24"/>
          <w:szCs w:val="24"/>
        </w:rPr>
      </w:pPr>
      <w:r w:rsidRPr="000829A5">
        <w:rPr>
          <w:rFonts w:ascii="Times New Roman" w:hAnsi="Times New Roman" w:cs="Times New Roman"/>
          <w:sz w:val="24"/>
          <w:szCs w:val="24"/>
        </w:rPr>
        <w:t xml:space="preserve">Bull and bear phases have long been analyses as persistent market states </w:t>
      </w:r>
      <w:r w:rsidR="00823AE8">
        <w:rPr>
          <w:rFonts w:ascii="Times New Roman" w:eastAsia="Times New Roman" w:hAnsi="Times New Roman" w:cs="Times New Roman"/>
          <w:b/>
          <w:sz w:val="24"/>
          <w:szCs w:val="24"/>
        </w:rPr>
        <w:fldChar w:fldCharType="begin"/>
      </w:r>
      <w:r w:rsidR="00823AE8">
        <w:rPr>
          <w:rFonts w:ascii="Times New Roman" w:eastAsia="Times New Roman" w:hAnsi="Times New Roman" w:cs="Times New Roman"/>
          <w:b/>
          <w:sz w:val="24"/>
          <w:szCs w:val="24"/>
        </w:rPr>
        <w:instrText xml:space="preserve"> ADDIN ZOTERO_ITEM CSL_CITATION {"citationID":"S5IvXBMx","properties":{"unsorted":false,"formattedCitation":"(Pagan &amp; Sossounov, 2003)","plainCitation":"(Pagan &amp; Sossounov, 2003)","noteIndex":0},"citationItems":[{"id":20,"uris":["http://zotero.org/users/local/DPQnJvcs/items/RQKMDA85"],"itemData":{"id":20,"type":"article-journal","container-title":"Journal of Applied Econometrics","DOI":"10.1002/jae.664","issue":"1","page":"23–46","title":"A Simple Framework for Analysing Bull and Bear Markets","volume":"18","author":[{"family":"Pagan","given":"Adrian R."},{"family":"Sossounov","given":"Kirill A."}],"issued":{"date-parts":[["2003"]]}}}],"schema":"https://github.com/citation-style-language/schema/raw/master/csl-citation.json"} </w:instrText>
      </w:r>
      <w:r w:rsidR="00823AE8">
        <w:rPr>
          <w:rFonts w:ascii="Times New Roman" w:eastAsia="Times New Roman" w:hAnsi="Times New Roman" w:cs="Times New Roman"/>
          <w:b/>
          <w:sz w:val="24"/>
          <w:szCs w:val="24"/>
        </w:rPr>
        <w:fldChar w:fldCharType="separate"/>
      </w:r>
      <w:r w:rsidR="00823AE8" w:rsidRPr="00823AE8">
        <w:rPr>
          <w:rFonts w:ascii="Times New Roman" w:hAnsi="Times New Roman" w:cs="Times New Roman"/>
          <w:sz w:val="24"/>
        </w:rPr>
        <w:t>(Pagan &amp; Sossounov, 2003)</w:t>
      </w:r>
      <w:r w:rsidR="00823AE8">
        <w:rPr>
          <w:rFonts w:ascii="Times New Roman" w:eastAsia="Times New Roman" w:hAnsi="Times New Roman" w:cs="Times New Roman"/>
          <w:b/>
          <w:sz w:val="24"/>
          <w:szCs w:val="24"/>
        </w:rPr>
        <w:fldChar w:fldCharType="end"/>
      </w:r>
      <w:r w:rsidR="00D0143A" w:rsidRPr="00D0143A">
        <w:rPr>
          <w:rFonts w:ascii="Times New Roman" w:eastAsia="Times New Roman" w:hAnsi="Times New Roman" w:cs="Times New Roman"/>
          <w:sz w:val="24"/>
          <w:szCs w:val="24"/>
        </w:rPr>
        <w:t xml:space="preserve"> Trend</w:t>
      </w:r>
      <w:r w:rsidR="00575836" w:rsidRPr="000829A5">
        <w:rPr>
          <w:rFonts w:ascii="Times New Roman" w:hAnsi="Times New Roman" w:cs="Times New Roman"/>
          <w:sz w:val="24"/>
          <w:szCs w:val="24"/>
        </w:rPr>
        <w:t>-following evidence motivates using returns across several horizons</w:t>
      </w:r>
      <w:r w:rsidR="00575836">
        <w:rPr>
          <w:rFonts w:ascii="Times New Roman" w:hAnsi="Times New Roman" w:cs="Times New Roman"/>
          <w:sz w:val="24"/>
          <w:szCs w:val="24"/>
        </w:rPr>
        <w:t xml:space="preserve"> </w:t>
      </w:r>
      <w:r w:rsidR="00575836" w:rsidRPr="00823AE8">
        <w:rPr>
          <w:rFonts w:ascii="Times New Roman" w:hAnsi="Times New Roman" w:cs="Times New Roman"/>
          <w:sz w:val="24"/>
          <w:szCs w:val="24"/>
        </w:rPr>
        <w:fldChar w:fldCharType="begin"/>
      </w:r>
      <w:r w:rsidR="00575836" w:rsidRPr="00823AE8">
        <w:rPr>
          <w:rFonts w:ascii="Times New Roman" w:hAnsi="Times New Roman" w:cs="Times New Roman"/>
          <w:sz w:val="24"/>
          <w:szCs w:val="24"/>
        </w:rPr>
        <w:instrText xml:space="preserve"> ADDIN ZOTERO_ITEM CSL_CITATION {"citationID":"ar3akY12","properties":{"unsorted":false,"formattedCitation":"(Moskowitz et al., 2012)","plainCitation":"(Moskowitz et al., 2012)","noteIndex":0},"citationItems":[{"id":21,"uris":["http://zotero.org/users/local/DPQnJvcs/items/9TALPZW5"],"itemData":{"id":21,"type":"article-journal","container-title":"Journal of Financial Economics","DOI":"10.1016/j.jfineco.2011.11.003","issue":"2","page":"228–250","title":"Time Series Momentum","volume":"104","author":[{"family":"Moskowitz","given":"Tobias J."},{"family":"Ooi","given":"Yao Hua"},{"family":"Pedersen","given":"Lasse Heje"}],"issued":{"date-parts":[["2012"]]}}}],"schema":"https://github.com/citation-style-language/schema/raw/master/csl-citation.json"} </w:instrText>
      </w:r>
      <w:r w:rsidR="00575836" w:rsidRPr="00823AE8">
        <w:rPr>
          <w:rFonts w:ascii="Times New Roman" w:hAnsi="Times New Roman" w:cs="Times New Roman"/>
          <w:sz w:val="24"/>
          <w:szCs w:val="24"/>
        </w:rPr>
        <w:fldChar w:fldCharType="separate"/>
      </w:r>
      <w:r w:rsidR="00575836" w:rsidRPr="00823AE8">
        <w:rPr>
          <w:rFonts w:ascii="Times New Roman" w:hAnsi="Times New Roman" w:cs="Times New Roman"/>
          <w:sz w:val="24"/>
        </w:rPr>
        <w:t>(Moskowitz et al., 2012)</w:t>
      </w:r>
      <w:r w:rsidR="00575836" w:rsidRPr="00823AE8">
        <w:rPr>
          <w:rFonts w:ascii="Times New Roman" w:hAnsi="Times New Roman" w:cs="Times New Roman"/>
          <w:sz w:val="24"/>
          <w:szCs w:val="24"/>
        </w:rPr>
        <w:fldChar w:fldCharType="end"/>
      </w:r>
      <w:r w:rsidR="000B166F">
        <w:rPr>
          <w:rFonts w:ascii="Times New Roman" w:hAnsi="Times New Roman" w:cs="Times New Roman"/>
          <w:sz w:val="24"/>
          <w:szCs w:val="24"/>
        </w:rPr>
        <w:t xml:space="preserve"> </w:t>
      </w:r>
      <w:r w:rsidR="000B166F" w:rsidRPr="000829A5">
        <w:rPr>
          <w:rFonts w:ascii="Times New Roman" w:hAnsi="Times New Roman" w:cs="Times New Roman"/>
          <w:sz w:val="24"/>
          <w:szCs w:val="24"/>
        </w:rPr>
        <w:t>while the Average Directional Index (ADX) provides a conventional measure of trend strength</w:t>
      </w:r>
      <w:r w:rsidR="000B166F">
        <w:rPr>
          <w:rFonts w:ascii="Times New Roman" w:hAnsi="Times New Roman" w:cs="Times New Roman"/>
          <w:sz w:val="24"/>
          <w:szCs w:val="24"/>
        </w:rPr>
        <w:t xml:space="preserve"> </w:t>
      </w:r>
      <w:r w:rsidR="000B166F" w:rsidRPr="00823AE8">
        <w:rPr>
          <w:rFonts w:ascii="Times New Roman" w:hAnsi="Times New Roman" w:cs="Times New Roman"/>
          <w:sz w:val="24"/>
          <w:szCs w:val="24"/>
        </w:rPr>
        <w:fldChar w:fldCharType="begin"/>
      </w:r>
      <w:r w:rsidR="000B166F" w:rsidRPr="00823AE8">
        <w:rPr>
          <w:rFonts w:ascii="Times New Roman" w:hAnsi="Times New Roman" w:cs="Times New Roman"/>
          <w:sz w:val="24"/>
          <w:szCs w:val="24"/>
        </w:rPr>
        <w:instrText xml:space="preserve"> ADDIN ZOTERO_ITEM CSL_CITATION {"citationID":"Wr0d6thP","properties":{"unsorted":false,"formattedCitation":"(Wilder, 1978)","plainCitation":"(Wilder, 1978)","noteIndex":0},"citationItems":[{"id":22,"uris":["http://zotero.org/users/local/DPQnJvcs/items/HCF6V88D"],"itemData":{"id":22,"type":"book","publisher":"Trend Research","publisher-place":"Greensboro, NC","title":"New Concepts in Technical Trading Systems","author":[{"family":"Wilder","given":"J. Welles Jr."}],"issued":{"date-parts":[["1978"]]}}}],"schema":"https://github.com/citation-style-language/schema/raw/master/csl-citation.json"} </w:instrText>
      </w:r>
      <w:r w:rsidR="000B166F" w:rsidRPr="00823AE8">
        <w:rPr>
          <w:rFonts w:ascii="Times New Roman" w:hAnsi="Times New Roman" w:cs="Times New Roman"/>
          <w:sz w:val="24"/>
          <w:szCs w:val="24"/>
        </w:rPr>
        <w:fldChar w:fldCharType="separate"/>
      </w:r>
      <w:r w:rsidR="000B166F" w:rsidRPr="00823AE8">
        <w:rPr>
          <w:rFonts w:ascii="Times New Roman" w:hAnsi="Times New Roman" w:cs="Times New Roman"/>
          <w:sz w:val="24"/>
        </w:rPr>
        <w:t>(Wilder, 1978)</w:t>
      </w:r>
      <w:r w:rsidR="000B166F" w:rsidRPr="00823AE8">
        <w:rPr>
          <w:rFonts w:ascii="Times New Roman" w:hAnsi="Times New Roman" w:cs="Times New Roman"/>
          <w:sz w:val="24"/>
          <w:szCs w:val="24"/>
        </w:rPr>
        <w:fldChar w:fldCharType="end"/>
      </w:r>
      <w:r w:rsidR="00E340C7">
        <w:rPr>
          <w:rFonts w:ascii="Times New Roman" w:eastAsia="Times New Roman" w:hAnsi="Times New Roman" w:cs="Times New Roman"/>
          <w:b/>
          <w:sz w:val="24"/>
          <w:szCs w:val="24"/>
        </w:rPr>
        <w:t xml:space="preserve"> </w:t>
      </w:r>
      <w:r w:rsidR="00E340C7" w:rsidRPr="000829A5">
        <w:rPr>
          <w:rFonts w:ascii="Times New Roman" w:hAnsi="Times New Roman" w:cs="Times New Roman"/>
          <w:sz w:val="24"/>
          <w:szCs w:val="24"/>
        </w:rPr>
        <w:t>A regime router used for next-day forecasting must be fitted without future labels and should produce semantically valid states in both training and test periods.</w:t>
      </w:r>
    </w:p>
    <w:p w14:paraId="751D9294" w14:textId="77777777" w:rsidR="00E340C7" w:rsidRDefault="00A63E07" w:rsidP="009960B6">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 xml:space="preserve">SHAP unifies feature attribution through Shapley </w:t>
      </w:r>
      <w:r w:rsidRPr="00823AE8">
        <w:rPr>
          <w:rFonts w:ascii="Times New Roman" w:hAnsi="Times New Roman" w:cs="Times New Roman"/>
          <w:sz w:val="24"/>
          <w:szCs w:val="24"/>
        </w:rPr>
        <w:t xml:space="preserve">values </w:t>
      </w:r>
      <w:r w:rsidRPr="00823AE8">
        <w:rPr>
          <w:rFonts w:ascii="Times New Roman" w:hAnsi="Times New Roman" w:cs="Times New Roman"/>
          <w:sz w:val="24"/>
          <w:szCs w:val="24"/>
        </w:rPr>
        <w:fldChar w:fldCharType="begin"/>
      </w:r>
      <w:r w:rsidRPr="00823AE8">
        <w:rPr>
          <w:rFonts w:ascii="Times New Roman" w:hAnsi="Times New Roman" w:cs="Times New Roman"/>
          <w:sz w:val="24"/>
          <w:szCs w:val="24"/>
        </w:rPr>
        <w:instrText xml:space="preserve"> ADDIN ZOTERO_ITEM CSL_CITATION {"citationID":"reyt82nC","properties":{"unsorted":false,"formattedCitation":"(Lundberg &amp; Lee, 2017)","plainCitation":"(Lundberg &amp; Lee, 2017)","noteIndex":0},"citationItems":[{"id":17,"uris":["http://zotero.org/users/local/DPQnJvcs/items/HGDYW6QX"],"itemData":{"id":17,"type":"paper-conference","container-title":"Advances in Neural Information Processing Systems","title":"A Unified Approach to Interpreting Model Predictions","URL":"https://proceedings.neurips.cc/paper_files/paper/2017/hash/8a20a8621978632d76c43dfd28b67767-Abstract.html","volume":"30","author":[{"family":"Lundberg","given":"Scott M."},{"family":"Lee","given":"Su-In"}],"issued":{"date-parts":[["2017"]]}}}],"schema":"https://github.com/citation-style-language/schema/raw/master/csl-citation.json"} </w:instrText>
      </w:r>
      <w:r w:rsidRPr="00823AE8">
        <w:rPr>
          <w:rFonts w:ascii="Times New Roman" w:hAnsi="Times New Roman" w:cs="Times New Roman"/>
          <w:sz w:val="24"/>
          <w:szCs w:val="24"/>
        </w:rPr>
        <w:fldChar w:fldCharType="separate"/>
      </w:r>
      <w:r w:rsidRPr="00823AE8">
        <w:rPr>
          <w:rFonts w:ascii="Times New Roman" w:hAnsi="Times New Roman" w:cs="Times New Roman"/>
          <w:sz w:val="24"/>
        </w:rPr>
        <w:t>(Lundberg &amp; Lee, 2017)</w:t>
      </w:r>
      <w:r w:rsidRPr="00823AE8">
        <w:rPr>
          <w:rFonts w:ascii="Times New Roman" w:hAnsi="Times New Roman" w:cs="Times New Roman"/>
          <w:sz w:val="24"/>
          <w:szCs w:val="24"/>
        </w:rPr>
        <w:fldChar w:fldCharType="end"/>
      </w:r>
      <w:r w:rsidR="00D6471E">
        <w:rPr>
          <w:rFonts w:ascii="Times New Roman" w:eastAsia="Times New Roman" w:hAnsi="Times New Roman" w:cs="Times New Roman"/>
          <w:b/>
          <w:sz w:val="24"/>
          <w:szCs w:val="24"/>
        </w:rPr>
        <w:t xml:space="preserve"> </w:t>
      </w:r>
      <w:r w:rsidR="00D6471E" w:rsidRPr="000829A5">
        <w:rPr>
          <w:rFonts w:ascii="Times New Roman" w:hAnsi="Times New Roman" w:cs="Times New Roman"/>
          <w:sz w:val="24"/>
          <w:szCs w:val="24"/>
        </w:rPr>
        <w:t>LIME fits local surrogate explanations around individual predictions</w:t>
      </w:r>
      <w:r w:rsidR="00D6471E">
        <w:rPr>
          <w:rFonts w:ascii="Times New Roman" w:hAnsi="Times New Roman" w:cs="Times New Roman"/>
          <w:sz w:val="24"/>
          <w:szCs w:val="24"/>
        </w:rPr>
        <w:t xml:space="preserve"> </w:t>
      </w:r>
      <w:r w:rsidR="00823AE8">
        <w:rPr>
          <w:rFonts w:ascii="Times New Roman" w:hAnsi="Times New Roman" w:cs="Times New Roman"/>
          <w:b/>
          <w:sz w:val="24"/>
          <w:szCs w:val="24"/>
        </w:rPr>
        <w:fldChar w:fldCharType="begin"/>
      </w:r>
      <w:r w:rsidR="00823AE8">
        <w:rPr>
          <w:rFonts w:ascii="Times New Roman" w:hAnsi="Times New Roman" w:cs="Times New Roman"/>
          <w:b/>
          <w:sz w:val="24"/>
          <w:szCs w:val="24"/>
        </w:rPr>
        <w:instrText xml:space="preserve"> ADDIN ZOTERO_ITEM CSL_CITATION {"citationID":"1FCUssav","properties":{"unsorted":false,"formattedCitation":"(Ribeiro et al., 2016)","plainCitation":"(Ribeiro et al., 2016)","noteIndex":0},"citationItems":[{"id":18,"uris":["http://zotero.org/users/local/DPQnJvcs/items/62AI8BRL"],"itemData":{"id":18,"type":"paper-conference","container-title":"Proceedings of the 22nd ACM SIGKDD International Conference on Knowledge Discovery and Data Mining","DOI":"10.1145/2939672.2939778","page":"1135–1144","title":"\"Why Should I Trust You?\": Explaining the Predictions of Any Classifier","author":[{"family":"Ribeiro","given":"Marco Tulio"},{"family":"Singh","given":"Sameer"},{"family":"Guestrin","given":"Carlos"}],"issued":{"date-parts":[["2016"]]}}}],"schema":"https://github.com/citation-style-language/schema/raw/master/csl-citation.json"} </w:instrText>
      </w:r>
      <w:r w:rsidR="00823AE8">
        <w:rPr>
          <w:rFonts w:ascii="Times New Roman" w:hAnsi="Times New Roman" w:cs="Times New Roman"/>
          <w:b/>
          <w:sz w:val="24"/>
          <w:szCs w:val="24"/>
        </w:rPr>
        <w:fldChar w:fldCharType="separate"/>
      </w:r>
      <w:r w:rsidR="00823AE8" w:rsidRPr="00823AE8">
        <w:rPr>
          <w:rFonts w:ascii="Times New Roman" w:hAnsi="Times New Roman" w:cs="Times New Roman"/>
          <w:sz w:val="24"/>
        </w:rPr>
        <w:t>(Ribeiro et al., 2016)</w:t>
      </w:r>
      <w:r w:rsidR="00823AE8">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Neither</w:t>
      </w:r>
      <w:r w:rsidR="00854BB5" w:rsidRPr="000829A5">
        <w:rPr>
          <w:rFonts w:ascii="Times New Roman" w:hAnsi="Times New Roman" w:cs="Times New Roman"/>
          <w:sz w:val="24"/>
          <w:szCs w:val="24"/>
        </w:rPr>
        <w:t xml:space="preserve"> method converts model association into causal market evidence and an explanation is useful only if it is sufficiently faithful to the fitted model. Sanity checks are consequently part of the explanation audit rather than an optional visualization exercise</w:t>
      </w:r>
      <w:r w:rsidR="00854BB5">
        <w:rPr>
          <w:rFonts w:ascii="Times New Roman" w:hAnsi="Times New Roman" w:cs="Times New Roman"/>
          <w:sz w:val="24"/>
          <w:szCs w:val="24"/>
        </w:rPr>
        <w:t xml:space="preserve"> </w:t>
      </w:r>
      <w:r w:rsidR="00AE0368">
        <w:rPr>
          <w:rFonts w:ascii="Times New Roman" w:hAnsi="Times New Roman" w:cs="Times New Roman"/>
          <w:b/>
          <w:sz w:val="24"/>
          <w:szCs w:val="24"/>
        </w:rPr>
        <w:fldChar w:fldCharType="begin"/>
      </w:r>
      <w:r w:rsidR="00AE0368">
        <w:rPr>
          <w:rFonts w:ascii="Times New Roman" w:hAnsi="Times New Roman" w:cs="Times New Roman"/>
          <w:b/>
          <w:sz w:val="24"/>
          <w:szCs w:val="24"/>
        </w:rPr>
        <w:instrText xml:space="preserve"> ADDIN ZOTERO_ITEM CSL_CITATION {"citationID":"eR4E79Ak","properties":{"unsorted":false,"formattedCitation":"(Adebayo et al., 2018)","plainCitation":"(Adebayo et al., 2018)","noteIndex":0},"citationItems":[{"id":19,"uris":["http://zotero.org/users/local/DPQnJvcs/items/UD4RPQRT"],"itemData":{"id":19,"type":"paper-conference","container-title":"Advances in Neural Information Processing Systems","title":"Sanity Checks for Saliency Maps","URL":"https://proceedings.neurips.cc/paper_files/paper/2018/hash/294a8ed24b1ad22ec2e7efea049b8737-Abstract.html","volume":"31","author":[{"family":"Adebayo","given":"Julius"},{"family":"Gilmer","given":"Justin"},{"family":"Muelly","given":"Michael"},{"family":"Goodfellow","given":"Ian"},{"family":"Hardt","given":"Moritz"},{"family":"Kim","given":"Been"}],"issued":{"date-parts":[["2018"]]}}}],"schema":"https://github.com/citation-style-language/schema/raw/master/csl-citation.json"} </w:instrText>
      </w:r>
      <w:r w:rsidR="00AE0368">
        <w:rPr>
          <w:rFonts w:ascii="Times New Roman" w:hAnsi="Times New Roman" w:cs="Times New Roman"/>
          <w:b/>
          <w:sz w:val="24"/>
          <w:szCs w:val="24"/>
        </w:rPr>
        <w:fldChar w:fldCharType="separate"/>
      </w:r>
      <w:r w:rsidR="00AE0368" w:rsidRPr="00AE0368">
        <w:rPr>
          <w:rFonts w:ascii="Times New Roman" w:hAnsi="Times New Roman" w:cs="Times New Roman"/>
          <w:sz w:val="24"/>
        </w:rPr>
        <w:t>(Adebayo et al., 2018)</w:t>
      </w:r>
      <w:r w:rsidR="00AE0368">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Finance</w:t>
      </w:r>
      <w:r w:rsidR="00D83D8F" w:rsidRPr="000829A5">
        <w:rPr>
          <w:rFonts w:ascii="Times New Roman" w:hAnsi="Times New Roman" w:cs="Times New Roman"/>
          <w:sz w:val="24"/>
          <w:szCs w:val="24"/>
        </w:rPr>
        <w:t>-specific review evidence also emphasizes that explanation methods must be assessed with domain, transparency and adoption constraints in view</w:t>
      </w:r>
      <w:r w:rsidR="00D83D8F">
        <w:rPr>
          <w:rFonts w:ascii="Times New Roman" w:hAnsi="Times New Roman" w:cs="Times New Roman"/>
          <w:sz w:val="24"/>
          <w:szCs w:val="24"/>
        </w:rPr>
        <w:t xml:space="preserve"> </w:t>
      </w:r>
      <w:r w:rsidR="00AE0368">
        <w:rPr>
          <w:rFonts w:ascii="Times New Roman" w:hAnsi="Times New Roman" w:cs="Times New Roman"/>
          <w:b/>
          <w:sz w:val="24"/>
          <w:szCs w:val="24"/>
        </w:rPr>
        <w:fldChar w:fldCharType="begin"/>
      </w:r>
      <w:r w:rsidR="00AE0368">
        <w:rPr>
          <w:rFonts w:ascii="Times New Roman" w:hAnsi="Times New Roman" w:cs="Times New Roman"/>
          <w:b/>
          <w:sz w:val="24"/>
          <w:szCs w:val="24"/>
        </w:rPr>
        <w:instrText xml:space="preserve"> ADDIN ZOTERO_ITEM CSL_CITATION {"citationID":"tmpU4JLt","properties":{"unsorted":false,"formattedCitation":"(Yeo et al., 2025)","plainCitation":"(Yeo et al., 2025)","noteIndex":0},"citationItems":[{"id":40,"uris":["http://zotero.org/users/local/DPQnJvcs/items/CGM5923W"],"itemData":{"id":40,"type":"article-journal","container-title":"Artificial Intelligence Review","DOI":"10.1007/s10462-024-11077-7","issue":"6","page":"189","title":"A Comprehensive Review on Financial Explainable AI","volume":"58","author":[{"family":"Yeo","given":"Wei Jie"},{"family":"Van Der Heever","given":"Wihan"},{"family":"Mao","given":"Rui"},{"family":"Cambria","given":"Erik"},{"family":"Satapathy","given":"Ranjan"},{"family":"Mengaldo","given":"Gianmarco"}],"issued":{"date-parts":[["2025"]]}}}],"schema":"https://github.com/citation-style-language/schema/raw/master/csl-citation.json"} </w:instrText>
      </w:r>
      <w:r w:rsidR="00AE0368">
        <w:rPr>
          <w:rFonts w:ascii="Times New Roman" w:hAnsi="Times New Roman" w:cs="Times New Roman"/>
          <w:b/>
          <w:sz w:val="24"/>
          <w:szCs w:val="24"/>
        </w:rPr>
        <w:fldChar w:fldCharType="separate"/>
      </w:r>
      <w:r w:rsidR="00AE0368" w:rsidRPr="00AE0368">
        <w:rPr>
          <w:rFonts w:ascii="Times New Roman" w:hAnsi="Times New Roman" w:cs="Times New Roman"/>
          <w:sz w:val="24"/>
        </w:rPr>
        <w:t>(Yeo et al., 2025)</w:t>
      </w:r>
      <w:r w:rsidR="00AE0368">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We</w:t>
      </w:r>
      <w:r w:rsidR="00D619F1" w:rsidRPr="000829A5">
        <w:rPr>
          <w:rFonts w:ascii="Times New Roman" w:hAnsi="Times New Roman" w:cs="Times New Roman"/>
          <w:sz w:val="24"/>
          <w:szCs w:val="24"/>
        </w:rPr>
        <w:t xml:space="preserve"> use SHAP for a train-only selector and LIME only as a post-selection diagnostic; LIME never determines a feature subset.</w:t>
      </w:r>
    </w:p>
    <w:p w14:paraId="0A8D3DD1" w14:textId="77777777" w:rsidR="00524254" w:rsidRPr="00B11EDA" w:rsidRDefault="00524254" w:rsidP="009960B6">
      <w:pPr>
        <w:keepNext/>
        <w:keepLines/>
        <w:spacing w:before="180" w:after="80" w:line="360" w:lineRule="auto"/>
        <w:rPr>
          <w:rFonts w:ascii="Times New Roman" w:eastAsia="Times New Roman" w:hAnsi="Times New Roman" w:cs="Times New Roman"/>
          <w:sz w:val="24"/>
          <w:szCs w:val="24"/>
        </w:rPr>
      </w:pPr>
      <w:r w:rsidRPr="00D0143A">
        <w:rPr>
          <w:rFonts w:ascii="Times New Roman" w:eastAsia="Times New Roman" w:hAnsi="Times New Roman" w:cs="Times New Roman"/>
          <w:b/>
          <w:bCs/>
          <w:sz w:val="24"/>
          <w:szCs w:val="24"/>
        </w:rPr>
        <w:t>2.</w:t>
      </w:r>
      <w:r w:rsidRPr="00D0143A">
        <w:rPr>
          <w:rFonts w:ascii="Times New Roman" w:hAnsi="Times New Roman" w:cs="Times New Roman"/>
          <w:b/>
          <w:bCs/>
          <w:sz w:val="24"/>
          <w:szCs w:val="24"/>
        </w:rPr>
        <w:t>5 Evaluation reliability</w:t>
      </w:r>
    </w:p>
    <w:p w14:paraId="67892CC0" w14:textId="77777777" w:rsidR="00524254" w:rsidRDefault="00143AD0" w:rsidP="009960B6">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Time-series evaluation must respect order and dependence</w:t>
      </w:r>
      <w:r>
        <w:rPr>
          <w:rFonts w:ascii="Times New Roman" w:hAnsi="Times New Roman" w:cs="Times New Roman"/>
          <w:sz w:val="24"/>
          <w:szCs w:val="24"/>
        </w:rPr>
        <w:t xml:space="preserve"> </w:t>
      </w:r>
      <w:r w:rsidR="00FF2A0E">
        <w:rPr>
          <w:rFonts w:ascii="Times New Roman" w:hAnsi="Times New Roman" w:cs="Times New Roman"/>
          <w:b/>
          <w:sz w:val="24"/>
          <w:szCs w:val="24"/>
        </w:rPr>
        <w:fldChar w:fldCharType="begin"/>
      </w:r>
      <w:r w:rsidR="00FF2A0E">
        <w:rPr>
          <w:rFonts w:ascii="Times New Roman" w:hAnsi="Times New Roman" w:cs="Times New Roman"/>
          <w:b/>
          <w:sz w:val="24"/>
          <w:szCs w:val="24"/>
        </w:rPr>
        <w:instrText xml:space="preserve"> ADDIN ZOTERO_ITEM CSL_CITATION {"citationID":"w6QwAvfX","properties":{"unsorted":false,"formattedCitation":"(Bergmeir et al., 2018)","plainCitation":"(Bergmeir et al., 2018)","noteIndex":0},"citationItems":[{"id":24,"uris":["http://zotero.org/users/local/DPQnJvcs/items/HFFD8978"],"itemData":{"id":24,"type":"article-journal","container-title":"Computational Statistics &amp; Data Analysis","DOI":"10.1016/j.csda.2017.11.003","page":"70–83","title":"A Note on the Validity of Cross-Validation for Evaluating Autoregressive Time Series Prediction","volume":"120","author":[{"family":"Bergmeir","given":"Christoph"},{"family":"Hyndman","given":"Rob J."},{"family":"Koo","given":"Bonsoo"}],"issued":{"date-parts":[["2018"]]}}}],"schema":"https://github.com/citation-style-language/schema/raw/master/csl-citation.json"} </w:instrText>
      </w:r>
      <w:r w:rsidR="00FF2A0E">
        <w:rPr>
          <w:rFonts w:ascii="Times New Roman" w:hAnsi="Times New Roman" w:cs="Times New Roman"/>
          <w:b/>
          <w:sz w:val="24"/>
          <w:szCs w:val="24"/>
        </w:rPr>
        <w:fldChar w:fldCharType="separate"/>
      </w:r>
      <w:r w:rsidR="00FF2A0E" w:rsidRPr="00FF2A0E">
        <w:rPr>
          <w:rFonts w:ascii="Times New Roman" w:hAnsi="Times New Roman" w:cs="Times New Roman"/>
          <w:sz w:val="24"/>
        </w:rPr>
        <w:t>(Bergmeir et al., 2018)</w:t>
      </w:r>
      <w:r w:rsidR="00FF2A0E">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Financial</w:t>
      </w:r>
      <w:r w:rsidR="00063D26" w:rsidRPr="000829A5">
        <w:rPr>
          <w:rFonts w:ascii="Times New Roman" w:hAnsi="Times New Roman" w:cs="Times New Roman"/>
          <w:sz w:val="24"/>
          <w:szCs w:val="24"/>
        </w:rPr>
        <w:t xml:space="preserve"> machine-learning </w:t>
      </w:r>
      <w:r w:rsidR="00B51DC7" w:rsidRPr="000829A5">
        <w:rPr>
          <w:rFonts w:ascii="Times New Roman" w:hAnsi="Times New Roman" w:cs="Times New Roman"/>
          <w:sz w:val="24"/>
          <w:szCs w:val="24"/>
        </w:rPr>
        <w:t>back tests</w:t>
      </w:r>
      <w:r w:rsidR="00063D26" w:rsidRPr="000829A5">
        <w:rPr>
          <w:rFonts w:ascii="Times New Roman" w:hAnsi="Times New Roman" w:cs="Times New Roman"/>
          <w:sz w:val="24"/>
          <w:szCs w:val="24"/>
        </w:rPr>
        <w:t xml:space="preserve"> additionally require explicit information boundaries, pre-specified choices and separation of development from evaluation</w:t>
      </w:r>
      <w:r w:rsidR="00063D26">
        <w:rPr>
          <w:rFonts w:ascii="Times New Roman" w:hAnsi="Times New Roman" w:cs="Times New Roman"/>
          <w:sz w:val="24"/>
          <w:szCs w:val="24"/>
        </w:rPr>
        <w:t xml:space="preserve"> </w:t>
      </w:r>
      <w:r w:rsidR="00B061D5">
        <w:rPr>
          <w:rFonts w:ascii="Times New Roman" w:hAnsi="Times New Roman" w:cs="Times New Roman"/>
          <w:b/>
          <w:sz w:val="24"/>
          <w:szCs w:val="24"/>
        </w:rPr>
        <w:fldChar w:fldCharType="begin"/>
      </w:r>
      <w:r w:rsidR="00B061D5">
        <w:rPr>
          <w:rFonts w:ascii="Times New Roman" w:hAnsi="Times New Roman" w:cs="Times New Roman"/>
          <w:b/>
          <w:sz w:val="24"/>
          <w:szCs w:val="24"/>
        </w:rPr>
        <w:instrText xml:space="preserve"> ADDIN ZOTERO_ITEM CSL_CITATION {"citationID":"7xQkUQXm","properties":{"unsorted":false,"formattedCitation":"(Arnott et al., 2019; Olorunnimbe &amp; Viktor, 2023)","plainCitation":"(Arnott et al., 2019; Olorunnimbe &amp; Viktor, 2023)","noteIndex":0},"citationItems":[{"id":42,"uris":["http://zotero.org/users/local/DPQnJvcs/items/5GX5ZALM"],"itemData":{"id":42,"type":"article-journal","container-title":"The Journal of Financial Data Science","DOI":"10.3905/jfds.2019.1.064","issue":"1","page":"64–74","title":"A Backtesting Protocol in the Era of Machine Learning","volume":"1","author":[{"family":"Arnott","given":"Robert D."},{"family":"Harvey","given":"Campbell R."},{"family":"Markowitz","given":"Harry"}],"issued":{"date-parts":[["2019"]]}}},{"id":33,"uris":["http://zotero.org/users/local/DPQnJvcs/items/8Z849LRX"],"itemData":{"id":33,"type":"article-journal","container-title":"Artificial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B061D5">
        <w:rPr>
          <w:rFonts w:ascii="Times New Roman" w:hAnsi="Times New Roman" w:cs="Times New Roman"/>
          <w:b/>
          <w:sz w:val="24"/>
          <w:szCs w:val="24"/>
        </w:rPr>
        <w:fldChar w:fldCharType="separate"/>
      </w:r>
      <w:r w:rsidR="00B061D5" w:rsidRPr="00B061D5">
        <w:rPr>
          <w:rFonts w:ascii="Times New Roman" w:hAnsi="Times New Roman" w:cs="Times New Roman"/>
          <w:sz w:val="24"/>
        </w:rPr>
        <w:t xml:space="preserve">(Arnott et al., 2019; Olorunnimbe &amp; </w:t>
      </w:r>
      <w:r w:rsidR="00B061D5" w:rsidRPr="00B061D5">
        <w:rPr>
          <w:rFonts w:ascii="Times New Roman" w:hAnsi="Times New Roman" w:cs="Times New Roman"/>
          <w:sz w:val="24"/>
        </w:rPr>
        <w:lastRenderedPageBreak/>
        <w:t>Viktor, 2023)</w:t>
      </w:r>
      <w:r w:rsidR="00B061D5">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We</w:t>
      </w:r>
      <w:r w:rsidR="00483C69" w:rsidRPr="000829A5">
        <w:rPr>
          <w:rFonts w:ascii="Times New Roman" w:hAnsi="Times New Roman" w:cs="Times New Roman"/>
          <w:sz w:val="24"/>
          <w:szCs w:val="24"/>
        </w:rPr>
        <w:t xml:space="preserve"> use expanding annual folds and a label-observation purge instead of random cross-validation. </w:t>
      </w:r>
      <w:r w:rsidR="00D0143A">
        <w:rPr>
          <w:rFonts w:ascii="Times New Roman" w:hAnsi="Times New Roman" w:cs="Times New Roman"/>
          <w:sz w:val="24"/>
          <w:szCs w:val="24"/>
        </w:rPr>
        <w:t>Balanced accuracy, the mean of class-wise recalls, is</w:t>
      </w:r>
      <w:r w:rsidR="00483C69" w:rsidRPr="000829A5">
        <w:rPr>
          <w:rFonts w:ascii="Times New Roman" w:hAnsi="Times New Roman" w:cs="Times New Roman"/>
          <w:sz w:val="24"/>
          <w:szCs w:val="24"/>
        </w:rPr>
        <w:t xml:space="preserve"> the primary directional metric because raw accuracy can reward a one-sided classifier when Up and Down frequencies differ</w:t>
      </w:r>
      <w:r w:rsidR="00483C69">
        <w:rPr>
          <w:rFonts w:ascii="Times New Roman" w:eastAsia="Times New Roman" w:hAnsi="Times New Roman" w:cs="Times New Roman"/>
          <w:b/>
          <w:sz w:val="24"/>
          <w:szCs w:val="24"/>
        </w:rPr>
        <w:t xml:space="preserve"> </w:t>
      </w:r>
      <w:r w:rsidR="000E0A6C">
        <w:rPr>
          <w:rFonts w:ascii="Times New Roman" w:eastAsia="Times New Roman" w:hAnsi="Times New Roman" w:cs="Times New Roman"/>
          <w:b/>
          <w:sz w:val="24"/>
          <w:szCs w:val="24"/>
        </w:rPr>
        <w:fldChar w:fldCharType="begin"/>
      </w:r>
      <w:r w:rsidR="000E0A6C">
        <w:rPr>
          <w:rFonts w:ascii="Times New Roman" w:eastAsia="Times New Roman" w:hAnsi="Times New Roman" w:cs="Times New Roman"/>
          <w:b/>
          <w:sz w:val="24"/>
          <w:szCs w:val="24"/>
        </w:rPr>
        <w:instrText xml:space="preserve"> ADDIN ZOTERO_ITEM CSL_CITATION {"citationID":"rKs4aVYN","properties":{"unsorted":false,"formattedCitation":"(Brodersen et al., 2010)","plainCitation":"(Brodersen et al., 2010)","noteIndex":0},"citationItems":[{"id":23,"uris":["http://zotero.org/users/local/DPQnJvcs/items/MEQTKLIC"],"itemData":{"id":23,"type":"paper-conference","container-title":"2010 20th International Conference on Pattern Recognition","DOI":"10.1109/ICPR.2010.764","page":"3121–3124","title":"The Balanced Accuracy and Its Posterior Distribution","author":[{"family":"Brodersen","given":"Kay H."},{"family":"Ong","given":"Cheng Soon"},{"family":"Stephan","given":"Klaas E."},{"family":"Buhmann","given":"Joachim M."}],"issued":{"date-parts":[["2010"]]}}}],"schema":"https://github.com/citation-style-language/schema/raw/master/csl-citation.json"} </w:instrText>
      </w:r>
      <w:r w:rsidR="000E0A6C">
        <w:rPr>
          <w:rFonts w:ascii="Times New Roman" w:eastAsia="Times New Roman" w:hAnsi="Times New Roman" w:cs="Times New Roman"/>
          <w:b/>
          <w:sz w:val="24"/>
          <w:szCs w:val="24"/>
        </w:rPr>
        <w:fldChar w:fldCharType="separate"/>
      </w:r>
      <w:r w:rsidR="000E0A6C" w:rsidRPr="000E0A6C">
        <w:rPr>
          <w:rFonts w:ascii="Times New Roman" w:hAnsi="Times New Roman" w:cs="Times New Roman"/>
          <w:sz w:val="24"/>
        </w:rPr>
        <w:t>(Brodersen et al., 2010)</w:t>
      </w:r>
      <w:r w:rsidR="000E0A6C">
        <w:rPr>
          <w:rFonts w:ascii="Times New Roman" w:eastAsia="Times New Roman" w:hAnsi="Times New Roman" w:cs="Times New Roman"/>
          <w:b/>
          <w:sz w:val="24"/>
          <w:szCs w:val="24"/>
        </w:rPr>
        <w:fldChar w:fldCharType="end"/>
      </w:r>
      <w:r w:rsidR="00D0143A" w:rsidRPr="00D0143A">
        <w:rPr>
          <w:rFonts w:ascii="Times New Roman" w:eastAsia="Times New Roman" w:hAnsi="Times New Roman" w:cs="Times New Roman"/>
          <w:sz w:val="24"/>
          <w:szCs w:val="24"/>
        </w:rPr>
        <w:t xml:space="preserve"> Families</w:t>
      </w:r>
      <w:r w:rsidR="00324B8B" w:rsidRPr="000829A5">
        <w:rPr>
          <w:rFonts w:ascii="Times New Roman" w:hAnsi="Times New Roman" w:cs="Times New Roman"/>
          <w:sz w:val="24"/>
          <w:szCs w:val="24"/>
        </w:rPr>
        <w:t xml:space="preserve"> of related comparisons are adjusted by the Holm procedure</w:t>
      </w:r>
      <w:r w:rsidR="00324B8B">
        <w:rPr>
          <w:rFonts w:ascii="Times New Roman" w:hAnsi="Times New Roman" w:cs="Times New Roman"/>
          <w:sz w:val="24"/>
          <w:szCs w:val="24"/>
        </w:rPr>
        <w:t xml:space="preserve"> </w:t>
      </w:r>
      <w:r w:rsidR="00EE13EB">
        <w:rPr>
          <w:rFonts w:ascii="Times New Roman" w:hAnsi="Times New Roman" w:cs="Times New Roman"/>
          <w:b/>
          <w:sz w:val="24"/>
          <w:szCs w:val="24"/>
        </w:rPr>
        <w:fldChar w:fldCharType="begin"/>
      </w:r>
      <w:r w:rsidR="00EE13EB">
        <w:rPr>
          <w:rFonts w:ascii="Times New Roman" w:hAnsi="Times New Roman" w:cs="Times New Roman"/>
          <w:b/>
          <w:sz w:val="24"/>
          <w:szCs w:val="24"/>
        </w:rPr>
        <w:instrText xml:space="preserve"> ADDIN ZOTERO_ITEM CSL_CITATION {"citationID":"br3uhIrR","properties":{"unsorted":false,"formattedCitation":"(Holm, 1979)","plainCitation":"(Holm, 1979)","noteIndex":0},"citationItems":[{"id":25,"uris":["http://zotero.org/users/local/DPQnJvcs/items/YPBXTXIH"],"itemData":{"id":25,"type":"article-journal","container-title":"Scandinavian Journal of Statistics","DOI":"10.2307/4615733","issue":"2","page":"65–70","title":"A Simple Sequentially Rejective Multiple Test Procedure","volume":"6","author":[{"family":"Holm","given":"Sture"}],"issued":{"date-parts":[["1979"]]}}}],"schema":"https://github.com/citation-style-language/schema/raw/master/csl-citation.json"} </w:instrText>
      </w:r>
      <w:r w:rsidR="00EE13EB">
        <w:rPr>
          <w:rFonts w:ascii="Times New Roman" w:hAnsi="Times New Roman" w:cs="Times New Roman"/>
          <w:b/>
          <w:sz w:val="24"/>
          <w:szCs w:val="24"/>
        </w:rPr>
        <w:fldChar w:fldCharType="separate"/>
      </w:r>
      <w:r w:rsidR="00EE13EB" w:rsidRPr="00EE13EB">
        <w:rPr>
          <w:rFonts w:ascii="Times New Roman" w:hAnsi="Times New Roman" w:cs="Times New Roman"/>
          <w:sz w:val="24"/>
        </w:rPr>
        <w:t>(Holm, 1979)</w:t>
      </w:r>
      <w:r w:rsidR="00EE13EB">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Economic</w:t>
      </w:r>
      <w:r w:rsidR="000D08AF" w:rsidRPr="000829A5">
        <w:rPr>
          <w:rFonts w:ascii="Times New Roman" w:hAnsi="Times New Roman" w:cs="Times New Roman"/>
          <w:sz w:val="24"/>
          <w:szCs w:val="24"/>
        </w:rPr>
        <w:t xml:space="preserve"> summaries are explicitly exploratory; the Deflated Sharpe Ratio is retained to reveal selection and short-sample risk rather than to certify deployment</w:t>
      </w:r>
      <w:r w:rsidR="000D08AF">
        <w:rPr>
          <w:rFonts w:ascii="Times New Roman" w:hAnsi="Times New Roman" w:cs="Times New Roman"/>
          <w:sz w:val="24"/>
          <w:szCs w:val="24"/>
        </w:rPr>
        <w:t xml:space="preserve"> </w:t>
      </w:r>
      <w:r w:rsidR="000D08AF" w:rsidRPr="00EE13EB">
        <w:rPr>
          <w:rFonts w:ascii="Times New Roman" w:hAnsi="Times New Roman" w:cs="Times New Roman"/>
          <w:sz w:val="24"/>
          <w:szCs w:val="24"/>
        </w:rPr>
        <w:fldChar w:fldCharType="begin"/>
      </w:r>
      <w:r w:rsidR="000D08AF" w:rsidRPr="00EE13EB">
        <w:rPr>
          <w:rFonts w:ascii="Times New Roman" w:hAnsi="Times New Roman" w:cs="Times New Roman"/>
          <w:sz w:val="24"/>
          <w:szCs w:val="24"/>
        </w:rPr>
        <w:instrText xml:space="preserve"> ADDIN ZOTERO_ITEM CSL_CITATION {"citationID":"vYseuG2Y","properties":{"unsorted":false,"formattedCitation":"(Bailey &amp; L\\uc0\\u243{}pez de Prado, 2014)","plainCitation":"(Bailey &amp; López de Prado, 2014)","noteIndex":0},"citationItems":[{"id":26,"uris":["http://zotero.org/users/local/DPQnJvcs/items/9Q3W9XPN"],"itemData":{"id":26,"type":"article-journal","container-title":"The Journal of Portfolio Management","DOI":"10.3905/jpm.2014.40.5.094","issue":"5","page":"94–107","title":"The Deflated Sharpe Ratio: Correcting for Selection Bias, Backtest Overfitting, and Non-Normality","volume":"40","author":[{"family":"Bailey","given":"David H."},{"family":"López de Prado","given":"Marcos"}],"issued":{"date-parts":[["2014"]]}}}],"schema":"https://github.com/citation-style-language/schema/raw/master/csl-citation.json"} </w:instrText>
      </w:r>
      <w:r w:rsidR="000D08AF" w:rsidRPr="00EE13EB">
        <w:rPr>
          <w:rFonts w:ascii="Times New Roman" w:hAnsi="Times New Roman" w:cs="Times New Roman"/>
          <w:sz w:val="24"/>
          <w:szCs w:val="24"/>
        </w:rPr>
        <w:fldChar w:fldCharType="separate"/>
      </w:r>
      <w:r w:rsidR="000D08AF" w:rsidRPr="00EE13EB">
        <w:rPr>
          <w:rFonts w:ascii="Times New Roman" w:hAnsi="Times New Roman" w:cs="Times New Roman"/>
          <w:sz w:val="24"/>
          <w:szCs w:val="24"/>
        </w:rPr>
        <w:t>(Bailey &amp; López de Prado, 2014)</w:t>
      </w:r>
      <w:r w:rsidR="000D08AF" w:rsidRPr="00EE13EB">
        <w:rPr>
          <w:rFonts w:ascii="Times New Roman" w:hAnsi="Times New Roman" w:cs="Times New Roman"/>
          <w:sz w:val="24"/>
          <w:szCs w:val="24"/>
        </w:rPr>
        <w:fldChar w:fldCharType="end"/>
      </w:r>
    </w:p>
    <w:p w14:paraId="1486B9F0" w14:textId="77777777" w:rsidR="007D771C" w:rsidRDefault="00D0143A" w:rsidP="009960B6">
      <w:pPr>
        <w:keepNext/>
        <w:keepLines/>
        <w:spacing w:before="240" w:line="360" w:lineRule="auto"/>
        <w:rPr>
          <w:rFonts w:ascii="Times New Roman" w:eastAsia="Times New Roman" w:hAnsi="Times New Roman" w:cs="Times New Roman"/>
          <w:b/>
          <w:bCs/>
          <w:sz w:val="24"/>
          <w:szCs w:val="24"/>
        </w:rPr>
      </w:pPr>
      <w:r w:rsidRPr="00D0143A">
        <w:rPr>
          <w:rFonts w:ascii="Times New Roman" w:eastAsia="Times New Roman" w:hAnsi="Times New Roman" w:cs="Times New Roman"/>
          <w:b/>
          <w:sz w:val="24"/>
          <w:szCs w:val="24"/>
        </w:rPr>
        <w:t>3. Materials and Methods</w:t>
      </w:r>
    </w:p>
    <w:p w14:paraId="0F97ED27" w14:textId="77777777"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3.1 Study design, data governance and evidence hierarchy</w:t>
      </w:r>
    </w:p>
    <w:p w14:paraId="5271B726" w14:textId="77777777"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Figure 1 summarizes a five-pillar reliability audit in which point-in-time market-data governance supports numerical denoising, multimodal news, regime-aware explanation and later robustness tests. The numerical stream spans the full historical period; news enters only on dates with defensible out-of-sample sentiment estimates; and causal regime labels and train-only explanation rankings act only on the numerical feature pool. The corrected numerical ablation is the primary architecture-paired experiment. Multimodal negative controls are frozen retrospective falsification tests, the integrated regime-news and explanation analyses are post-hoc robustness evidence, the partial-2026 module is source-contingent forward evidence and SET100 is a frozen same-exchange transfer audit rather than independent-market replication.</w:t>
      </w:r>
    </w:p>
    <w:p w14:paraId="6F8C1FAB" w14:textId="77777777" w:rsidR="00916F49" w:rsidRPr="00916F49" w:rsidRDefault="009A018C" w:rsidP="009960B6">
      <w:pPr>
        <w:keepNext/>
        <w:spacing w:before="120" w:after="60" w:line="240" w:lineRule="auto"/>
        <w:jc w:val="center"/>
        <w:rPr>
          <w:rFonts w:ascii="Times New Roman" w:hAnsi="Times New Roman"/>
          <w:bCs/>
          <w:sz w:val="24"/>
          <w:szCs w:val="24"/>
        </w:rPr>
      </w:pPr>
      <w:r>
        <w:rPr>
          <w:rFonts w:ascii="Times New Roman" w:hAnsi="Times New Roman"/>
          <w:bCs/>
          <w:noProof/>
          <w:sz w:val="24"/>
          <w:szCs w:val="24"/>
        </w:rPr>
        <w:lastRenderedPageBreak/>
        <w:drawing>
          <wp:inline distT="0" distB="0" distL="0" distR="0" wp14:anchorId="39AB9A2E" wp14:editId="46A44D20">
            <wp:extent cx="4728794" cy="3278928"/>
            <wp:effectExtent l="0" t="0" r="0" b="0"/>
            <wp:docPr id="355499331" name="Figure 1" descr="Five-pillar point-in-time reliability-audit pipeline for SET50 forecasting."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35055" cy="3283270"/>
                    </a:xfrm>
                    <a:prstGeom prst="rect">
                      <a:avLst/>
                    </a:prstGeom>
                    <a:noFill/>
                    <a:ln>
                      <a:noFill/>
                    </a:ln>
                  </pic:spPr>
                </pic:pic>
              </a:graphicData>
            </a:graphic>
          </wp:inline>
        </w:drawing>
      </w:r>
    </w:p>
    <w:p w14:paraId="6DA7CE6A" w14:textId="77777777" w:rsidR="00916F49" w:rsidRPr="00916F49" w:rsidRDefault="00916F49" w:rsidP="009960B6">
      <w:pPr>
        <w:keepLines/>
        <w:spacing w:before="60" w:after="180" w:line="240" w:lineRule="auto"/>
        <w:jc w:val="center"/>
        <w:rPr>
          <w:rFonts w:ascii="Times New Roman" w:hAnsi="Times New Roman"/>
          <w:bCs/>
          <w:sz w:val="24"/>
          <w:szCs w:val="24"/>
        </w:rPr>
      </w:pPr>
      <w:r w:rsidRPr="00916F49">
        <w:rPr>
          <w:rFonts w:ascii="Times New Roman" w:hAnsi="Times New Roman"/>
          <w:b/>
          <w:bCs/>
          <w:sz w:val="24"/>
          <w:szCs w:val="24"/>
        </w:rPr>
        <w:t>Figure 1.</w:t>
      </w:r>
      <w:r w:rsidRPr="00916F49">
        <w:rPr>
          <w:rFonts w:ascii="Times New Roman" w:hAnsi="Times New Roman"/>
          <w:bCs/>
          <w:sz w:val="24"/>
          <w:szCs w:val="24"/>
        </w:rPr>
        <w:t xml:space="preserve"> Five-pillar reliability-audit pipeline. Market-data governance and point-in-time reconstruction support the causal VMD, </w:t>
      </w:r>
      <w:r w:rsidR="00880654">
        <w:rPr>
          <w:rFonts w:ascii="Times New Roman" w:hAnsi="Times New Roman"/>
          <w:bCs/>
          <w:sz w:val="24"/>
          <w:szCs w:val="24"/>
        </w:rPr>
        <w:t>out-of-sample Local-NLP forecasting and intrinsic Bull/Bear/Leader evaluation</w:t>
      </w:r>
      <w:r w:rsidRPr="00916F49">
        <w:rPr>
          <w:rFonts w:ascii="Times New Roman" w:hAnsi="Times New Roman"/>
          <w:bCs/>
          <w:sz w:val="24"/>
          <w:szCs w:val="24"/>
        </w:rPr>
        <w:t>, causal Bull/Sideway/Bear routing with train-only SHAP, partial-2026 and frozen SET100 modules. Solid arrows denote data or forecasting flow; evaluation-only links are shown separately.</w:t>
      </w:r>
    </w:p>
    <w:p w14:paraId="59A6BCE8" w14:textId="77777777"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Daily, weekly and monthly SET50 and SET100 price-index observations were manually downloaded from the publicly accessible Investing.com historical-data pages </w:t>
      </w:r>
      <w:r w:rsidR="00EE13EB">
        <w:rPr>
          <w:rFonts w:ascii="Times New Roman" w:hAnsi="Times New Roman"/>
          <w:b/>
          <w:bCs/>
          <w:sz w:val="24"/>
          <w:szCs w:val="24"/>
        </w:rPr>
        <w:fldChar w:fldCharType="begin"/>
      </w:r>
      <w:r w:rsidR="00EE13EB">
        <w:rPr>
          <w:rFonts w:ascii="Times New Roman" w:hAnsi="Times New Roman"/>
          <w:b/>
          <w:bCs/>
          <w:sz w:val="24"/>
          <w:szCs w:val="24"/>
        </w:rPr>
        <w:instrText xml:space="preserve"> ADDIN ZOTERO_ITEM CSL_CITATION {"citationID":"fMXRcjUw","properties":{"unsorted":false,"formattedCitation":"(Investing.com, n.d.-a, n.d.-b)","plainCitation":"(Investing.com, n.d.-a, n.d.-b)","noteIndex":0},"citationItems":[{"id":27,"uris":["http://zotero.org/users/local/DPQnJvcs/items/A35S5ZEG"],"itemData":{"id":27,"type":"document","note":"Published: Historical-data webpage","title":"SET 50 Historical Data","URL":"https://th.investing.com/indices/set-50-historical-data","author":[{"literal":"Investing.com"}]}},{"id":29,"uris":["http://zotero.org/users/local/DPQnJvcs/items/WCWFTBUM"],"itemData":{"id":29,"type":"document","note":"Published: Historical-data webpage","title":"SET 100 Historical Data","URL":"https://www.investing.com/indices/set-100-historical-data","author":[{"literal":"Investing.com"}]}}],"schema":"https://github.com/citation-style-language/schema/raw/master/csl-citation.json"} </w:instrText>
      </w:r>
      <w:r w:rsidR="00EE13EB">
        <w:rPr>
          <w:rFonts w:ascii="Times New Roman" w:hAnsi="Times New Roman"/>
          <w:b/>
          <w:bCs/>
          <w:sz w:val="24"/>
          <w:szCs w:val="24"/>
        </w:rPr>
        <w:fldChar w:fldCharType="separate"/>
      </w:r>
      <w:r w:rsidR="00EE13EB" w:rsidRPr="00EE13EB">
        <w:rPr>
          <w:rFonts w:ascii="Times New Roman" w:hAnsi="Times New Roman" w:cs="Times New Roman"/>
          <w:sz w:val="24"/>
        </w:rPr>
        <w:t>(Investing.com, n.d.-a, n.d.-b)</w:t>
      </w:r>
      <w:r w:rsidR="00EE13EB">
        <w:rPr>
          <w:rFonts w:ascii="Times New Roman" w:hAnsi="Times New Roman"/>
          <w:b/>
          <w:bCs/>
          <w:sz w:val="24"/>
          <w:szCs w:val="24"/>
        </w:rPr>
        <w:fldChar w:fldCharType="end"/>
      </w:r>
      <w:r w:rsidR="00D0143A" w:rsidRPr="00D0143A">
        <w:rPr>
          <w:rFonts w:ascii="Times New Roman" w:hAnsi="Times New Roman"/>
          <w:bCs/>
          <w:sz w:val="24"/>
          <w:szCs w:val="24"/>
        </w:rPr>
        <w:t xml:space="preserve"> The</w:t>
      </w:r>
      <w:r w:rsidRPr="00916F49">
        <w:rPr>
          <w:rFonts w:ascii="Times New Roman" w:hAnsi="Times New Roman"/>
          <w:bCs/>
          <w:sz w:val="24"/>
          <w:szCs w:val="24"/>
        </w:rPr>
        <w:t xml:space="preserve"> provenance manifest records source URLs, acquisition evidence, file sizes, SHA-256 digests, row counts, date ranges and processing method. Public accessibility is not treated as an open-data license, provider terms continue to </w:t>
      </w:r>
      <w:proofErr w:type="gramStart"/>
      <w:r w:rsidRPr="00916F49">
        <w:rPr>
          <w:rFonts w:ascii="Times New Roman" w:hAnsi="Times New Roman"/>
          <w:bCs/>
          <w:sz w:val="24"/>
          <w:szCs w:val="24"/>
        </w:rPr>
        <w:t>apply</w:t>
      </w:r>
      <w:proofErr w:type="gramEnd"/>
      <w:r w:rsidRPr="00916F49">
        <w:rPr>
          <w:rFonts w:ascii="Times New Roman" w:hAnsi="Times New Roman"/>
          <w:bCs/>
          <w:sz w:val="24"/>
          <w:szCs w:val="24"/>
        </w:rPr>
        <w:t xml:space="preserve"> and raw rows are not redistributed. Date-only observations were interpreted as Stock Exchange of Thailand sessions in Asia/Bangkok, with features available at 17:00 after the normal close. Weekly and monthly bars were shifted by one completed period before forward filling. The study uses provider-published price-index levels and applies no researcher-side split, dividend, constituent, or corporate-action adjustment.</w:t>
      </w:r>
    </w:p>
    <w:p w14:paraId="6CA9E89F" w14:textId="77777777"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Forty of 42 raw-file integrity checks passed. Two OHLC-containment warnings on 11 December 2025, present in both daily index files, were retained and disclosed; no critical check failed. The aligned SET100 cohort contained 3,360 of 3,381 required SET50 reference dates (99.3789%); 21 leading dates were excluded rather than backfilled. After the 60-day indicator warm-up, SET50 </w:t>
      </w:r>
      <w:r w:rsidRPr="00916F49">
        <w:rPr>
          <w:rFonts w:ascii="Times New Roman" w:hAnsi="Times New Roman"/>
          <w:bCs/>
          <w:sz w:val="24"/>
          <w:szCs w:val="24"/>
        </w:rPr>
        <w:lastRenderedPageBreak/>
        <w:t>features begin on 3 May 2012. The four outer SET50 tests end on 18 December 2025 and contain 241, 243, 244 and 234 rows for 2022-2025.</w:t>
      </w:r>
    </w:p>
    <w:p w14:paraId="4D4DFB85" w14:textId="77777777"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3.2 News data and out-of-sample sentiment construction</w:t>
      </w:r>
    </w:p>
    <w:p w14:paraId="43B6FC8D" w14:textId="77777777"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The labelled Bilingual </w:t>
      </w:r>
      <w:proofErr w:type="spellStart"/>
      <w:r w:rsidRPr="00916F49">
        <w:rPr>
          <w:rFonts w:ascii="Times New Roman" w:hAnsi="Times New Roman"/>
          <w:bCs/>
          <w:sz w:val="24"/>
          <w:szCs w:val="24"/>
        </w:rPr>
        <w:t>StockTBSA</w:t>
      </w:r>
      <w:proofErr w:type="spellEnd"/>
      <w:r w:rsidRPr="00916F49">
        <w:rPr>
          <w:rFonts w:ascii="Times New Roman" w:hAnsi="Times New Roman"/>
          <w:bCs/>
          <w:sz w:val="24"/>
          <w:szCs w:val="24"/>
        </w:rPr>
        <w:t xml:space="preserve"> snapshot spans 3 January 2018 to 28 December 2023 and contains 10,295 articles, 15,949 article-ticker labels and 12,706 valid positive, neutral, or negative pairs </w:t>
      </w:r>
      <w:r w:rsidR="00FB2C35">
        <w:rPr>
          <w:rFonts w:ascii="Times New Roman" w:hAnsi="Times New Roman"/>
          <w:b/>
          <w:bCs/>
          <w:sz w:val="24"/>
          <w:szCs w:val="24"/>
        </w:rPr>
        <w:fldChar w:fldCharType="begin"/>
      </w:r>
      <w:r w:rsidR="00FB2C35">
        <w:rPr>
          <w:rFonts w:ascii="Times New Roman" w:hAnsi="Times New Roman"/>
          <w:b/>
          <w:bCs/>
          <w:sz w:val="24"/>
          <w:szCs w:val="24"/>
        </w:rPr>
        <w:instrText xml:space="preserve"> ADDIN ZOTERO_ITEM CSL_CITATION {"citationID":"HUhoQqEs","properties":{"unsorted":false,"formattedCitation":"(Uthayopas et al., 2025)","plainCitation":"(Uthayopas et al., 2025)","noteIndex":0},"citationItems":[{"id":12,"uris":["http://zotero.org/users/local/DPQnJvcs/items/L6WAUSSY"],"itemData":{"id":12,"type":"document","note":"Published: Bilingual StockTBSA dataset and repository","title":"Thai-English Target-Based Stock Sentiment Dataset for Financial News with ICL-Based Evaluation","URL":"https://huggingface.co/datasets/airesearch/Bilingual_StockTBSA","author":[{"family":"Uthayopas","given":"Chayapat"},{"family":"Mai-On","given":"Chalermpun"},{"family":"Phatthiyaphaibun","given":"Wannaphong"},{"family":"Buaphet","given":"Weerayut"},{"family":"Sawatphol","given":"Jitkapat"},{"family":"Sae Lim","given":"Sitiporn"},{"family":"Vongkulbhisal","given":"Jayakorn"},{"family":"Vorawathanabuncha","given":"Jasarin"},{"family":"Nutanong","given":"Sarana"},{"family":"Udomcharoenchaikit","given":"Can"}],"issued":{"date-parts":[["2025"]]}}}],"schema":"https://github.com/citation-style-language/schema/raw/master/csl-citation.json"} </w:instrText>
      </w:r>
      <w:r w:rsidR="00FB2C35">
        <w:rPr>
          <w:rFonts w:ascii="Times New Roman" w:hAnsi="Times New Roman"/>
          <w:b/>
          <w:bCs/>
          <w:sz w:val="24"/>
          <w:szCs w:val="24"/>
        </w:rPr>
        <w:fldChar w:fldCharType="separate"/>
      </w:r>
      <w:r w:rsidR="00FB2C35" w:rsidRPr="00FB2C35">
        <w:rPr>
          <w:rFonts w:ascii="Times New Roman" w:hAnsi="Times New Roman" w:cs="Times New Roman"/>
          <w:sz w:val="24"/>
        </w:rPr>
        <w:t>(Uthayopas et al., 2025)</w:t>
      </w:r>
      <w:r w:rsidR="00FB2C35">
        <w:rPr>
          <w:rFonts w:ascii="Times New Roman" w:hAnsi="Times New Roman"/>
          <w:b/>
          <w:bCs/>
          <w:sz w:val="24"/>
          <w:szCs w:val="24"/>
        </w:rPr>
        <w:fldChar w:fldCharType="end"/>
      </w:r>
      <w:r w:rsidR="00D0143A" w:rsidRPr="00D0143A">
        <w:rPr>
          <w:rFonts w:ascii="Times New Roman" w:hAnsi="Times New Roman"/>
          <w:bCs/>
          <w:sz w:val="24"/>
          <w:szCs w:val="24"/>
        </w:rPr>
        <w:t xml:space="preserve"> Exclude</w:t>
      </w:r>
      <w:r w:rsidRPr="00916F49">
        <w:rPr>
          <w:rFonts w:ascii="Times New Roman" w:hAnsi="Times New Roman"/>
          <w:bCs/>
          <w:sz w:val="24"/>
          <w:szCs w:val="24"/>
        </w:rPr>
        <w:t xml:space="preserve">, not-stock and ambiguous labels were not </w:t>
      </w:r>
      <w:r w:rsidR="000B323C" w:rsidRPr="00916F49">
        <w:rPr>
          <w:rFonts w:ascii="Times New Roman" w:hAnsi="Times New Roman"/>
          <w:bCs/>
          <w:sz w:val="24"/>
          <w:szCs w:val="24"/>
        </w:rPr>
        <w:t>relabeled</w:t>
      </w:r>
      <w:r w:rsidRPr="00916F49">
        <w:rPr>
          <w:rFonts w:ascii="Times New Roman" w:hAnsi="Times New Roman"/>
          <w:bCs/>
          <w:sz w:val="24"/>
          <w:szCs w:val="24"/>
        </w:rPr>
        <w:t xml:space="preserve"> as neutral. The locked 2023 intrinsic cohort contains 1,333 pairs from 738 articles: 92 negative, 585 neutral and 656 </w:t>
      </w:r>
      <w:r w:rsidR="000B323C" w:rsidRPr="00916F49">
        <w:rPr>
          <w:rFonts w:ascii="Times New Roman" w:hAnsi="Times New Roman"/>
          <w:bCs/>
          <w:sz w:val="24"/>
          <w:szCs w:val="24"/>
        </w:rPr>
        <w:t>positives</w:t>
      </w:r>
      <w:r w:rsidRPr="00916F49">
        <w:rPr>
          <w:rFonts w:ascii="Times New Roman" w:hAnsi="Times New Roman"/>
          <w:bCs/>
          <w:sz w:val="24"/>
          <w:szCs w:val="24"/>
        </w:rPr>
        <w:t xml:space="preserve">. For 2024-2025, 69,824 deduplicated official SET headlines yielded 4,619 point-in-time article-symbol pairs under six non-overlapping SET50 membership versions, including the March-April 2025 transition. These headlines are </w:t>
      </w:r>
      <w:r w:rsidR="000B323C" w:rsidRPr="00916F49">
        <w:rPr>
          <w:rFonts w:ascii="Times New Roman" w:hAnsi="Times New Roman"/>
          <w:bCs/>
          <w:sz w:val="24"/>
          <w:szCs w:val="24"/>
        </w:rPr>
        <w:t>unlabeled</w:t>
      </w:r>
      <w:r w:rsidRPr="00916F49">
        <w:rPr>
          <w:rFonts w:ascii="Times New Roman" w:hAnsi="Times New Roman"/>
          <w:bCs/>
          <w:sz w:val="24"/>
          <w:szCs w:val="24"/>
        </w:rPr>
        <w:t xml:space="preserve"> and are evaluated only through downstream forecasting. The 2015-2017 corpus lacked comparable ticker and sentiment labels and no defensible free 2012-2014 source was identified; homogeneous news coverage over 2012-2025 is therefore not claimed.</w:t>
      </w:r>
    </w:p>
    <w:p w14:paraId="5E0381E4" w14:textId="77777777"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The operational sentiment model is balanced logistic regression over character TF-IDF features with the target </w:t>
      </w:r>
      <w:proofErr w:type="gramStart"/>
      <w:r w:rsidRPr="00916F49">
        <w:rPr>
          <w:rFonts w:ascii="Times New Roman" w:hAnsi="Times New Roman"/>
          <w:bCs/>
          <w:sz w:val="24"/>
          <w:szCs w:val="24"/>
        </w:rPr>
        <w:t>ticker prepended</w:t>
      </w:r>
      <w:proofErr w:type="gramEnd"/>
      <w:r w:rsidRPr="00916F49">
        <w:rPr>
          <w:rFonts w:ascii="Times New Roman" w:hAnsi="Times New Roman"/>
          <w:bCs/>
          <w:sz w:val="24"/>
          <w:szCs w:val="24"/>
        </w:rPr>
        <w:t xml:space="preserve">. Annual expanding predictions trained on 2018 to predict 2019 and then expanded one year at a time through a 2018-2022 fit predicting 2023. For 2024-2025, the model was fitted once on labelled 2018-2023 data and frozen; pseudo-label retraining and </w:t>
      </w:r>
      <w:proofErr w:type="spellStart"/>
      <w:r w:rsidRPr="00916F49">
        <w:rPr>
          <w:rFonts w:ascii="Times New Roman" w:hAnsi="Times New Roman"/>
          <w:bCs/>
          <w:sz w:val="24"/>
          <w:szCs w:val="24"/>
        </w:rPr>
        <w:t>Optuna</w:t>
      </w:r>
      <w:proofErr w:type="spellEnd"/>
      <w:r w:rsidRPr="00916F49">
        <w:rPr>
          <w:rFonts w:ascii="Times New Roman" w:hAnsi="Times New Roman"/>
          <w:bCs/>
          <w:sz w:val="24"/>
          <w:szCs w:val="24"/>
        </w:rPr>
        <w:t xml:space="preserve"> tuning were not used. Because reliable intraday timestamps were unavailable in the labelled source, each item dated d was assigned conservatively to the first trading session strictly after d. Eight daily variables were constructed: sentiment mean and standard deviation; positive, negative and neutral ratios; article count; ticker-mention count; and news availability. The forecasting cohort begins in 2019, the first year with out-of-sample sentiment predictions.</w:t>
      </w:r>
      <w:r w:rsidR="004A3C24" w:rsidRPr="004A3C24">
        <w:rPr>
          <w:rFonts w:ascii="Times New Roman" w:hAnsi="Times New Roman" w:cs="Times New Roman"/>
          <w:bCs/>
          <w:sz w:val="24"/>
          <w:szCs w:val="24"/>
        </w:rPr>
        <w:t xml:space="preserve"> The complete news-to-session construction is summarized in Figure 2.</w:t>
      </w:r>
    </w:p>
    <w:p w14:paraId="479AEB68" w14:textId="77777777" w:rsidR="009960B6" w:rsidRPr="0034462D" w:rsidRDefault="0034462D" w:rsidP="0034462D">
      <w:pPr>
        <w:spacing w:line="360" w:lineRule="auto"/>
        <w:jc w:val="both"/>
        <w:rPr>
          <w:rFonts w:ascii="Times New Roman" w:hAnsi="Times New Roman" w:cs="Times New Roman"/>
          <w:color w:val="000000"/>
          <w:sz w:val="24"/>
          <w:cs/>
        </w:rPr>
      </w:pPr>
      <w:r w:rsidRPr="0034462D">
        <w:rPr>
          <w:rFonts w:ascii="Times New Roman" w:hAnsi="Times New Roman" w:cs="Times New Roman"/>
          <w:color w:val="000000"/>
          <w:sz w:val="24"/>
        </w:rPr>
        <w:t xml:space="preserve">For each article-ticker pair, the scalar sentiment score and its session-level aggregation are defined in Eq. (1). Here, </w:t>
      </w:r>
      <w:proofErr w:type="spellStart"/>
      <w:r w:rsidRPr="0034462D">
        <w:rPr>
          <w:rFonts w:ascii="Times New Roman" w:hAnsi="Times New Roman" w:cs="Times New Roman"/>
          <w:color w:val="000000"/>
          <w:sz w:val="24"/>
        </w:rPr>
        <w:t>N_t</w:t>
      </w:r>
      <w:proofErr w:type="spellEnd"/>
      <w:r w:rsidRPr="0034462D">
        <w:rPr>
          <w:rFonts w:ascii="Times New Roman" w:hAnsi="Times New Roman" w:cs="Times New Roman"/>
          <w:color w:val="000000"/>
          <w:sz w:val="24"/>
        </w:rPr>
        <w:t xml:space="preserve"> is the set of pairs assigned to session t, </w:t>
      </w:r>
      <w:proofErr w:type="spellStart"/>
      <w:r w:rsidRPr="0034462D">
        <w:rPr>
          <w:rFonts w:ascii="Times New Roman" w:hAnsi="Times New Roman" w:cs="Times New Roman"/>
          <w:color w:val="000000"/>
          <w:sz w:val="24"/>
        </w:rPr>
        <w:t>n_t</w:t>
      </w:r>
      <w:proofErr w:type="spellEnd"/>
      <w:r w:rsidRPr="0034462D">
        <w:rPr>
          <w:rFonts w:ascii="Times New Roman" w:hAnsi="Times New Roman" w:cs="Times New Roman"/>
          <w:color w:val="000000"/>
          <w:sz w:val="24"/>
        </w:rPr>
        <w:t xml:space="preserve"> is its size, and c denotes the positive, neutral, or negative class. Article count, ticker-mention count, and news availability follow directly from </w:t>
      </w:r>
      <w:proofErr w:type="spellStart"/>
      <w:r w:rsidRPr="0034462D">
        <w:rPr>
          <w:rFonts w:ascii="Times New Roman" w:hAnsi="Times New Roman" w:cs="Times New Roman"/>
          <w:color w:val="000000"/>
          <w:sz w:val="24"/>
        </w:rPr>
        <w:t>N_t</w:t>
      </w:r>
      <w:proofErr w:type="spellEnd"/>
      <w:r w:rsidRPr="0034462D">
        <w:rPr>
          <w:rFonts w:ascii="Times New Roman" w:hAnsi="Times New Roman" w:cs="Times New Roman"/>
          <w:color w:val="000000"/>
          <w:sz w:val="24"/>
        </w:rPr>
        <w:t xml:space="preserve">. This signed target-based construction is consistent with the labelled financial-sentiment task used to train the local classifier </w:t>
      </w:r>
      <w:r>
        <w:rPr>
          <w:rFonts w:ascii="Times New Roman" w:hAnsi="Times New Roman"/>
          <w:b/>
          <w:bCs/>
          <w:sz w:val="24"/>
          <w:szCs w:val="24"/>
        </w:rPr>
        <w:fldChar w:fldCharType="begin"/>
      </w:r>
      <w:r>
        <w:rPr>
          <w:rFonts w:ascii="Times New Roman" w:hAnsi="Times New Roman"/>
          <w:b/>
          <w:bCs/>
          <w:sz w:val="24"/>
          <w:szCs w:val="24"/>
        </w:rPr>
        <w:instrText xml:space="preserve"> ADDIN ZOTERO_ITEM CSL_CITATION {"citationID":"412c920a","properties":{"unsorted":false,"formattedCitation":"(Uthayopas et al., 2025)","plainCitation":"(Uthayopas et al., 2025)","noteIndex":0},"citationItems":[{"id":12,"uris":["http://zotero.org/users/local/DPQnJvcs/items/L6WAUSSY"],"itemData":{"id":12,"type":"document","note":"Published: Bilingual StockTBSA dataset and repository","title":"Thai-English Target-Based Stock Sentiment Dataset for Financial News with ICL-Based Evaluation","URL":"https://huggingface.co/datasets/airesearch/Bilingual_StockTBSA","author":[{"family":"Uthayopas","given":"Chayapat"},{"family":"Mai-On","given":"Chalermpun"},{"family":"Phatthiyaphaibun","given":"Wannaphong"},{"family":"Buaphet","given":"Weerayut"},{"family":"Sawatphol","given":"Jitkapat"},{"family":"Sae Lim","given":"Sitiporn"},{"family":"Vongkulbhisal","given":"Jayakorn"},{"family":"Vorawathanabuncha","given":"Jasarin"},{"family":"Nutanong","given":"Sarana"},{"family":"Udomcharoenchaikit","given":"Can"}],"issued":{"date-parts":[["2025"]]}}}],"schema":"https://github.com/citation-style-language/schema/raw/master/csl-citation.json"} </w:instrText>
      </w:r>
      <w:r>
        <w:rPr>
          <w:rFonts w:ascii="Times New Roman" w:hAnsi="Times New Roman"/>
          <w:b/>
          <w:bCs/>
          <w:sz w:val="24"/>
          <w:szCs w:val="24"/>
        </w:rPr>
        <w:fldChar w:fldCharType="separate"/>
      </w:r>
      <w:r w:rsidRPr="0034462D">
        <w:rPr>
          <w:rFonts w:ascii="Times New Roman" w:hAnsi="Times New Roman" w:cs="Times New Roman"/>
          <w:sz w:val="24"/>
        </w:rPr>
        <w:t>(Uthayopas et al., 2025)</w:t>
      </w:r>
      <w:r>
        <w:rPr>
          <w:rFonts w:ascii="Times New Roman" w:hAnsi="Times New Roman"/>
          <w:b/>
          <w:bCs/>
          <w:sz w:val="24"/>
          <w:szCs w:val="24"/>
        </w:rPr>
        <w:fldChar w:fldCharType="end"/>
      </w:r>
      <w:r w:rsidRPr="0034462D">
        <w:rPr>
          <w:rFonts w:ascii="Times New Roman" w:hAnsi="Times New Roman" w:cs="Times New Roman"/>
          <w:color w:val="000000"/>
          <w:sz w:val="24"/>
        </w:rPr>
        <w:t>.</w:t>
      </w:r>
    </w:p>
    <w:p w14:paraId="1D45DDFC" w14:textId="77777777" w:rsidR="009960B6" w:rsidRPr="009960B6" w:rsidRDefault="009960B6" w:rsidP="009960B6">
      <w:pPr>
        <w:keepNext/>
        <w:keepLines/>
        <w:tabs>
          <w:tab w:val="center" w:pos="4680"/>
          <w:tab w:val="right" w:pos="9360"/>
        </w:tabs>
        <w:spacing w:before="80" w:after="80" w:line="240" w:lineRule="auto"/>
        <w:rPr>
          <w:rFonts w:ascii="Times New Roman" w:hAnsi="Times New Roman" w:cs="Times New Roman"/>
          <w:sz w:val="21"/>
          <w:cs/>
        </w:rPr>
      </w:pPr>
      <w:r w:rsidRPr="009960B6">
        <w:rPr>
          <w:rFonts w:ascii="Times New Roman" w:hAnsi="Times New Roman" w:cs="Times New Roman"/>
          <w:sz w:val="21"/>
          <w:cs/>
        </w:rPr>
        <w:lastRenderedPageBreak/>
        <w:tab/>
      </w:r>
      <m:oMath>
        <m:sSub>
          <m:sSubPr>
            <m:ctrlPr>
              <w:rPr>
                <w:rFonts w:ascii="Cambria Math" w:hAnsi="Cambria Math" w:cs="Times New Roman"/>
                <w:i/>
                <w:sz w:val="21"/>
              </w:rPr>
            </m:ctrlPr>
          </m:sSubPr>
          <m:e>
            <m:r>
              <w:rPr>
                <w:rFonts w:ascii="Cambria Math" w:hAnsi="Cambria Math" w:cs="Times New Roman"/>
                <w:sz w:val="21"/>
              </w:rPr>
              <m:t>s</m:t>
            </m:r>
          </m:e>
          <m:sub>
            <m:r>
              <w:rPr>
                <w:rFonts w:ascii="Cambria Math" w:hAnsi="Cambria Math" w:cs="Times New Roman"/>
                <w:sz w:val="21"/>
              </w:rPr>
              <m:t>i</m:t>
            </m:r>
          </m:sub>
        </m:sSub>
        <m:r>
          <w:rPr>
            <w:rFonts w:ascii="Cambria Math" w:hAnsi="Cambria Math" w:cs="Times New Roman"/>
            <w:sz w:val="21"/>
          </w:rPr>
          <m:t>=</m:t>
        </m:r>
        <m:sSubSup>
          <m:sSubSupPr>
            <m:ctrlPr>
              <w:rPr>
                <w:rFonts w:ascii="Cambria Math" w:hAnsi="Cambria Math" w:cs="Times New Roman"/>
                <w:i/>
                <w:sz w:val="21"/>
              </w:rPr>
            </m:ctrlPr>
          </m:sSubSupPr>
          <m:e>
            <m:r>
              <w:rPr>
                <w:rFonts w:ascii="Cambria Math" w:hAnsi="Cambria Math" w:cs="Times New Roman"/>
                <w:sz w:val="21"/>
              </w:rPr>
              <m:t>p</m:t>
            </m:r>
          </m:e>
          <m:sub>
            <m:r>
              <w:rPr>
                <w:rFonts w:ascii="Cambria Math" w:hAnsi="Cambria Math" w:cs="Times New Roman"/>
                <w:sz w:val="21"/>
              </w:rPr>
              <m:t>i</m:t>
            </m:r>
          </m:sub>
          <m:sup>
            <m:r>
              <w:rPr>
                <w:rFonts w:ascii="Cambria Math" w:hAnsi="Cambria Math" w:cs="Times New Roman"/>
                <w:sz w:val="21"/>
              </w:rPr>
              <m:t>+</m:t>
            </m:r>
          </m:sup>
        </m:sSubSup>
        <m:r>
          <w:rPr>
            <w:rFonts w:ascii="Cambria Math" w:hAnsi="Cambria Math" w:cs="Times New Roman"/>
            <w:sz w:val="21"/>
          </w:rPr>
          <m:t>-</m:t>
        </m:r>
        <m:sSubSup>
          <m:sSubSupPr>
            <m:ctrlPr>
              <w:rPr>
                <w:rFonts w:ascii="Cambria Math" w:hAnsi="Cambria Math" w:cs="Times New Roman"/>
                <w:i/>
                <w:sz w:val="21"/>
              </w:rPr>
            </m:ctrlPr>
          </m:sSubSupPr>
          <m:e>
            <m:r>
              <w:rPr>
                <w:rFonts w:ascii="Cambria Math" w:hAnsi="Cambria Math" w:cs="Times New Roman"/>
                <w:sz w:val="21"/>
              </w:rPr>
              <m:t>p</m:t>
            </m:r>
          </m:e>
          <m:sub>
            <m:r>
              <w:rPr>
                <w:rFonts w:ascii="Cambria Math" w:hAnsi="Cambria Math" w:cs="Times New Roman"/>
                <w:sz w:val="21"/>
              </w:rPr>
              <m:t>i</m:t>
            </m:r>
          </m:sub>
          <m:sup>
            <m:r>
              <w:rPr>
                <w:rFonts w:ascii="Cambria Math" w:hAnsi="Cambria Math" w:cs="Times New Roman"/>
                <w:sz w:val="21"/>
              </w:rPr>
              <m:t>-</m:t>
            </m:r>
          </m:sup>
        </m:sSubSup>
        <m:r>
          <w:rPr>
            <w:rFonts w:ascii="Cambria Math" w:hAnsi="Cambria Math" w:cs="Times New Roman"/>
            <w:sz w:val="21"/>
          </w:rPr>
          <m:t xml:space="preserve">, </m:t>
        </m:r>
        <m:sSub>
          <m:sSubPr>
            <m:ctrlPr>
              <w:rPr>
                <w:rFonts w:ascii="Cambria Math" w:hAnsi="Cambria Math" w:cs="Times New Roman"/>
                <w:i/>
                <w:sz w:val="21"/>
              </w:rPr>
            </m:ctrlPr>
          </m:sSubPr>
          <m:e>
            <m:r>
              <w:rPr>
                <w:rFonts w:ascii="Cambria Math" w:hAnsi="Cambria Math" w:cs="Times New Roman"/>
                <w:sz w:val="21"/>
              </w:rPr>
              <m:t>μ</m:t>
            </m:r>
          </m:e>
          <m:sub>
            <m:r>
              <w:rPr>
                <w:rFonts w:ascii="Cambria Math" w:hAnsi="Cambria Math" w:cs="Times New Roman"/>
                <w:sz w:val="21"/>
              </w:rPr>
              <m:t>s,t</m:t>
            </m:r>
          </m:sub>
        </m:sSub>
        <m:r>
          <w:rPr>
            <w:rFonts w:ascii="Cambria Math" w:hAnsi="Cambria Math" w:cs="Times New Roman"/>
            <w:sz w:val="21"/>
          </w:rPr>
          <m:t>=</m:t>
        </m:r>
        <m:f>
          <m:fPr>
            <m:ctrlPr>
              <w:rPr>
                <w:rFonts w:ascii="Cambria Math" w:hAnsi="Cambria Math" w:cs="Times New Roman"/>
                <w:i/>
                <w:sz w:val="21"/>
              </w:rPr>
            </m:ctrlPr>
          </m:fPr>
          <m:num>
            <m:r>
              <w:rPr>
                <w:rFonts w:ascii="Cambria Math" w:hAnsi="Cambria Math" w:cs="Times New Roman"/>
                <w:sz w:val="21"/>
                <w:cs/>
              </w:rPr>
              <m:t>1</m:t>
            </m:r>
          </m:num>
          <m:den>
            <m:sSub>
              <m:sSubPr>
                <m:ctrlPr>
                  <w:rPr>
                    <w:rFonts w:ascii="Cambria Math" w:hAnsi="Cambria Math" w:cs="Times New Roman"/>
                    <w:i/>
                    <w:sz w:val="21"/>
                  </w:rPr>
                </m:ctrlPr>
              </m:sSubPr>
              <m:e>
                <m:r>
                  <w:rPr>
                    <w:rFonts w:ascii="Cambria Math" w:hAnsi="Cambria Math" w:cs="Times New Roman"/>
                    <w:sz w:val="21"/>
                  </w:rPr>
                  <m:t>n</m:t>
                </m:r>
              </m:e>
              <m:sub>
                <m:r>
                  <w:rPr>
                    <w:rFonts w:ascii="Cambria Math" w:hAnsi="Cambria Math" w:cs="Times New Roman"/>
                    <w:sz w:val="21"/>
                  </w:rPr>
                  <m:t>t</m:t>
                </m:r>
              </m:sub>
            </m:sSub>
            <m:nary>
              <m:naryPr>
                <m:chr m:val="∑"/>
                <m:supHide m:val="1"/>
                <m:ctrlPr>
                  <w:rPr>
                    <w:rFonts w:ascii="Cambria Math" w:hAnsi="Cambria Math" w:cs="Times New Roman"/>
                    <w:i/>
                    <w:sz w:val="21"/>
                  </w:rPr>
                </m:ctrlPr>
              </m:naryPr>
              <m:sub>
                <m:d>
                  <m:dPr>
                    <m:ctrlPr>
                      <w:rPr>
                        <w:rFonts w:ascii="Cambria Math" w:hAnsi="Cambria Math" w:cs="Times New Roman"/>
                        <w:i/>
                        <w:sz w:val="21"/>
                      </w:rPr>
                    </m:ctrlPr>
                  </m:dPr>
                  <m:e>
                    <m:r>
                      <w:rPr>
                        <w:rFonts w:ascii="Cambria Math" w:hAnsi="Cambria Math" w:cs="Times New Roman"/>
                        <w:sz w:val="21"/>
                      </w:rPr>
                      <m:t>i</m:t>
                    </m:r>
                    <m:r>
                      <w:rPr>
                        <w:rFonts w:ascii="Cambria Math" w:hAnsi="Cambria Math" w:cs="Times New Roman" w:hint="eastAsia"/>
                        <w:sz w:val="21"/>
                      </w:rPr>
                      <m:t>∈</m:t>
                    </m:r>
                    <m:sSub>
                      <m:sSubPr>
                        <m:ctrlPr>
                          <w:rPr>
                            <w:rFonts w:ascii="Cambria Math" w:hAnsi="Cambria Math" w:cs="Times New Roman"/>
                            <w:i/>
                            <w:sz w:val="21"/>
                          </w:rPr>
                        </m:ctrlPr>
                      </m:sSubPr>
                      <m:e>
                        <m:r>
                          <w:rPr>
                            <w:rFonts w:ascii="Cambria Math" w:hAnsi="Cambria Math" w:cs="Times New Roman"/>
                            <w:sz w:val="21"/>
                          </w:rPr>
                          <m:t>N</m:t>
                        </m:r>
                      </m:e>
                      <m:sub>
                        <m:r>
                          <w:rPr>
                            <w:rFonts w:ascii="Cambria Math" w:hAnsi="Cambria Math" w:cs="Times New Roman"/>
                            <w:sz w:val="21"/>
                          </w:rPr>
                          <m:t>t</m:t>
                        </m:r>
                      </m:sub>
                    </m:sSub>
                  </m:e>
                </m:d>
                <m:sSub>
                  <m:sSubPr>
                    <m:ctrlPr>
                      <w:rPr>
                        <w:rFonts w:ascii="Cambria Math" w:hAnsi="Cambria Math" w:cs="Times New Roman"/>
                        <w:i/>
                        <w:sz w:val="21"/>
                      </w:rPr>
                    </m:ctrlPr>
                  </m:sSubPr>
                  <m:e>
                    <m:r>
                      <w:rPr>
                        <w:rFonts w:ascii="Cambria Math" w:hAnsi="Cambria Math" w:cs="Times New Roman"/>
                        <w:sz w:val="21"/>
                      </w:rPr>
                      <m:t>s</m:t>
                    </m:r>
                  </m:e>
                  <m:sub>
                    <m:r>
                      <w:rPr>
                        <w:rFonts w:ascii="Cambria Math" w:hAnsi="Cambria Math" w:cs="Times New Roman"/>
                        <w:sz w:val="21"/>
                      </w:rPr>
                      <m:t>i</m:t>
                    </m:r>
                  </m:sub>
                </m:sSub>
              </m:sub>
              <m:sup/>
              <m:e/>
            </m:nary>
          </m:den>
        </m:f>
        <m:r>
          <w:rPr>
            <w:rFonts w:ascii="Cambria Math" w:hAnsi="Cambria Math" w:cs="Times New Roman"/>
            <w:sz w:val="21"/>
          </w:rPr>
          <m:t xml:space="preserve">, </m:t>
        </m:r>
        <m:sSub>
          <m:sSubPr>
            <m:ctrlPr>
              <w:rPr>
                <w:rFonts w:ascii="Cambria Math" w:hAnsi="Cambria Math" w:cs="Times New Roman"/>
                <w:i/>
                <w:sz w:val="21"/>
              </w:rPr>
            </m:ctrlPr>
          </m:sSubPr>
          <m:e>
            <m:r>
              <w:rPr>
                <w:rFonts w:ascii="Cambria Math" w:hAnsi="Cambria Math" w:cs="Times New Roman"/>
                <w:sz w:val="21"/>
              </w:rPr>
              <m:t>q</m:t>
            </m:r>
          </m:e>
          <m:sub>
            <m:r>
              <w:rPr>
                <w:rFonts w:ascii="Cambria Math" w:hAnsi="Cambria Math" w:cs="Times New Roman"/>
                <w:sz w:val="21"/>
              </w:rPr>
              <m:t>t,c</m:t>
            </m:r>
          </m:sub>
        </m:sSub>
        <m:r>
          <w:rPr>
            <w:rFonts w:ascii="Cambria Math" w:hAnsi="Cambria Math" w:cs="Times New Roman"/>
            <w:sz w:val="21"/>
          </w:rPr>
          <m:t>=</m:t>
        </m:r>
        <m:f>
          <m:fPr>
            <m:ctrlPr>
              <w:rPr>
                <w:rFonts w:ascii="Cambria Math" w:hAnsi="Cambria Math" w:cs="Times New Roman"/>
                <w:i/>
                <w:sz w:val="21"/>
              </w:rPr>
            </m:ctrlPr>
          </m:fPr>
          <m:num>
            <m:r>
              <w:rPr>
                <w:rFonts w:ascii="Cambria Math" w:hAnsi="Cambria Math" w:cs="Times New Roman"/>
                <w:sz w:val="21"/>
                <w:cs/>
              </w:rPr>
              <m:t>1</m:t>
            </m:r>
          </m:num>
          <m:den>
            <m:sSub>
              <m:sSubPr>
                <m:ctrlPr>
                  <w:rPr>
                    <w:rFonts w:ascii="Cambria Math" w:hAnsi="Cambria Math" w:cs="Times New Roman"/>
                    <w:i/>
                    <w:sz w:val="21"/>
                  </w:rPr>
                </m:ctrlPr>
              </m:sSubPr>
              <m:e>
                <m:r>
                  <w:rPr>
                    <w:rFonts w:ascii="Cambria Math" w:hAnsi="Cambria Math" w:cs="Times New Roman"/>
                    <w:sz w:val="21"/>
                  </w:rPr>
                  <m:t>n</m:t>
                </m:r>
              </m:e>
              <m:sub>
                <m:r>
                  <w:rPr>
                    <w:rFonts w:ascii="Cambria Math" w:hAnsi="Cambria Math" w:cs="Times New Roman"/>
                    <w:sz w:val="21"/>
                  </w:rPr>
                  <m:t>t</m:t>
                </m:r>
              </m:sub>
            </m:sSub>
            <m:nary>
              <m:naryPr>
                <m:chr m:val="∑"/>
                <m:supHide m:val="1"/>
                <m:ctrlPr>
                  <w:rPr>
                    <w:rFonts w:ascii="Cambria Math" w:hAnsi="Cambria Math" w:cs="Times New Roman"/>
                    <w:i/>
                    <w:sz w:val="21"/>
                  </w:rPr>
                </m:ctrlPr>
              </m:naryPr>
              <m:sub>
                <m:d>
                  <m:dPr>
                    <m:ctrlPr>
                      <w:rPr>
                        <w:rFonts w:ascii="Cambria Math" w:hAnsi="Cambria Math" w:cs="Times New Roman"/>
                        <w:i/>
                        <w:sz w:val="21"/>
                      </w:rPr>
                    </m:ctrlPr>
                  </m:dPr>
                  <m:e>
                    <m:r>
                      <w:rPr>
                        <w:rFonts w:ascii="Cambria Math" w:hAnsi="Cambria Math" w:cs="Times New Roman"/>
                        <w:sz w:val="21"/>
                      </w:rPr>
                      <m:t>i</m:t>
                    </m:r>
                    <m:r>
                      <w:rPr>
                        <w:rFonts w:ascii="Cambria Math" w:hAnsi="Cambria Math" w:cs="Times New Roman" w:hint="eastAsia"/>
                        <w:sz w:val="21"/>
                      </w:rPr>
                      <m:t>∈</m:t>
                    </m:r>
                    <m:sSub>
                      <m:sSubPr>
                        <m:ctrlPr>
                          <w:rPr>
                            <w:rFonts w:ascii="Cambria Math" w:hAnsi="Cambria Math" w:cs="Times New Roman"/>
                            <w:i/>
                            <w:sz w:val="21"/>
                          </w:rPr>
                        </m:ctrlPr>
                      </m:sSubPr>
                      <m:e>
                        <m:r>
                          <w:rPr>
                            <w:rFonts w:ascii="Cambria Math" w:hAnsi="Cambria Math" w:cs="Times New Roman"/>
                            <w:sz w:val="21"/>
                          </w:rPr>
                          <m:t>N</m:t>
                        </m:r>
                      </m:e>
                      <m:sub>
                        <m:r>
                          <w:rPr>
                            <w:rFonts w:ascii="Cambria Math" w:hAnsi="Cambria Math" w:cs="Times New Roman"/>
                            <w:sz w:val="21"/>
                          </w:rPr>
                          <m:t>t</m:t>
                        </m:r>
                      </m:sub>
                    </m:sSub>
                  </m:e>
                </m:d>
                <m:r>
                  <w:rPr>
                    <w:rFonts w:ascii="Cambria Math" w:hAnsi="Cambria Math" w:cs="Times New Roman"/>
                    <w:sz w:val="21"/>
                  </w:rPr>
                  <m:t>I</m:t>
                </m:r>
                <m:d>
                  <m:dPr>
                    <m:ctrlPr>
                      <w:rPr>
                        <w:rFonts w:ascii="Cambria Math" w:hAnsi="Cambria Math" w:cs="Times New Roman"/>
                        <w:i/>
                        <w:sz w:val="21"/>
                      </w:rPr>
                    </m:ctrlPr>
                  </m:dPr>
                  <m:e>
                    <m:sSub>
                      <m:sSubPr>
                        <m:ctrlPr>
                          <w:rPr>
                            <w:rFonts w:ascii="Cambria Math" w:hAnsi="Cambria Math" w:cs="Times New Roman"/>
                            <w:i/>
                            <w:sz w:val="21"/>
                          </w:rPr>
                        </m:ctrlPr>
                      </m:sSubPr>
                      <m:e>
                        <m:acc>
                          <m:accPr>
                            <m:ctrlPr>
                              <w:rPr>
                                <w:rFonts w:ascii="Cambria Math" w:hAnsi="Cambria Math" w:cs="Times New Roman"/>
                                <w:i/>
                                <w:sz w:val="21"/>
                              </w:rPr>
                            </m:ctrlPr>
                          </m:accPr>
                          <m:e>
                            <m:r>
                              <w:rPr>
                                <w:rFonts w:ascii="Cambria Math" w:hAnsi="Cambria Math" w:cs="Times New Roman"/>
                                <w:sz w:val="21"/>
                              </w:rPr>
                              <m:t>c</m:t>
                            </m:r>
                          </m:e>
                        </m:acc>
                      </m:e>
                      <m:sub>
                        <m:r>
                          <w:rPr>
                            <w:rFonts w:ascii="Cambria Math" w:hAnsi="Cambria Math" w:cs="Times New Roman"/>
                            <w:sz w:val="21"/>
                          </w:rPr>
                          <m:t>i</m:t>
                        </m:r>
                      </m:sub>
                    </m:sSub>
                    <m:r>
                      <w:rPr>
                        <w:rFonts w:ascii="Cambria Math" w:hAnsi="Cambria Math" w:cs="Times New Roman"/>
                        <w:sz w:val="21"/>
                      </w:rPr>
                      <m:t>=c</m:t>
                    </m:r>
                  </m:e>
                </m:d>
              </m:sub>
              <m:sup/>
              <m:e/>
            </m:nary>
          </m:den>
        </m:f>
      </m:oMath>
      <w:r w:rsidRPr="009960B6">
        <w:rPr>
          <w:rFonts w:ascii="Times New Roman" w:hAnsi="Times New Roman" w:cs="Times New Roman"/>
          <w:sz w:val="21"/>
        </w:rPr>
        <w:tab/>
      </w:r>
      <w:r w:rsidR="0034462D">
        <w:rPr>
          <w:rFonts w:ascii="Times New Roman" w:hAnsi="Times New Roman" w:cs="Times New Roman"/>
          <w:sz w:val="21"/>
        </w:rPr>
        <w:t>(1)</w:t>
      </w:r>
    </w:p>
    <w:p w14:paraId="1C61C0ED" w14:textId="77777777" w:rsidR="004A3C24" w:rsidRPr="0000017E" w:rsidRDefault="0000017E" w:rsidP="009960B6">
      <w:pPr>
        <w:keepNext/>
        <w:spacing w:before="120" w:after="60" w:line="240" w:lineRule="auto"/>
        <w:jc w:val="center"/>
        <w:rPr>
          <w:rFonts w:ascii="Times New Roman" w:hAnsi="Times New Roman" w:cs="Times New Roman"/>
          <w:b/>
          <w:bCs/>
          <w:sz w:val="24"/>
          <w:szCs w:val="24"/>
        </w:rPr>
      </w:pPr>
      <w:r w:rsidRPr="0000017E">
        <w:rPr>
          <w:rFonts w:ascii="Times New Roman" w:hAnsi="Times New Roman" w:cs="Times New Roman"/>
          <w:b/>
          <w:bCs/>
          <w:noProof/>
          <w:sz w:val="24"/>
          <w:szCs w:val="24"/>
        </w:rPr>
        <w:drawing>
          <wp:inline distT="0" distB="0" distL="0" distR="0" wp14:anchorId="0C444ABA" wp14:editId="10A79B02">
            <wp:extent cx="4273498" cy="2548467"/>
            <wp:effectExtent l="0" t="0" r="0" b="4445"/>
            <wp:docPr id="1399279416" name="Figure 2" descr="Point-in-time financial-news normalization, filtering, sentiment prediction and session aggregation."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99747" cy="2564120"/>
                    </a:xfrm>
                    <a:prstGeom prst="rect">
                      <a:avLst/>
                    </a:prstGeom>
                    <a:noFill/>
                    <a:ln>
                      <a:noFill/>
                    </a:ln>
                  </pic:spPr>
                </pic:pic>
              </a:graphicData>
            </a:graphic>
          </wp:inline>
        </w:drawing>
      </w:r>
    </w:p>
    <w:p w14:paraId="6D32F64C" w14:textId="77777777" w:rsidR="004A3C24" w:rsidRPr="004A3C24" w:rsidRDefault="004A3C24" w:rsidP="009960B6">
      <w:pPr>
        <w:keepLines/>
        <w:spacing w:before="60" w:after="180" w:line="240" w:lineRule="auto"/>
        <w:jc w:val="center"/>
        <w:rPr>
          <w:rFonts w:ascii="Times New Roman" w:hAnsi="Times New Roman" w:cs="Times New Roman"/>
          <w:bCs/>
          <w:sz w:val="24"/>
          <w:szCs w:val="24"/>
        </w:rPr>
      </w:pPr>
      <w:r w:rsidRPr="0000017E">
        <w:rPr>
          <w:rFonts w:ascii="Times New Roman" w:hAnsi="Times New Roman" w:cs="Times New Roman"/>
          <w:b/>
          <w:bCs/>
          <w:sz w:val="24"/>
          <w:szCs w:val="24"/>
        </w:rPr>
        <w:t>Figure 2.</w:t>
      </w:r>
      <w:r w:rsidRPr="0000017E">
        <w:rPr>
          <w:rFonts w:ascii="Times New Roman" w:hAnsi="Times New Roman" w:cs="Times New Roman"/>
          <w:bCs/>
          <w:sz w:val="24"/>
          <w:szCs w:val="24"/>
        </w:rPr>
        <w:t xml:space="preserve"> Point-in-time financial-news and sentiment construction. Dated </w:t>
      </w:r>
      <w:proofErr w:type="spellStart"/>
      <w:r w:rsidRPr="0000017E">
        <w:rPr>
          <w:rFonts w:ascii="Times New Roman" w:hAnsi="Times New Roman" w:cs="Times New Roman"/>
          <w:bCs/>
          <w:sz w:val="24"/>
          <w:szCs w:val="24"/>
        </w:rPr>
        <w:t>StockTBSA</w:t>
      </w:r>
      <w:proofErr w:type="spellEnd"/>
      <w:r w:rsidRPr="004A3C24">
        <w:rPr>
          <w:rFonts w:ascii="Times New Roman" w:hAnsi="Times New Roman" w:cs="Times New Roman"/>
          <w:bCs/>
          <w:sz w:val="24"/>
          <w:szCs w:val="24"/>
        </w:rPr>
        <w:t xml:space="preserve"> labels from 2018-2023 and forward news from 2024-2025 are normalized, filtered for SET50 relevance and processed using only previously observed labels. Predicted sentiment is mapped from publication time to the next tradable session before daily aggregation.</w:t>
      </w:r>
    </w:p>
    <w:p w14:paraId="571FB646" w14:textId="77777777"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3.3 Point-in-time contract, temporal splits and frozen windows</w:t>
      </w:r>
    </w:p>
    <w:p w14:paraId="76A06E39" w14:textId="77777777" w:rsidR="00916F49" w:rsidRPr="0034462D" w:rsidRDefault="0034462D" w:rsidP="0034462D">
      <w:pPr>
        <w:spacing w:line="360" w:lineRule="auto"/>
        <w:jc w:val="both"/>
        <w:rPr>
          <w:rFonts w:ascii="Times New Roman" w:hAnsi="Times New Roman" w:cs="Times New Roman"/>
          <w:bCs/>
          <w:color w:val="000000"/>
          <w:sz w:val="24"/>
          <w:szCs w:val="24"/>
        </w:rPr>
      </w:pPr>
      <w:r w:rsidRPr="0034462D">
        <w:rPr>
          <w:rFonts w:ascii="Times New Roman" w:hAnsi="Times New Roman" w:cs="Times New Roman"/>
          <w:bCs/>
          <w:color w:val="000000"/>
          <w:sz w:val="24"/>
          <w:szCs w:val="24"/>
        </w:rPr>
        <w:t xml:space="preserve">For feature date t, market variables use only information available through the close at t. The point-in-time regression target and the realized and predicted directions are defined in Eq. (2), following established next-period financial direction-classification formulations </w:t>
      </w: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ADDIN ZOTERO_ITEM CSL_CITATION {"citationID":"39228123","properties":{"unsorted":false,"formattedCitation":"(Fischer \u0026 Krauss, 2018; Hoseinzade \u0026 Haratizadeh, 2019)","plainCitation":"(Fischer \u0026 Krauss, 2018; Hoseinzade \u0026 Haratizadeh, 2019)","noteIndex":0},"citationItems":[{"id":4,"uris":["http://zotero.org/users/local/DPQnJvcs/items/AGMKWFCU"],"itemData":{"id":4,"type":"article-journal","container-title":"European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id":5,"uris":["http://zotero.org/users/local/DPQnJvcs/items/AY49X3SC"],"itemData":{"id":5,"type":"article-journal","container-title":"Expert Systems with Applications","DOI":"10.1016/j.eswa.2019.03.029","page":"273–285","title":"CNNpred: CNN-Based Stock Market Prediction Using a Diverse Set of Variables","volume":"129","author":[{"family":"Hoseinzade","given":"Ehsan"},{"family":"Haratizadeh","given":"Saman"}],"issued":{"date-parts":[["2019"]]}}}],"schema":"https://github.com/citation-style-language/schema/raw/master/csl-citation.json"} </w:instrText>
      </w:r>
      <w:r>
        <w:rPr>
          <w:rFonts w:ascii="Times New Roman" w:hAnsi="Times New Roman" w:cs="Times New Roman"/>
          <w:b/>
          <w:sz w:val="24"/>
          <w:szCs w:val="24"/>
        </w:rPr>
        <w:fldChar w:fldCharType="separate"/>
      </w:r>
      <w:r w:rsidRPr="0034462D">
        <w:rPr>
          <w:rFonts w:ascii="Times New Roman" w:hAnsi="Times New Roman" w:cs="Times New Roman"/>
          <w:sz w:val="24"/>
        </w:rPr>
        <w:t>(Fischer &amp; Krauss, 2018; Hoseinzade &amp; Haratizadeh, 2019)</w:t>
      </w:r>
      <w:r>
        <w:rPr>
          <w:rFonts w:ascii="Times New Roman" w:hAnsi="Times New Roman" w:cs="Times New Roman"/>
          <w:b/>
          <w:sz w:val="24"/>
          <w:szCs w:val="24"/>
        </w:rPr>
        <w:fldChar w:fldCharType="end"/>
      </w:r>
      <w:r w:rsidRPr="0034462D">
        <w:rPr>
          <w:rFonts w:ascii="Times New Roman" w:hAnsi="Times New Roman" w:cs="Times New Roman"/>
          <w:bCs/>
          <w:color w:val="000000"/>
          <w:sz w:val="24"/>
          <w:szCs w:val="24"/>
        </w:rPr>
        <w:t xml:space="preserve">. Each row records both its feature Date and the next-session </w:t>
      </w:r>
      <w:proofErr w:type="spellStart"/>
      <w:r w:rsidRPr="0034462D">
        <w:rPr>
          <w:rFonts w:ascii="Times New Roman" w:hAnsi="Times New Roman" w:cs="Times New Roman"/>
          <w:bCs/>
          <w:color w:val="000000"/>
          <w:sz w:val="24"/>
          <w:szCs w:val="24"/>
        </w:rPr>
        <w:t>Label_Date</w:t>
      </w:r>
      <w:proofErr w:type="spellEnd"/>
      <w:r w:rsidRPr="0034462D">
        <w:rPr>
          <w:rFonts w:ascii="Times New Roman" w:hAnsi="Times New Roman" w:cs="Times New Roman"/>
          <w:bCs/>
          <w:color w:val="000000"/>
          <w:sz w:val="24"/>
          <w:szCs w:val="24"/>
        </w:rPr>
        <w:t xml:space="preserve"> on which C_(t+1) becomes observable. At every boundary, a supervised training row is retained only when </w:t>
      </w:r>
      <w:proofErr w:type="spellStart"/>
      <w:r w:rsidRPr="0034462D">
        <w:rPr>
          <w:rFonts w:ascii="Times New Roman" w:hAnsi="Times New Roman" w:cs="Times New Roman"/>
          <w:bCs/>
          <w:color w:val="000000"/>
          <w:sz w:val="24"/>
          <w:szCs w:val="24"/>
        </w:rPr>
        <w:t>Label_Date_t</w:t>
      </w:r>
      <w:proofErr w:type="spellEnd"/>
      <w:r w:rsidRPr="0034462D">
        <w:rPr>
          <w:rFonts w:ascii="Times New Roman" w:hAnsi="Times New Roman" w:cs="Times New Roman"/>
          <w:bCs/>
          <w:color w:val="000000"/>
          <w:sz w:val="24"/>
          <w:szCs w:val="24"/>
        </w:rPr>
        <w:t xml:space="preserve"> is earlier than the first Date in the evaluation split. The final pre-evaluation row may supply sequence context, but it is excluded from fitting and scaler estimation, transformed with the training-fitted scaler and never contributes a target. Zero-return observations remain available to price regression but are excluded from binary metrics; a predicted exact-zero move is treated as an abstention and coverage is reported.</w:t>
      </w:r>
    </w:p>
    <w:p w14:paraId="03B175E6" w14:textId="77777777"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21"/>
        </w:rPr>
      </w:pPr>
      <w:r w:rsidRPr="009960B6">
        <w:rPr>
          <w:rFonts w:ascii="Times New Roman" w:hAnsi="Times New Roman" w:cs="Times New Roman"/>
          <w:sz w:val="21"/>
        </w:rPr>
        <w:tab/>
      </w:r>
      <m:oMath>
        <m:sSub>
          <m:sSubPr>
            <m:ctrlPr>
              <w:rPr>
                <w:rFonts w:ascii="Cambria Math" w:hAnsi="Cambria Math" w:cs="Times New Roman"/>
                <w:i/>
                <w:sz w:val="21"/>
              </w:rPr>
            </m:ctrlPr>
          </m:sSubPr>
          <m:e>
            <m:r>
              <w:rPr>
                <w:rFonts w:ascii="Cambria Math" w:hAnsi="Cambria Math" w:cs="Times New Roman"/>
                <w:sz w:val="21"/>
              </w:rPr>
              <m:t>y</m:t>
            </m:r>
          </m:e>
          <m:sub>
            <m:r>
              <w:rPr>
                <w:rFonts w:ascii="Cambria Math" w:hAnsi="Cambria Math" w:cs="Times New Roman"/>
                <w:sz w:val="21"/>
              </w:rPr>
              <m:t>t</m:t>
            </m:r>
          </m:sub>
        </m:sSub>
        <m:r>
          <w:rPr>
            <w:rFonts w:ascii="Cambria Math" w:hAnsi="Cambria Math" w:cs="Times New Roman"/>
            <w:sz w:val="21"/>
          </w:rPr>
          <m:t>=</m:t>
        </m:r>
        <m:sSub>
          <m:sSubPr>
            <m:ctrlPr>
              <w:rPr>
                <w:rFonts w:ascii="Cambria Math" w:hAnsi="Cambria Math" w:cs="Times New Roman"/>
                <w:i/>
                <w:sz w:val="21"/>
              </w:rPr>
            </m:ctrlPr>
          </m:sSubPr>
          <m:e>
            <m:r>
              <w:rPr>
                <w:rFonts w:ascii="Cambria Math" w:hAnsi="Cambria Math" w:cs="Times New Roman"/>
                <w:sz w:val="21"/>
              </w:rPr>
              <m:t>C</m:t>
            </m:r>
          </m:e>
          <m:sub>
            <m:r>
              <w:rPr>
                <w:rFonts w:ascii="Cambria Math" w:hAnsi="Cambria Math" w:cs="Times New Roman"/>
                <w:sz w:val="21"/>
              </w:rPr>
              <m:t>t+1</m:t>
            </m:r>
          </m:sub>
        </m:sSub>
        <m:r>
          <w:rPr>
            <w:rFonts w:ascii="Cambria Math" w:hAnsi="Cambria Math" w:cs="Times New Roman"/>
            <w:sz w:val="21"/>
          </w:rPr>
          <m:t xml:space="preserve">, </m:t>
        </m:r>
        <m:sSub>
          <m:sSubPr>
            <m:ctrlPr>
              <w:rPr>
                <w:rFonts w:ascii="Cambria Math" w:hAnsi="Cambria Math" w:cs="Times New Roman"/>
                <w:i/>
                <w:sz w:val="21"/>
              </w:rPr>
            </m:ctrlPr>
          </m:sSubPr>
          <m:e>
            <m:r>
              <w:rPr>
                <w:rFonts w:ascii="Cambria Math" w:hAnsi="Cambria Math" w:cs="Times New Roman"/>
                <w:sz w:val="21"/>
              </w:rPr>
              <m:t>d</m:t>
            </m:r>
          </m:e>
          <m:sub>
            <m:r>
              <w:rPr>
                <w:rFonts w:ascii="Cambria Math" w:hAnsi="Cambria Math" w:cs="Times New Roman"/>
                <w:sz w:val="21"/>
              </w:rPr>
              <m:t>t</m:t>
            </m:r>
          </m:sub>
        </m:sSub>
        <m:r>
          <w:rPr>
            <w:rFonts w:ascii="Cambria Math" w:hAnsi="Cambria Math" w:cs="Times New Roman"/>
            <w:sz w:val="21"/>
          </w:rPr>
          <m:t>=I</m:t>
        </m:r>
        <m:d>
          <m:dPr>
            <m:ctrlPr>
              <w:rPr>
                <w:rFonts w:ascii="Cambria Math" w:hAnsi="Cambria Math" w:cs="Times New Roman"/>
                <w:i/>
                <w:sz w:val="21"/>
              </w:rPr>
            </m:ctrlPr>
          </m:dPr>
          <m:e>
            <m:sSub>
              <m:sSubPr>
                <m:ctrlPr>
                  <w:rPr>
                    <w:rFonts w:ascii="Cambria Math" w:hAnsi="Cambria Math" w:cs="Times New Roman"/>
                    <w:i/>
                    <w:sz w:val="21"/>
                  </w:rPr>
                </m:ctrlPr>
              </m:sSubPr>
              <m:e>
                <m:r>
                  <w:rPr>
                    <w:rFonts w:ascii="Cambria Math" w:hAnsi="Cambria Math" w:cs="Times New Roman"/>
                    <w:sz w:val="21"/>
                  </w:rPr>
                  <m:t>C</m:t>
                </m:r>
              </m:e>
              <m:sub>
                <m:r>
                  <w:rPr>
                    <w:rFonts w:ascii="Cambria Math" w:hAnsi="Cambria Math" w:cs="Times New Roman"/>
                    <w:sz w:val="21"/>
                  </w:rPr>
                  <m:t>t+1</m:t>
                </m:r>
              </m:sub>
            </m:sSub>
            <m:r>
              <w:rPr>
                <w:rFonts w:ascii="Cambria Math" w:hAnsi="Cambria Math" w:cs="Times New Roman"/>
                <w:sz w:val="21"/>
              </w:rPr>
              <m:t>&gt;</m:t>
            </m:r>
            <m:sSub>
              <m:sSubPr>
                <m:ctrlPr>
                  <w:rPr>
                    <w:rFonts w:ascii="Cambria Math" w:hAnsi="Cambria Math" w:cs="Times New Roman"/>
                    <w:i/>
                    <w:sz w:val="21"/>
                  </w:rPr>
                </m:ctrlPr>
              </m:sSubPr>
              <m:e>
                <m:r>
                  <w:rPr>
                    <w:rFonts w:ascii="Cambria Math" w:hAnsi="Cambria Math" w:cs="Times New Roman"/>
                    <w:sz w:val="21"/>
                  </w:rPr>
                  <m:t>C</m:t>
                </m:r>
              </m:e>
              <m:sub>
                <m:r>
                  <w:rPr>
                    <w:rFonts w:ascii="Cambria Math" w:hAnsi="Cambria Math" w:cs="Times New Roman"/>
                    <w:sz w:val="21"/>
                  </w:rPr>
                  <m:t>t</m:t>
                </m:r>
              </m:sub>
            </m:sSub>
          </m:e>
        </m:d>
        <m:r>
          <w:rPr>
            <w:rFonts w:ascii="Cambria Math" w:hAnsi="Cambria Math" w:cs="Times New Roman"/>
            <w:sz w:val="21"/>
          </w:rPr>
          <m:t xml:space="preserve">, </m:t>
        </m:r>
        <m:sSub>
          <m:sSubPr>
            <m:ctrlPr>
              <w:rPr>
                <w:rFonts w:ascii="Cambria Math" w:hAnsi="Cambria Math" w:cs="Times New Roman"/>
                <w:i/>
                <w:sz w:val="21"/>
              </w:rPr>
            </m:ctrlPr>
          </m:sSubPr>
          <m:e>
            <m:acc>
              <m:accPr>
                <m:ctrlPr>
                  <w:rPr>
                    <w:rFonts w:ascii="Cambria Math" w:hAnsi="Cambria Math" w:cs="Times New Roman"/>
                    <w:i/>
                    <w:sz w:val="21"/>
                  </w:rPr>
                </m:ctrlPr>
              </m:accPr>
              <m:e>
                <m:r>
                  <w:rPr>
                    <w:rFonts w:ascii="Cambria Math" w:hAnsi="Cambria Math" w:cs="Times New Roman"/>
                    <w:sz w:val="21"/>
                  </w:rPr>
                  <m:t>d</m:t>
                </m:r>
              </m:e>
            </m:acc>
          </m:e>
          <m:sub>
            <m:r>
              <w:rPr>
                <w:rFonts w:ascii="Cambria Math" w:hAnsi="Cambria Math" w:cs="Times New Roman"/>
                <w:sz w:val="21"/>
              </w:rPr>
              <m:t>t</m:t>
            </m:r>
          </m:sub>
        </m:sSub>
        <m:r>
          <w:rPr>
            <w:rFonts w:ascii="Cambria Math" w:hAnsi="Cambria Math" w:cs="Times New Roman"/>
            <w:sz w:val="21"/>
          </w:rPr>
          <m:t>=I</m:t>
        </m:r>
        <m:d>
          <m:dPr>
            <m:ctrlPr>
              <w:rPr>
                <w:rFonts w:ascii="Cambria Math" w:hAnsi="Cambria Math" w:cs="Times New Roman"/>
                <w:i/>
                <w:sz w:val="21"/>
              </w:rPr>
            </m:ctrlPr>
          </m:dPr>
          <m:e>
            <m:sSub>
              <m:sSubPr>
                <m:ctrlPr>
                  <w:rPr>
                    <w:rFonts w:ascii="Cambria Math" w:hAnsi="Cambria Math" w:cs="Times New Roman"/>
                    <w:i/>
                    <w:sz w:val="21"/>
                  </w:rPr>
                </m:ctrlPr>
              </m:sSubPr>
              <m:e>
                <m:acc>
                  <m:accPr>
                    <m:ctrlPr>
                      <w:rPr>
                        <w:rFonts w:ascii="Cambria Math" w:hAnsi="Cambria Math" w:cs="Times New Roman"/>
                        <w:i/>
                        <w:sz w:val="21"/>
                      </w:rPr>
                    </m:ctrlPr>
                  </m:accPr>
                  <m:e>
                    <m:r>
                      <w:rPr>
                        <w:rFonts w:ascii="Cambria Math" w:hAnsi="Cambria Math" w:cs="Times New Roman"/>
                        <w:sz w:val="21"/>
                      </w:rPr>
                      <m:t>C</m:t>
                    </m:r>
                  </m:e>
                </m:acc>
              </m:e>
              <m:sub>
                <m:r>
                  <w:rPr>
                    <w:rFonts w:ascii="Cambria Math" w:hAnsi="Cambria Math" w:cs="Times New Roman"/>
                    <w:sz w:val="21"/>
                  </w:rPr>
                  <m:t>t+1</m:t>
                </m:r>
              </m:sub>
            </m:sSub>
            <m:r>
              <w:rPr>
                <w:rFonts w:ascii="Cambria Math" w:hAnsi="Cambria Math" w:cs="Times New Roman"/>
                <w:sz w:val="21"/>
              </w:rPr>
              <m:t>&gt;</m:t>
            </m:r>
            <m:sSub>
              <m:sSubPr>
                <m:ctrlPr>
                  <w:rPr>
                    <w:rFonts w:ascii="Cambria Math" w:hAnsi="Cambria Math" w:cs="Times New Roman"/>
                    <w:i/>
                    <w:sz w:val="21"/>
                  </w:rPr>
                </m:ctrlPr>
              </m:sSubPr>
              <m:e>
                <m:r>
                  <w:rPr>
                    <w:rFonts w:ascii="Cambria Math" w:hAnsi="Cambria Math" w:cs="Times New Roman"/>
                    <w:sz w:val="21"/>
                  </w:rPr>
                  <m:t>C</m:t>
                </m:r>
              </m:e>
              <m:sub>
                <m:r>
                  <w:rPr>
                    <w:rFonts w:ascii="Cambria Math" w:hAnsi="Cambria Math" w:cs="Times New Roman"/>
                    <w:sz w:val="21"/>
                  </w:rPr>
                  <m:t>t</m:t>
                </m:r>
              </m:sub>
            </m:sSub>
          </m:e>
        </m:d>
      </m:oMath>
      <w:r w:rsidRPr="009960B6">
        <w:rPr>
          <w:rFonts w:ascii="Times New Roman" w:hAnsi="Times New Roman" w:cs="Times New Roman"/>
          <w:sz w:val="21"/>
        </w:rPr>
        <w:tab/>
      </w:r>
      <w:r w:rsidR="0034462D">
        <w:rPr>
          <w:rFonts w:ascii="Times New Roman" w:hAnsi="Times New Roman" w:cs="Times New Roman"/>
          <w:sz w:val="21"/>
        </w:rPr>
        <w:t>(2)</w:t>
      </w:r>
    </w:p>
    <w:p w14:paraId="4A04AF54" w14:textId="77777777"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Candidate sequence lengths were 1, 3, 5, 10 and 20 trading days. Expanding validation folds trained on 2012-2017, 2012-2018, 2012-2019 and 2012-2020 and validated on 2018-2021. Selection prioritized balanced accuracy, followed by direction accuracy, RMSE and the shorter-window </w:t>
      </w:r>
      <w:r w:rsidR="006F442C" w:rsidRPr="00916F49">
        <w:rPr>
          <w:rFonts w:ascii="Times New Roman" w:hAnsi="Times New Roman"/>
          <w:bCs/>
          <w:sz w:val="24"/>
          <w:szCs w:val="24"/>
        </w:rPr>
        <w:t>tiebreaker</w:t>
      </w:r>
      <w:r w:rsidRPr="00916F49">
        <w:rPr>
          <w:rFonts w:ascii="Times New Roman" w:hAnsi="Times New Roman"/>
          <w:bCs/>
          <w:sz w:val="24"/>
          <w:szCs w:val="24"/>
        </w:rPr>
        <w:t xml:space="preserve"> and was symmetric across Full-TA and Full-TA+VMD. Frozen windows were </w:t>
      </w:r>
      <w:r w:rsidRPr="00916F49">
        <w:rPr>
          <w:rFonts w:ascii="Times New Roman" w:hAnsi="Times New Roman"/>
          <w:bCs/>
          <w:sz w:val="24"/>
          <w:szCs w:val="24"/>
        </w:rPr>
        <w:lastRenderedPageBreak/>
        <w:t xml:space="preserve">5 days for LSTM, 20 for CNN, 20 for LSTM-CNN, 10 for LSTM-Attention and 20 for LSTM-CNN-Attention. Outer folds trained through 2021, 2022, 2023 and 2024 and tested 2022, 2023, 2024 and 2025 using seeds 42, 123, 456, 789 and 2025. All dates </w:t>
      </w:r>
      <w:proofErr w:type="gramStart"/>
      <w:r w:rsidRPr="00916F49">
        <w:rPr>
          <w:rFonts w:ascii="Times New Roman" w:hAnsi="Times New Roman"/>
          <w:bCs/>
          <w:sz w:val="24"/>
          <w:szCs w:val="24"/>
        </w:rPr>
        <w:t>use</w:t>
      </w:r>
      <w:proofErr w:type="gramEnd"/>
      <w:r w:rsidRPr="00916F49">
        <w:rPr>
          <w:rFonts w:ascii="Times New Roman" w:hAnsi="Times New Roman"/>
          <w:bCs/>
          <w:sz w:val="24"/>
          <w:szCs w:val="24"/>
        </w:rPr>
        <w:t xml:space="preserve"> Asia/Bangkok and the 17:00 information cutoff.</w:t>
      </w:r>
      <w:r w:rsidR="004A3C24" w:rsidRPr="004A3C24">
        <w:rPr>
          <w:rFonts w:ascii="Times New Roman" w:hAnsi="Times New Roman" w:cs="Times New Roman"/>
          <w:bCs/>
          <w:sz w:val="24"/>
          <w:szCs w:val="24"/>
        </w:rPr>
        <w:t xml:space="preserve"> Figure 3 illustrates the point-in-time label boundary and expanding outer folds, while Table 1 summarizes the frozen model windows and common evaluation settings.</w:t>
      </w:r>
    </w:p>
    <w:p w14:paraId="30C6FAE4" w14:textId="77777777" w:rsidR="004A3C24" w:rsidRPr="004A3C24" w:rsidRDefault="0000017E" w:rsidP="009960B6">
      <w:pPr>
        <w:keepNext/>
        <w:spacing w:before="120" w:after="60" w:line="240" w:lineRule="auto"/>
        <w:jc w:val="center"/>
        <w:rPr>
          <w:rFonts w:ascii="Times New Roman" w:hAnsi="Times New Roman" w:cs="Times New Roman"/>
          <w:b/>
          <w:bCs/>
          <w:sz w:val="24"/>
          <w:szCs w:val="24"/>
          <w:highlight w:val="yellow"/>
        </w:rPr>
      </w:pPr>
      <w:r w:rsidRPr="0000017E">
        <w:rPr>
          <w:rFonts w:ascii="Times New Roman" w:hAnsi="Times New Roman" w:cs="Times New Roman"/>
          <w:b/>
          <w:bCs/>
          <w:noProof/>
          <w:sz w:val="24"/>
          <w:szCs w:val="24"/>
        </w:rPr>
        <w:drawing>
          <wp:inline distT="0" distB="0" distL="0" distR="0" wp14:anchorId="6F930E7C" wp14:editId="479A9735">
            <wp:extent cx="4902200" cy="3085260"/>
            <wp:effectExtent l="0" t="0" r="0" b="1270"/>
            <wp:docPr id="1124098807" name="Figure 3" descr="Expanding-window evaluation with purged next-day labels and held-out outer test year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13125" cy="3092136"/>
                    </a:xfrm>
                    <a:prstGeom prst="rect">
                      <a:avLst/>
                    </a:prstGeom>
                    <a:noFill/>
                    <a:ln>
                      <a:noFill/>
                    </a:ln>
                  </pic:spPr>
                </pic:pic>
              </a:graphicData>
            </a:graphic>
          </wp:inline>
        </w:drawing>
      </w:r>
    </w:p>
    <w:p w14:paraId="5C93BA58" w14:textId="77777777" w:rsidR="004A3C24" w:rsidRPr="004A3C24" w:rsidRDefault="004A3C24" w:rsidP="009960B6">
      <w:pPr>
        <w:keepLines/>
        <w:spacing w:before="60" w:after="180" w:line="240" w:lineRule="auto"/>
        <w:jc w:val="center"/>
        <w:rPr>
          <w:rFonts w:ascii="Times New Roman" w:hAnsi="Times New Roman" w:cs="Times New Roman"/>
          <w:bCs/>
          <w:sz w:val="24"/>
          <w:szCs w:val="24"/>
        </w:rPr>
      </w:pPr>
      <w:r w:rsidRPr="004A3C24">
        <w:rPr>
          <w:rFonts w:ascii="Times New Roman" w:hAnsi="Times New Roman" w:cs="Times New Roman"/>
          <w:b/>
          <w:bCs/>
          <w:sz w:val="24"/>
          <w:szCs w:val="24"/>
        </w:rPr>
        <w:t>Figure 3.</w:t>
      </w:r>
      <w:r w:rsidRPr="004A3C24">
        <w:rPr>
          <w:rFonts w:ascii="Times New Roman" w:hAnsi="Times New Roman" w:cs="Times New Roman"/>
          <w:bCs/>
          <w:sz w:val="24"/>
          <w:szCs w:val="24"/>
        </w:rPr>
        <w:t xml:space="preserve"> Point-in-time target contract and </w:t>
      </w:r>
      <w:r w:rsidR="000B41E6" w:rsidRPr="004A3C24">
        <w:rPr>
          <w:rFonts w:ascii="Times New Roman" w:hAnsi="Times New Roman" w:cs="Times New Roman"/>
          <w:bCs/>
          <w:sz w:val="24"/>
          <w:szCs w:val="24"/>
        </w:rPr>
        <w:t>expanding window</w:t>
      </w:r>
      <w:r w:rsidRPr="004A3C24">
        <w:rPr>
          <w:rFonts w:ascii="Times New Roman" w:hAnsi="Times New Roman" w:cs="Times New Roman"/>
          <w:bCs/>
          <w:sz w:val="24"/>
          <w:szCs w:val="24"/>
        </w:rPr>
        <w:t xml:space="preserve"> evaluation. Features known by the close of day </w:t>
      </w:r>
      <w:proofErr w:type="spellStart"/>
      <w:r w:rsidRPr="004A3C24">
        <w:rPr>
          <w:rFonts w:ascii="Times New Roman" w:hAnsi="Times New Roman" w:cs="Times New Roman"/>
          <w:bCs/>
          <w:sz w:val="24"/>
          <w:szCs w:val="24"/>
        </w:rPr>
        <w:t>t</w:t>
      </w:r>
      <w:proofErr w:type="spellEnd"/>
      <w:r w:rsidRPr="004A3C24">
        <w:rPr>
          <w:rFonts w:ascii="Times New Roman" w:hAnsi="Times New Roman" w:cs="Times New Roman"/>
          <w:bCs/>
          <w:sz w:val="24"/>
          <w:szCs w:val="24"/>
        </w:rPr>
        <w:t xml:space="preserve"> predict the direction of day t+1, whose label is observed only after t+1. Training data expand through time, while 2022, 2023, 2024 and 2025 remain separate held-out outer years. All transforms are fitted on training data only.</w:t>
      </w:r>
    </w:p>
    <w:p w14:paraId="2A60A0AE" w14:textId="77777777" w:rsidR="004A3C24" w:rsidRPr="004A3C24" w:rsidRDefault="004A3C24" w:rsidP="009960B6">
      <w:pPr>
        <w:keepNext/>
        <w:keepLines/>
        <w:spacing w:before="180" w:after="80" w:line="240" w:lineRule="auto"/>
        <w:rPr>
          <w:rFonts w:ascii="Times New Roman" w:hAnsi="Times New Roman" w:cs="Times New Roman"/>
          <w:bCs/>
          <w:sz w:val="24"/>
          <w:szCs w:val="24"/>
        </w:rPr>
      </w:pPr>
      <w:r w:rsidRPr="004A3C24">
        <w:rPr>
          <w:rFonts w:ascii="Times New Roman" w:hAnsi="Times New Roman" w:cs="Times New Roman"/>
          <w:b/>
          <w:bCs/>
          <w:sz w:val="24"/>
          <w:szCs w:val="24"/>
        </w:rPr>
        <w:t>Table 1.</w:t>
      </w:r>
      <w:r w:rsidRPr="004A3C24">
        <w:rPr>
          <w:rFonts w:ascii="Times New Roman" w:hAnsi="Times New Roman" w:cs="Times New Roman"/>
          <w:bCs/>
          <w:sz w:val="24"/>
          <w:szCs w:val="24"/>
        </w:rPr>
        <w:t xml:space="preserve"> Frozen architecture windows and common experimental settings. The table reports the registered sequence window for each architecture, five fixed seeds, expanding outer folds, common SET50 cohort and primary evaluation endpoint.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966"/>
        <w:gridCol w:w="655"/>
        <w:gridCol w:w="1030"/>
        <w:gridCol w:w="749"/>
        <w:gridCol w:w="842"/>
        <w:gridCol w:w="1310"/>
        <w:gridCol w:w="1310"/>
        <w:gridCol w:w="1498"/>
      </w:tblGrid>
      <w:tr w:rsidR="000959B0" w14:paraId="7AC41B85" w14:textId="77777777" w:rsidTr="000959B0">
        <w:trPr>
          <w:cantSplit/>
          <w:tblHeader/>
        </w:trPr>
        <w:tc>
          <w:tcPr>
            <w:tcW w:w="1966" w:type="dxa"/>
            <w:shd w:val="clear" w:color="auto" w:fill="E6E6E6"/>
            <w:vAlign w:val="center"/>
          </w:tcPr>
          <w:p w14:paraId="5800FD77" w14:textId="77777777"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Architecture</w:t>
            </w:r>
          </w:p>
        </w:tc>
        <w:tc>
          <w:tcPr>
            <w:tcW w:w="655" w:type="dxa"/>
            <w:shd w:val="clear" w:color="auto" w:fill="E6E6E6"/>
            <w:vAlign w:val="center"/>
          </w:tcPr>
          <w:p w14:paraId="3908984C" w14:textId="77777777"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Window</w:t>
            </w:r>
          </w:p>
        </w:tc>
        <w:tc>
          <w:tcPr>
            <w:tcW w:w="1030" w:type="dxa"/>
            <w:shd w:val="clear" w:color="auto" w:fill="E6E6E6"/>
            <w:vAlign w:val="center"/>
          </w:tcPr>
          <w:p w14:paraId="19C75BD3" w14:textId="77777777"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Test years</w:t>
            </w:r>
          </w:p>
        </w:tc>
        <w:tc>
          <w:tcPr>
            <w:tcW w:w="749" w:type="dxa"/>
            <w:shd w:val="clear" w:color="auto" w:fill="E6E6E6"/>
            <w:vAlign w:val="center"/>
          </w:tcPr>
          <w:p w14:paraId="101A7AAF" w14:textId="77777777"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Outer folds</w:t>
            </w:r>
          </w:p>
        </w:tc>
        <w:tc>
          <w:tcPr>
            <w:tcW w:w="842" w:type="dxa"/>
            <w:shd w:val="clear" w:color="auto" w:fill="E6E6E6"/>
            <w:vAlign w:val="center"/>
          </w:tcPr>
          <w:p w14:paraId="62E1348F" w14:textId="77777777"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Seeds / fold</w:t>
            </w:r>
          </w:p>
        </w:tc>
        <w:tc>
          <w:tcPr>
            <w:tcW w:w="1310" w:type="dxa"/>
            <w:shd w:val="clear" w:color="auto" w:fill="E6E6E6"/>
            <w:vAlign w:val="center"/>
          </w:tcPr>
          <w:p w14:paraId="74AA397F" w14:textId="77777777"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Features Num. / News</w:t>
            </w:r>
          </w:p>
        </w:tc>
        <w:tc>
          <w:tcPr>
            <w:tcW w:w="1310" w:type="dxa"/>
            <w:shd w:val="clear" w:color="auto" w:fill="E6E6E6"/>
            <w:vAlign w:val="center"/>
          </w:tcPr>
          <w:p w14:paraId="416CBE63" w14:textId="77777777"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Primary endpoint</w:t>
            </w:r>
          </w:p>
        </w:tc>
        <w:tc>
          <w:tcPr>
            <w:tcW w:w="1498" w:type="dxa"/>
            <w:shd w:val="clear" w:color="auto" w:fill="E6E6E6"/>
            <w:vAlign w:val="center"/>
          </w:tcPr>
          <w:p w14:paraId="03D0C28C" w14:textId="77777777"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Time zone / cutoff</w:t>
            </w:r>
          </w:p>
        </w:tc>
      </w:tr>
      <w:tr w:rsidR="000959B0" w14:paraId="7F8F982F" w14:textId="77777777" w:rsidTr="000959B0">
        <w:trPr>
          <w:cantSplit/>
        </w:trPr>
        <w:tc>
          <w:tcPr>
            <w:tcW w:w="1966" w:type="dxa"/>
            <w:vAlign w:val="center"/>
          </w:tcPr>
          <w:p w14:paraId="5060B307" w14:textId="77777777" w:rsidR="000959B0" w:rsidRPr="000959B0" w:rsidRDefault="000959B0" w:rsidP="000959B0">
            <w:pPr>
              <w:keepNext/>
              <w:spacing w:after="0" w:line="240" w:lineRule="auto"/>
              <w:rPr>
                <w:rFonts w:ascii="Times New Roman" w:hAnsi="Times New Roman" w:cs="Times New Roman"/>
                <w:bCs/>
                <w:sz w:val="14"/>
                <w:szCs w:val="24"/>
              </w:rPr>
            </w:pPr>
            <w:r w:rsidRPr="000959B0">
              <w:rPr>
                <w:rFonts w:ascii="Times New Roman" w:hAnsi="Times New Roman" w:cs="Times New Roman"/>
                <w:bCs/>
                <w:sz w:val="14"/>
                <w:szCs w:val="24"/>
              </w:rPr>
              <w:t>LSTM</w:t>
            </w:r>
          </w:p>
        </w:tc>
        <w:tc>
          <w:tcPr>
            <w:tcW w:w="655" w:type="dxa"/>
            <w:vAlign w:val="center"/>
          </w:tcPr>
          <w:p w14:paraId="28C0FB2C" w14:textId="77777777"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030" w:type="dxa"/>
            <w:vAlign w:val="center"/>
          </w:tcPr>
          <w:p w14:paraId="0E70827B" w14:textId="77777777"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2022-2025</w:t>
            </w:r>
          </w:p>
        </w:tc>
        <w:tc>
          <w:tcPr>
            <w:tcW w:w="749" w:type="dxa"/>
            <w:vAlign w:val="center"/>
          </w:tcPr>
          <w:p w14:paraId="0D4A64B4" w14:textId="77777777"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4</w:t>
            </w:r>
          </w:p>
        </w:tc>
        <w:tc>
          <w:tcPr>
            <w:tcW w:w="842" w:type="dxa"/>
            <w:vAlign w:val="center"/>
          </w:tcPr>
          <w:p w14:paraId="7A0613D2" w14:textId="77777777"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310" w:type="dxa"/>
            <w:vAlign w:val="center"/>
          </w:tcPr>
          <w:p w14:paraId="5633559A" w14:textId="77777777"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122 / 8</w:t>
            </w:r>
          </w:p>
        </w:tc>
        <w:tc>
          <w:tcPr>
            <w:tcW w:w="1310" w:type="dxa"/>
            <w:vAlign w:val="center"/>
          </w:tcPr>
          <w:p w14:paraId="0A67C798" w14:textId="77777777"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Balanced accuracy</w:t>
            </w:r>
          </w:p>
        </w:tc>
        <w:tc>
          <w:tcPr>
            <w:tcW w:w="1498" w:type="dxa"/>
            <w:vAlign w:val="center"/>
          </w:tcPr>
          <w:p w14:paraId="4A60D31B" w14:textId="77777777"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Asia/Bangkok / 17:00</w:t>
            </w:r>
          </w:p>
        </w:tc>
      </w:tr>
      <w:tr w:rsidR="000959B0" w14:paraId="59F8B929" w14:textId="77777777" w:rsidTr="000959B0">
        <w:trPr>
          <w:cantSplit/>
        </w:trPr>
        <w:tc>
          <w:tcPr>
            <w:tcW w:w="1966" w:type="dxa"/>
            <w:vAlign w:val="center"/>
          </w:tcPr>
          <w:p w14:paraId="42CE3A0F" w14:textId="77777777" w:rsidR="000959B0" w:rsidRPr="000959B0" w:rsidRDefault="000959B0" w:rsidP="000959B0">
            <w:pPr>
              <w:keepNext/>
              <w:spacing w:after="0" w:line="240" w:lineRule="auto"/>
              <w:rPr>
                <w:rFonts w:ascii="Times New Roman" w:hAnsi="Times New Roman" w:cs="Times New Roman"/>
                <w:bCs/>
                <w:sz w:val="14"/>
                <w:szCs w:val="24"/>
              </w:rPr>
            </w:pPr>
            <w:r w:rsidRPr="000959B0">
              <w:rPr>
                <w:rFonts w:ascii="Times New Roman" w:hAnsi="Times New Roman" w:cs="Times New Roman"/>
                <w:bCs/>
                <w:sz w:val="14"/>
                <w:szCs w:val="24"/>
              </w:rPr>
              <w:t>CNN</w:t>
            </w:r>
          </w:p>
        </w:tc>
        <w:tc>
          <w:tcPr>
            <w:tcW w:w="655" w:type="dxa"/>
            <w:vAlign w:val="center"/>
          </w:tcPr>
          <w:p w14:paraId="7C963C5E" w14:textId="77777777"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w:t>
            </w:r>
          </w:p>
        </w:tc>
        <w:tc>
          <w:tcPr>
            <w:tcW w:w="1030" w:type="dxa"/>
            <w:vAlign w:val="center"/>
          </w:tcPr>
          <w:p w14:paraId="2A96EA12" w14:textId="77777777"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2022-2025</w:t>
            </w:r>
          </w:p>
        </w:tc>
        <w:tc>
          <w:tcPr>
            <w:tcW w:w="749" w:type="dxa"/>
            <w:vAlign w:val="center"/>
          </w:tcPr>
          <w:p w14:paraId="7A9E7B31" w14:textId="77777777"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4</w:t>
            </w:r>
          </w:p>
        </w:tc>
        <w:tc>
          <w:tcPr>
            <w:tcW w:w="842" w:type="dxa"/>
            <w:vAlign w:val="center"/>
          </w:tcPr>
          <w:p w14:paraId="2CE91205" w14:textId="77777777"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310" w:type="dxa"/>
            <w:vAlign w:val="center"/>
          </w:tcPr>
          <w:p w14:paraId="0465102E" w14:textId="77777777"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122 / 8</w:t>
            </w:r>
          </w:p>
        </w:tc>
        <w:tc>
          <w:tcPr>
            <w:tcW w:w="1310" w:type="dxa"/>
            <w:vAlign w:val="center"/>
          </w:tcPr>
          <w:p w14:paraId="342A5754" w14:textId="77777777"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Balanced accuracy</w:t>
            </w:r>
          </w:p>
        </w:tc>
        <w:tc>
          <w:tcPr>
            <w:tcW w:w="1498" w:type="dxa"/>
            <w:vAlign w:val="center"/>
          </w:tcPr>
          <w:p w14:paraId="57650835" w14:textId="77777777"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Asia/Bangkok / 17:00</w:t>
            </w:r>
          </w:p>
        </w:tc>
      </w:tr>
      <w:tr w:rsidR="000959B0" w14:paraId="7EC40A1A" w14:textId="77777777" w:rsidTr="000959B0">
        <w:trPr>
          <w:cantSplit/>
        </w:trPr>
        <w:tc>
          <w:tcPr>
            <w:tcW w:w="1966" w:type="dxa"/>
            <w:vAlign w:val="center"/>
          </w:tcPr>
          <w:p w14:paraId="35E446EB" w14:textId="77777777" w:rsidR="000959B0" w:rsidRPr="000959B0" w:rsidRDefault="000959B0" w:rsidP="000959B0">
            <w:pPr>
              <w:keepNext/>
              <w:spacing w:after="0" w:line="240" w:lineRule="auto"/>
              <w:rPr>
                <w:rFonts w:ascii="Times New Roman" w:hAnsi="Times New Roman" w:cs="Times New Roman"/>
                <w:bCs/>
                <w:sz w:val="14"/>
                <w:szCs w:val="24"/>
              </w:rPr>
            </w:pPr>
            <w:r w:rsidRPr="000959B0">
              <w:rPr>
                <w:rFonts w:ascii="Times New Roman" w:hAnsi="Times New Roman" w:cs="Times New Roman"/>
                <w:bCs/>
                <w:sz w:val="14"/>
                <w:szCs w:val="24"/>
              </w:rPr>
              <w:t>LSTM-CNN</w:t>
            </w:r>
          </w:p>
        </w:tc>
        <w:tc>
          <w:tcPr>
            <w:tcW w:w="655" w:type="dxa"/>
            <w:vAlign w:val="center"/>
          </w:tcPr>
          <w:p w14:paraId="118163DD" w14:textId="77777777"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w:t>
            </w:r>
          </w:p>
        </w:tc>
        <w:tc>
          <w:tcPr>
            <w:tcW w:w="1030" w:type="dxa"/>
            <w:vAlign w:val="center"/>
          </w:tcPr>
          <w:p w14:paraId="2BE0DB7F" w14:textId="77777777"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2022-2025</w:t>
            </w:r>
          </w:p>
        </w:tc>
        <w:tc>
          <w:tcPr>
            <w:tcW w:w="749" w:type="dxa"/>
            <w:vAlign w:val="center"/>
          </w:tcPr>
          <w:p w14:paraId="6C51522E" w14:textId="77777777"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4</w:t>
            </w:r>
          </w:p>
        </w:tc>
        <w:tc>
          <w:tcPr>
            <w:tcW w:w="842" w:type="dxa"/>
            <w:vAlign w:val="center"/>
          </w:tcPr>
          <w:p w14:paraId="06CA8DA6" w14:textId="77777777"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310" w:type="dxa"/>
            <w:vAlign w:val="center"/>
          </w:tcPr>
          <w:p w14:paraId="23A8D22D" w14:textId="77777777"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122 / 8</w:t>
            </w:r>
          </w:p>
        </w:tc>
        <w:tc>
          <w:tcPr>
            <w:tcW w:w="1310" w:type="dxa"/>
            <w:vAlign w:val="center"/>
          </w:tcPr>
          <w:p w14:paraId="1E93DD05" w14:textId="77777777"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Balanced accuracy</w:t>
            </w:r>
          </w:p>
        </w:tc>
        <w:tc>
          <w:tcPr>
            <w:tcW w:w="1498" w:type="dxa"/>
            <w:vAlign w:val="center"/>
          </w:tcPr>
          <w:p w14:paraId="2992C609" w14:textId="77777777"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Asia/Bangkok / 17:00</w:t>
            </w:r>
          </w:p>
        </w:tc>
      </w:tr>
      <w:tr w:rsidR="000959B0" w14:paraId="4F389652" w14:textId="77777777" w:rsidTr="000959B0">
        <w:trPr>
          <w:cantSplit/>
        </w:trPr>
        <w:tc>
          <w:tcPr>
            <w:tcW w:w="1966" w:type="dxa"/>
            <w:vAlign w:val="center"/>
          </w:tcPr>
          <w:p w14:paraId="41C4888C" w14:textId="77777777" w:rsidR="000959B0" w:rsidRPr="000959B0" w:rsidRDefault="000959B0" w:rsidP="000959B0">
            <w:pPr>
              <w:keepNext/>
              <w:spacing w:after="0" w:line="240" w:lineRule="auto"/>
              <w:rPr>
                <w:rFonts w:ascii="Times New Roman" w:hAnsi="Times New Roman" w:cs="Times New Roman"/>
                <w:bCs/>
                <w:sz w:val="14"/>
                <w:szCs w:val="24"/>
              </w:rPr>
            </w:pPr>
            <w:r w:rsidRPr="000959B0">
              <w:rPr>
                <w:rFonts w:ascii="Times New Roman" w:hAnsi="Times New Roman" w:cs="Times New Roman"/>
                <w:bCs/>
                <w:sz w:val="14"/>
                <w:szCs w:val="24"/>
              </w:rPr>
              <w:t>LSTM-Attention</w:t>
            </w:r>
          </w:p>
        </w:tc>
        <w:tc>
          <w:tcPr>
            <w:tcW w:w="655" w:type="dxa"/>
            <w:vAlign w:val="center"/>
          </w:tcPr>
          <w:p w14:paraId="2BB73B80" w14:textId="77777777"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10</w:t>
            </w:r>
          </w:p>
        </w:tc>
        <w:tc>
          <w:tcPr>
            <w:tcW w:w="1030" w:type="dxa"/>
            <w:vAlign w:val="center"/>
          </w:tcPr>
          <w:p w14:paraId="2F7272C5" w14:textId="77777777"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2022-2025</w:t>
            </w:r>
          </w:p>
        </w:tc>
        <w:tc>
          <w:tcPr>
            <w:tcW w:w="749" w:type="dxa"/>
            <w:vAlign w:val="center"/>
          </w:tcPr>
          <w:p w14:paraId="54A9BE2A" w14:textId="77777777"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4</w:t>
            </w:r>
          </w:p>
        </w:tc>
        <w:tc>
          <w:tcPr>
            <w:tcW w:w="842" w:type="dxa"/>
            <w:vAlign w:val="center"/>
          </w:tcPr>
          <w:p w14:paraId="0EF13FDB" w14:textId="77777777"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310" w:type="dxa"/>
            <w:vAlign w:val="center"/>
          </w:tcPr>
          <w:p w14:paraId="582B6BEE" w14:textId="77777777"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122 / 8</w:t>
            </w:r>
          </w:p>
        </w:tc>
        <w:tc>
          <w:tcPr>
            <w:tcW w:w="1310" w:type="dxa"/>
            <w:vAlign w:val="center"/>
          </w:tcPr>
          <w:p w14:paraId="14D86C38" w14:textId="77777777"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Balanced accuracy</w:t>
            </w:r>
          </w:p>
        </w:tc>
        <w:tc>
          <w:tcPr>
            <w:tcW w:w="1498" w:type="dxa"/>
            <w:vAlign w:val="center"/>
          </w:tcPr>
          <w:p w14:paraId="4DBC6341" w14:textId="77777777"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Asia/Bangkok / 17:00</w:t>
            </w:r>
          </w:p>
        </w:tc>
      </w:tr>
      <w:tr w:rsidR="000959B0" w14:paraId="7073A13B" w14:textId="77777777" w:rsidTr="000959B0">
        <w:trPr>
          <w:cantSplit/>
        </w:trPr>
        <w:tc>
          <w:tcPr>
            <w:tcW w:w="1966" w:type="dxa"/>
            <w:vAlign w:val="center"/>
          </w:tcPr>
          <w:p w14:paraId="48EB9C3C" w14:textId="77777777" w:rsidR="000959B0" w:rsidRPr="000959B0" w:rsidRDefault="000959B0" w:rsidP="000959B0">
            <w:pPr>
              <w:keepNext/>
              <w:spacing w:after="0" w:line="240" w:lineRule="auto"/>
              <w:rPr>
                <w:rFonts w:ascii="Times New Roman" w:hAnsi="Times New Roman" w:cs="Times New Roman"/>
                <w:bCs/>
                <w:sz w:val="14"/>
                <w:szCs w:val="24"/>
              </w:rPr>
            </w:pPr>
            <w:r w:rsidRPr="000959B0">
              <w:rPr>
                <w:rFonts w:ascii="Times New Roman" w:hAnsi="Times New Roman" w:cs="Times New Roman"/>
                <w:bCs/>
                <w:sz w:val="14"/>
                <w:szCs w:val="24"/>
              </w:rPr>
              <w:t>LSTM-CNN-Attention</w:t>
            </w:r>
          </w:p>
        </w:tc>
        <w:tc>
          <w:tcPr>
            <w:tcW w:w="655" w:type="dxa"/>
            <w:vAlign w:val="center"/>
          </w:tcPr>
          <w:p w14:paraId="11D5787A" w14:textId="77777777"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w:t>
            </w:r>
          </w:p>
        </w:tc>
        <w:tc>
          <w:tcPr>
            <w:tcW w:w="1030" w:type="dxa"/>
            <w:vAlign w:val="center"/>
          </w:tcPr>
          <w:p w14:paraId="457B8928" w14:textId="77777777"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2022-2025</w:t>
            </w:r>
          </w:p>
        </w:tc>
        <w:tc>
          <w:tcPr>
            <w:tcW w:w="749" w:type="dxa"/>
            <w:vAlign w:val="center"/>
          </w:tcPr>
          <w:p w14:paraId="2F499D26" w14:textId="77777777"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4</w:t>
            </w:r>
          </w:p>
        </w:tc>
        <w:tc>
          <w:tcPr>
            <w:tcW w:w="842" w:type="dxa"/>
            <w:vAlign w:val="center"/>
          </w:tcPr>
          <w:p w14:paraId="361E7793" w14:textId="77777777"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310" w:type="dxa"/>
            <w:vAlign w:val="center"/>
          </w:tcPr>
          <w:p w14:paraId="49DE01CB" w14:textId="77777777"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122 / 8</w:t>
            </w:r>
          </w:p>
        </w:tc>
        <w:tc>
          <w:tcPr>
            <w:tcW w:w="1310" w:type="dxa"/>
            <w:vAlign w:val="center"/>
          </w:tcPr>
          <w:p w14:paraId="64F795D8" w14:textId="77777777"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Balanced accuracy</w:t>
            </w:r>
          </w:p>
        </w:tc>
        <w:tc>
          <w:tcPr>
            <w:tcW w:w="1498" w:type="dxa"/>
            <w:vAlign w:val="center"/>
          </w:tcPr>
          <w:p w14:paraId="093C7C27" w14:textId="77777777"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Asia/Bangkok / 17:00</w:t>
            </w:r>
          </w:p>
        </w:tc>
      </w:tr>
    </w:tbl>
    <w:p w14:paraId="1EFD5610" w14:textId="77777777"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3.4 Numerical features and causal VMD</w:t>
      </w:r>
    </w:p>
    <w:p w14:paraId="77DB6094" w14:textId="77777777"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The Full-TA control contains 116 variables constructed from daily and previously completed weekly/monthly OHLCV information: price and volume lags; 1-, 3-, 5-, 10-, 20- and 60-day </w:t>
      </w:r>
      <w:r w:rsidRPr="00916F49">
        <w:rPr>
          <w:rFonts w:ascii="Times New Roman" w:hAnsi="Times New Roman"/>
          <w:bCs/>
          <w:sz w:val="24"/>
          <w:szCs w:val="24"/>
        </w:rPr>
        <w:lastRenderedPageBreak/>
        <w:t>returns; moving averages; volatility, momentum, rate-of-change, candlestick, cross-timeframe and volume-ratio features; direction lags; and Stochastic, RSI, MACD, Williams %R, CCI, ADX and directional indicators.</w:t>
      </w:r>
    </w:p>
    <w:p w14:paraId="3614F385" w14:textId="77777777"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Causal rolling VMD adds six variables. At each t, only the 60 closes from t-59 through t are decomposed using five modes, alpha = 1000, dual-ascent step tau = 0, a DC mode, tolerance 10^-7 and at most 500 iterations. The mode with the highest final </w:t>
      </w:r>
      <w:proofErr w:type="spellStart"/>
      <w:r w:rsidRPr="00916F49">
        <w:rPr>
          <w:rFonts w:ascii="Times New Roman" w:hAnsi="Times New Roman"/>
          <w:bCs/>
          <w:sz w:val="24"/>
          <w:szCs w:val="24"/>
        </w:rPr>
        <w:t>centre</w:t>
      </w:r>
      <w:proofErr w:type="spellEnd"/>
      <w:r w:rsidRPr="00916F49">
        <w:rPr>
          <w:rFonts w:ascii="Times New Roman" w:hAnsi="Times New Roman"/>
          <w:bCs/>
          <w:sz w:val="24"/>
          <w:szCs w:val="24"/>
        </w:rPr>
        <w:t xml:space="preserve"> frequency is treated as noise. Four retained intrinsic mode functions, the denoised close and removed-mode energy ratio produce 122 numerical inputs. VMD is tested as a causal auxiliary representation rather than assumed to improve direction.</w:t>
      </w:r>
    </w:p>
    <w:p w14:paraId="5CCF0291" w14:textId="77777777" w:rsidR="009960B6" w:rsidRPr="0034462D" w:rsidRDefault="0034462D" w:rsidP="0034462D">
      <w:pPr>
        <w:spacing w:line="360" w:lineRule="auto"/>
        <w:jc w:val="both"/>
        <w:rPr>
          <w:rFonts w:ascii="Times New Roman" w:hAnsi="Times New Roman" w:cs="Times New Roman"/>
          <w:color w:val="000000"/>
          <w:sz w:val="24"/>
        </w:rPr>
      </w:pPr>
      <w:r w:rsidRPr="0034462D">
        <w:rPr>
          <w:rFonts w:ascii="Times New Roman" w:hAnsi="Times New Roman" w:cs="Times New Roman"/>
          <w:color w:val="000000"/>
          <w:sz w:val="24"/>
        </w:rPr>
        <w:t>Equations (3)-(5) formalize the trailing decomposition window, highest-frequency noise-mode rule, denoised close, and removed-mode energy ratio. The quantities u_(</w:t>
      </w:r>
      <w:proofErr w:type="spellStart"/>
      <w:proofErr w:type="gramStart"/>
      <w:r w:rsidRPr="0034462D">
        <w:rPr>
          <w:rFonts w:ascii="Times New Roman" w:hAnsi="Times New Roman" w:cs="Times New Roman"/>
          <w:color w:val="000000"/>
          <w:sz w:val="24"/>
        </w:rPr>
        <w:t>k,t</w:t>
      </w:r>
      <w:proofErr w:type="spellEnd"/>
      <w:proofErr w:type="gramEnd"/>
      <w:r w:rsidRPr="0034462D">
        <w:rPr>
          <w:rFonts w:ascii="Times New Roman" w:hAnsi="Times New Roman" w:cs="Times New Roman"/>
          <w:color w:val="000000"/>
          <w:sz w:val="24"/>
        </w:rPr>
        <w:t>) and omega_(</w:t>
      </w:r>
      <w:proofErr w:type="spellStart"/>
      <w:proofErr w:type="gramStart"/>
      <w:r w:rsidRPr="0034462D">
        <w:rPr>
          <w:rFonts w:ascii="Times New Roman" w:hAnsi="Times New Roman" w:cs="Times New Roman"/>
          <w:color w:val="000000"/>
          <w:sz w:val="24"/>
        </w:rPr>
        <w:t>k,t</w:t>
      </w:r>
      <w:proofErr w:type="spellEnd"/>
      <w:proofErr w:type="gramEnd"/>
      <w:r w:rsidRPr="0034462D">
        <w:rPr>
          <w:rFonts w:ascii="Times New Roman" w:hAnsi="Times New Roman" w:cs="Times New Roman"/>
          <w:color w:val="000000"/>
          <w:sz w:val="24"/>
        </w:rPr>
        <w:t xml:space="preserve">) denote mode k estimated at date t and its final </w:t>
      </w:r>
      <w:proofErr w:type="spellStart"/>
      <w:r w:rsidRPr="0034462D">
        <w:rPr>
          <w:rFonts w:ascii="Times New Roman" w:hAnsi="Times New Roman" w:cs="Times New Roman"/>
          <w:color w:val="000000"/>
          <w:sz w:val="24"/>
        </w:rPr>
        <w:t>centre</w:t>
      </w:r>
      <w:proofErr w:type="spellEnd"/>
      <w:r w:rsidRPr="0034462D">
        <w:rPr>
          <w:rFonts w:ascii="Times New Roman" w:hAnsi="Times New Roman" w:cs="Times New Roman"/>
          <w:color w:val="000000"/>
          <w:sz w:val="24"/>
        </w:rPr>
        <w:t xml:space="preserve"> frequency, respectively. The decomposition follows the VMD formulation, while the trailing-window implementation follows the leakage-avoiding window principle used in causal financial VMD forecasting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{"citationID":"38987fd8","properties":{"unsorted":false,"formattedCitation":"(Dragomiretskiy \u0026 Zosso, 2014; T. Liu et al., 2022)","plainCitation":"(Dragomiretskiy \u0026 Zosso, 2014; T. Liu et al., 2022)","noteIndex":0},"citationItems":[{"id":8,"uris":["http://zotero.org/users/local/DPQnJvcs/items/B5YAFXST"],"itemData":{"id":8,"type":"article-journal","container-title":"IEEE Transactions on Signal Processing","DOI":"10.1109/TSP.2013.2288675","issue":"3","page":"531–544","title":"Variational Mode Decomposition","volume":"62","author":[{"family":"Dragomiretskiy","given":"Konstantin"},{"family":"Zosso","given":"Dominique"}],"issued":{"date-parts":[["2014"]]}}},{"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schema":"https://github.com/citation-style-language/schema/raw/master/csl-citation.json"} </w:instrText>
      </w:r>
      <w:r>
        <w:rPr>
          <w:rFonts w:ascii="Times New Roman" w:eastAsia="Times New Roman" w:hAnsi="Times New Roman" w:cs="Times New Roman"/>
          <w:b/>
          <w:sz w:val="24"/>
          <w:szCs w:val="24"/>
        </w:rPr>
        <w:fldChar w:fldCharType="separate"/>
      </w:r>
      <w:r w:rsidRPr="0034462D">
        <w:rPr>
          <w:rFonts w:ascii="Times New Roman" w:hAnsi="Times New Roman" w:cs="Times New Roman"/>
          <w:sz w:val="24"/>
        </w:rPr>
        <w:t>(Dragomiretskiy &amp; Zosso, 2014; T. Liu et al., 2022)</w:t>
      </w:r>
      <w:r>
        <w:rPr>
          <w:rFonts w:ascii="Times New Roman" w:eastAsia="Times New Roman" w:hAnsi="Times New Roman" w:cs="Times New Roman"/>
          <w:b/>
          <w:sz w:val="24"/>
          <w:szCs w:val="24"/>
        </w:rPr>
        <w:fldChar w:fldCharType="end"/>
      </w:r>
      <w:r w:rsidRPr="0034462D">
        <w:rPr>
          <w:rFonts w:ascii="Times New Roman" w:hAnsi="Times New Roman" w:cs="Times New Roman"/>
          <w:color w:val="000000"/>
          <w:sz w:val="24"/>
        </w:rPr>
        <w:t>.</w:t>
      </w:r>
    </w:p>
    <w:p w14:paraId="0CA258EF" w14:textId="77777777" w:rsidR="009960B6" w:rsidRPr="009960B6" w:rsidRDefault="009960B6" w:rsidP="009960B6">
      <w:pPr>
        <w:keepLines/>
        <w:tabs>
          <w:tab w:val="center" w:pos="4680"/>
          <w:tab w:val="right" w:pos="9360"/>
        </w:tabs>
        <w:spacing w:before="80" w:after="80" w:line="240" w:lineRule="auto"/>
        <w:rPr>
          <w:rFonts w:ascii="Times New Roman" w:hAnsi="Times New Roman" w:cs="Times New Roman"/>
        </w:rPr>
      </w:pPr>
      <w:r w:rsidRPr="009960B6">
        <w:rPr>
          <w:rFonts w:ascii="Times New Roman" w:hAnsi="Times New Roman" w:cs="Times New Roman"/>
        </w:rPr>
        <w:tab/>
      </w:r>
      <m:oMath>
        <m:sSubSup>
          <m:sSubSupPr>
            <m:ctrlPr>
              <w:rPr>
                <w:rFonts w:ascii="Cambria Math" w:hAnsi="Cambria Math" w:cs="Times New Roman"/>
                <w:i/>
              </w:rPr>
            </m:ctrlPr>
          </m:sSub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k,t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k,t</m:t>
                    </m:r>
                  </m:sub>
                </m:sSub>
              </m:e>
            </m:d>
          </m:e>
          <m:sub>
            <m:r>
              <w:rPr>
                <w:rFonts w:ascii="Cambria Math" w:hAnsi="Cambria Math" w:cs="Times New Roman"/>
              </w:rPr>
              <m:t>k=1</m:t>
            </m:r>
          </m:sub>
          <m:sup>
            <m:r>
              <w:rPr>
                <w:rFonts w:ascii="Cambria Math" w:hAnsi="Cambria Math" w:cs="Times New Roman"/>
              </w:rPr>
              <m:t>5</m:t>
            </m:r>
          </m:sup>
        </m:sSubSup>
        <m:r>
          <w:rPr>
            <w:rFonts w:ascii="Cambria Math" w:hAnsi="Cambria Math" w:cs="Times New Roman"/>
          </w:rPr>
          <m:t>=VMD</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t-59</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e>
        </m:d>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k</m:t>
            </m:r>
          </m:e>
          <m:sub>
            <m:r>
              <w:rPr>
                <w:rFonts w:ascii="Cambria Math" w:hAnsi="Cambria Math" w:cs="Times New Roman"/>
              </w:rPr>
              <m:t>t</m:t>
            </m:r>
          </m:sub>
          <m:sup>
            <m:r>
              <w:rPr>
                <w:rFonts w:ascii="Cambria Math" w:hAnsi="Cambria Math" w:cs="Times New Roman"/>
              </w:rPr>
              <m:t>*</m:t>
            </m:r>
          </m:sup>
        </m:sSubSup>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arg</m:t>
            </m:r>
            <m:ctrlPr>
              <w:rPr>
                <w:rFonts w:ascii="Cambria Math" w:hAnsi="Cambria Math" w:cs="Times New Roman"/>
                <w:i/>
              </w:rPr>
            </m:ctrlPr>
          </m:fName>
          <m:e>
            <m:func>
              <m:funcPr>
                <m:ctrlPr>
                  <w:rPr>
                    <w:rFonts w:ascii="Cambria Math" w:hAnsi="Cambria Math" w:cs="Times New Roman"/>
                  </w:rPr>
                </m:ctrlPr>
              </m:funcPr>
              <m:fName>
                <m:limLow>
                  <m:limLowPr>
                    <m:ctrlPr>
                      <w:rPr>
                        <w:rFonts w:ascii="Cambria Math" w:hAnsi="Cambria Math" w:cs="Times New Roman"/>
                        <w:i/>
                      </w:rPr>
                    </m:ctrlPr>
                  </m:limLowPr>
                  <m:e>
                    <m:r>
                      <m:rPr>
                        <m:sty m:val="p"/>
                      </m:rPr>
                      <w:rPr>
                        <w:rFonts w:ascii="Cambria Math" w:hAnsi="Cambria Math" w:cs="Times New Roman"/>
                      </w:rPr>
                      <m:t>max</m:t>
                    </m:r>
                    <m:ctrlPr>
                      <w:rPr>
                        <w:rFonts w:ascii="Cambria Math" w:hAnsi="Cambria Math" w:cs="Times New Roman"/>
                      </w:rPr>
                    </m:ctrlPr>
                  </m:e>
                  <m:lim>
                    <m:r>
                      <w:rPr>
                        <w:rFonts w:ascii="Cambria Math" w:hAnsi="Cambria Math" w:cs="Times New Roman"/>
                      </w:rPr>
                      <m:t>k</m:t>
                    </m:r>
                    <m:ctrlPr>
                      <w:rPr>
                        <w:rFonts w:ascii="Cambria Math" w:hAnsi="Cambria Math" w:cs="Times New Roman"/>
                      </w:rPr>
                    </m:ctrlPr>
                  </m:lim>
                </m:limLow>
              </m:fName>
              <m:e>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k,t</m:t>
                    </m:r>
                  </m:sub>
                </m:sSub>
                <m:ctrlPr>
                  <w:rPr>
                    <w:rFonts w:ascii="Cambria Math" w:hAnsi="Cambria Math" w:cs="Times New Roman"/>
                    <w:i/>
                  </w:rPr>
                </m:ctrlPr>
              </m:e>
            </m:func>
          </m:e>
        </m:func>
      </m:oMath>
      <w:r w:rsidRPr="009960B6">
        <w:rPr>
          <w:rFonts w:ascii="Times New Roman" w:hAnsi="Times New Roman" w:cs="Times New Roman"/>
        </w:rPr>
        <w:tab/>
      </w:r>
      <w:r w:rsidR="0034462D">
        <w:rPr>
          <w:rFonts w:ascii="Times New Roman" w:hAnsi="Times New Roman" w:cs="Times New Roman"/>
        </w:rPr>
        <w:t>(3)</w:t>
      </w:r>
    </w:p>
    <w:p w14:paraId="4B3A7DA6" w14:textId="77777777"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21"/>
        </w:rPr>
      </w:pPr>
      <w:r w:rsidRPr="009960B6">
        <w:rPr>
          <w:rFonts w:ascii="Times New Roman" w:hAnsi="Times New Roman" w:cs="Times New Roman"/>
          <w:sz w:val="21"/>
        </w:rPr>
        <w:tab/>
      </w:r>
      <m:oMath>
        <m:sSub>
          <m:sSubPr>
            <m:ctrlPr>
              <w:rPr>
                <w:rFonts w:ascii="Cambria Math" w:hAnsi="Cambria Math" w:cs="Times New Roman"/>
                <w:i/>
                <w:sz w:val="21"/>
              </w:rPr>
            </m:ctrlPr>
          </m:sSubPr>
          <m:e>
            <m:acc>
              <m:accPr>
                <m:chr m:val="̃"/>
                <m:ctrlPr>
                  <w:rPr>
                    <w:rFonts w:ascii="Cambria Math" w:hAnsi="Cambria Math" w:cs="Times New Roman"/>
                    <w:i/>
                    <w:sz w:val="21"/>
                  </w:rPr>
                </m:ctrlPr>
              </m:accPr>
              <m:e>
                <m:r>
                  <w:rPr>
                    <w:rFonts w:ascii="Cambria Math" w:hAnsi="Cambria Math" w:cs="Times New Roman"/>
                    <w:sz w:val="21"/>
                  </w:rPr>
                  <m:t>C</m:t>
                </m:r>
              </m:e>
            </m:acc>
          </m:e>
          <m:sub>
            <m:r>
              <w:rPr>
                <w:rFonts w:ascii="Cambria Math" w:hAnsi="Cambria Math" w:cs="Times New Roman"/>
                <w:sz w:val="21"/>
              </w:rPr>
              <m:t>t</m:t>
            </m:r>
          </m:sub>
        </m:sSub>
        <m:r>
          <w:rPr>
            <w:rFonts w:ascii="Cambria Math" w:hAnsi="Cambria Math" w:cs="Times New Roman"/>
            <w:sz w:val="21"/>
          </w:rPr>
          <m:t>=</m:t>
        </m:r>
        <m:nary>
          <m:naryPr>
            <m:chr m:val="∑"/>
            <m:supHide m:val="1"/>
            <m:ctrlPr>
              <w:rPr>
                <w:rFonts w:ascii="Cambria Math" w:hAnsi="Cambria Math" w:cs="Times New Roman"/>
                <w:i/>
                <w:sz w:val="21"/>
              </w:rPr>
            </m:ctrlPr>
          </m:naryPr>
          <m:sub>
            <m:d>
              <m:dPr>
                <m:ctrlPr>
                  <w:rPr>
                    <w:rFonts w:ascii="Cambria Math" w:hAnsi="Cambria Math" w:cs="Times New Roman"/>
                    <w:i/>
                    <w:sz w:val="21"/>
                  </w:rPr>
                </m:ctrlPr>
              </m:dPr>
              <m:e>
                <m:r>
                  <w:rPr>
                    <w:rFonts w:ascii="Cambria Math" w:hAnsi="Cambria Math" w:cs="Times New Roman"/>
                    <w:sz w:val="21"/>
                  </w:rPr>
                  <m:t>k</m:t>
                </m:r>
                <m:r>
                  <w:rPr>
                    <w:rFonts w:ascii="Cambria Math" w:hAnsi="Cambria Math" w:cs="Times New Roman" w:hint="eastAsia"/>
                    <w:sz w:val="21"/>
                  </w:rPr>
                  <m:t>≠</m:t>
                </m:r>
                <m:sSubSup>
                  <m:sSubSupPr>
                    <m:ctrlPr>
                      <w:rPr>
                        <w:rFonts w:ascii="Cambria Math" w:hAnsi="Cambria Math" w:cs="Times New Roman"/>
                        <w:i/>
                        <w:sz w:val="21"/>
                      </w:rPr>
                    </m:ctrlPr>
                  </m:sSubSupPr>
                  <m:e>
                    <m:r>
                      <w:rPr>
                        <w:rFonts w:ascii="Cambria Math" w:hAnsi="Cambria Math" w:cs="Times New Roman"/>
                        <w:sz w:val="21"/>
                      </w:rPr>
                      <m:t>k</m:t>
                    </m:r>
                  </m:e>
                  <m:sub>
                    <m:r>
                      <w:rPr>
                        <w:rFonts w:ascii="Cambria Math" w:hAnsi="Cambria Math" w:cs="Times New Roman"/>
                        <w:sz w:val="21"/>
                      </w:rPr>
                      <m:t>t</m:t>
                    </m:r>
                  </m:sub>
                  <m:sup>
                    <m:r>
                      <w:rPr>
                        <w:rFonts w:ascii="Cambria Math" w:hAnsi="Cambria Math" w:cs="Times New Roman"/>
                        <w:sz w:val="21"/>
                      </w:rPr>
                      <m:t>*</m:t>
                    </m:r>
                  </m:sup>
                </m:sSubSup>
              </m:e>
            </m:d>
            <m:sSub>
              <m:sSubPr>
                <m:ctrlPr>
                  <w:rPr>
                    <w:rFonts w:ascii="Cambria Math" w:hAnsi="Cambria Math" w:cs="Times New Roman"/>
                    <w:i/>
                    <w:sz w:val="21"/>
                  </w:rPr>
                </m:ctrlPr>
              </m:sSubPr>
              <m:e>
                <m:r>
                  <w:rPr>
                    <w:rFonts w:ascii="Cambria Math" w:hAnsi="Cambria Math" w:cs="Times New Roman"/>
                    <w:sz w:val="21"/>
                  </w:rPr>
                  <m:t>u</m:t>
                </m:r>
              </m:e>
              <m:sub>
                <m:d>
                  <m:dPr>
                    <m:ctrlPr>
                      <w:rPr>
                        <w:rFonts w:ascii="Cambria Math" w:hAnsi="Cambria Math" w:cs="Times New Roman"/>
                        <w:i/>
                        <w:sz w:val="21"/>
                      </w:rPr>
                    </m:ctrlPr>
                  </m:dPr>
                  <m:e>
                    <m:r>
                      <w:rPr>
                        <w:rFonts w:ascii="Cambria Math" w:hAnsi="Cambria Math" w:cs="Times New Roman"/>
                        <w:sz w:val="21"/>
                      </w:rPr>
                      <m:t>k,t</m:t>
                    </m:r>
                  </m:e>
                </m:d>
                <m:d>
                  <m:dPr>
                    <m:ctrlPr>
                      <w:rPr>
                        <w:rFonts w:ascii="Cambria Math" w:hAnsi="Cambria Math" w:cs="Times New Roman"/>
                        <w:i/>
                        <w:sz w:val="21"/>
                      </w:rPr>
                    </m:ctrlPr>
                  </m:dPr>
                  <m:e>
                    <m:r>
                      <w:rPr>
                        <w:rFonts w:ascii="Cambria Math" w:hAnsi="Cambria Math" w:cs="Times New Roman"/>
                        <w:sz w:val="21"/>
                      </w:rPr>
                      <m:t>60</m:t>
                    </m:r>
                  </m:e>
                </m:d>
              </m:sub>
            </m:sSub>
          </m:sub>
          <m:sup/>
          <m:e/>
        </m:nary>
      </m:oMath>
      <w:r w:rsidRPr="009960B6">
        <w:rPr>
          <w:rFonts w:ascii="Times New Roman" w:hAnsi="Times New Roman" w:cs="Times New Roman"/>
          <w:sz w:val="21"/>
        </w:rPr>
        <w:tab/>
      </w:r>
      <w:r w:rsidR="0034462D">
        <w:rPr>
          <w:rFonts w:ascii="Times New Roman" w:hAnsi="Times New Roman" w:cs="Times New Roman"/>
          <w:sz w:val="21"/>
        </w:rPr>
        <w:t>(4)</w:t>
      </w:r>
    </w:p>
    <w:p w14:paraId="1DF32552" w14:textId="77777777" w:rsidR="009960B6" w:rsidRPr="009960B6" w:rsidRDefault="009960B6" w:rsidP="009960B6">
      <w:pPr>
        <w:keepNext/>
        <w:keepLines/>
        <w:tabs>
          <w:tab w:val="center" w:pos="4680"/>
          <w:tab w:val="right" w:pos="9360"/>
        </w:tabs>
        <w:spacing w:before="80" w:after="80" w:line="240" w:lineRule="auto"/>
        <w:rPr>
          <w:rFonts w:ascii="Times New Roman" w:hAnsi="Times New Roman" w:cs="Times New Roman"/>
        </w:rPr>
      </w:pPr>
      <w:r w:rsidRPr="009960B6">
        <w:rPr>
          <w:rFonts w:ascii="Times New Roman" w:hAnsi="Times New Roman" w:cs="Times New Roman" w:hint="eastAsia"/>
        </w:rPr>
        <w:tab/>
      </w:r>
      <m:oMath>
        <m:sSub>
          <m:sSubPr>
            <m:ctrlPr>
              <w:rPr>
                <w:rFonts w:ascii="Cambria Math" w:hAnsi="Cambria Math" w:cs="Times New Roman"/>
                <w:i/>
              </w:rPr>
            </m:ctrlPr>
          </m:sSubPr>
          <m:e>
            <m:r>
              <w:rPr>
                <w:rFonts w:ascii="Cambria Math" w:hAnsi="Cambria Math" w:cs="Times New Roman" w:hint="eastAsia"/>
              </w:rPr>
              <m:t>ρ</m:t>
            </m:r>
            <m:ctrlPr>
              <w:rPr>
                <w:rFonts w:ascii="Cambria Math" w:hAnsi="Cambria Math" w:cs="Times New Roman" w:hint="eastAsia"/>
                <w:i/>
              </w:rPr>
            </m:ctrlPr>
          </m:e>
          <m:sub>
            <m:r>
              <w:rPr>
                <w:rFonts w:ascii="Cambria Math" w:hAnsi="Cambria Math" w:cs="Times New Roman" w:hint="eastAsia"/>
              </w:rPr>
              <m:t>t</m:t>
            </m:r>
          </m:sub>
        </m:sSub>
        <m:r>
          <w:rPr>
            <w:rFonts w:ascii="Cambria Math" w:hAnsi="Cambria Math" w:cs="Times New Roman" w:hint="eastAsia"/>
          </w:rPr>
          <m:t>=</m:t>
        </m:r>
        <m:f>
          <m:fPr>
            <m:ctrlPr>
              <w:rPr>
                <w:rFonts w:ascii="Cambria Math" w:hAnsi="Cambria Math" w:cs="Times New Roman"/>
                <w:i/>
              </w:rPr>
            </m:ctrlPr>
          </m:fPr>
          <m:num>
            <m:nary>
              <m:naryPr>
                <m:chr m:val="∑"/>
                <m:ctrlPr>
                  <w:rPr>
                    <w:rFonts w:ascii="Cambria Math" w:hAnsi="Cambria Math" w:cs="Times New Roman"/>
                    <w:i/>
                  </w:rPr>
                </m:ctrlPr>
              </m:naryPr>
              <m:sub>
                <m:r>
                  <w:rPr>
                    <w:rFonts w:ascii="Cambria Math" w:hAnsi="Cambria Math" w:cs="Times New Roman" w:hint="eastAsia"/>
                  </w:rPr>
                  <m:t>τ=1</m:t>
                </m:r>
              </m:sub>
              <m:sup>
                <m:r>
                  <w:rPr>
                    <w:rFonts w:ascii="Cambria Math" w:hAnsi="Cambria Math" w:cs="Times New Roman" w:hint="eastAsia"/>
                  </w:rPr>
                  <m:t>60</m:t>
                </m:r>
              </m:sup>
              <m:e>
                <m:sSubSup>
                  <m:sSubSupPr>
                    <m:ctrlPr>
                      <w:rPr>
                        <w:rFonts w:ascii="Cambria Math" w:hAnsi="Cambria Math" w:cs="Times New Roman"/>
                        <w:i/>
                      </w:rPr>
                    </m:ctrlPr>
                  </m:sSubSupPr>
                  <m:e>
                    <m:r>
                      <w:rPr>
                        <w:rFonts w:ascii="Cambria Math" w:hAnsi="Cambria Math" w:cs="Times New Roman" w:hint="eastAsia"/>
                      </w:rPr>
                      <m:t>u</m:t>
                    </m:r>
                  </m:e>
                  <m:sub>
                    <m:sSubSup>
                      <m:sSubSupPr>
                        <m:ctrlPr>
                          <w:rPr>
                            <w:rFonts w:ascii="Cambria Math" w:hAnsi="Cambria Math" w:cs="Times New Roman"/>
                            <w:i/>
                          </w:rPr>
                        </m:ctrlPr>
                      </m:sSubSupPr>
                      <m:e>
                        <m:r>
                          <w:rPr>
                            <w:rFonts w:ascii="Cambria Math" w:hAnsi="Cambria Math" w:cs="Times New Roman" w:hint="eastAsia"/>
                          </w:rPr>
                          <m:t>k</m:t>
                        </m:r>
                      </m:e>
                      <m:sub>
                        <m:r>
                          <w:rPr>
                            <w:rFonts w:ascii="Cambria Math" w:hAnsi="Cambria Math" w:cs="Times New Roman" w:hint="eastAsia"/>
                          </w:rPr>
                          <m:t>t</m:t>
                        </m:r>
                      </m:sub>
                      <m:sup>
                        <m:r>
                          <w:rPr>
                            <w:rFonts w:ascii="Cambria Math" w:hAnsi="Cambria Math" w:cs="Cambria Math"/>
                          </w:rPr>
                          <m:t>*</m:t>
                        </m:r>
                      </m:sup>
                    </m:sSubSup>
                    <m:r>
                      <w:rPr>
                        <w:rFonts w:ascii="Cambria Math" w:hAnsi="Cambria Math" w:cs="Times New Roman" w:hint="eastAsia"/>
                      </w:rPr>
                      <m:t>,t</m:t>
                    </m:r>
                  </m:sub>
                  <m:sup>
                    <m:r>
                      <w:rPr>
                        <w:rFonts w:ascii="Cambria Math" w:hAnsi="Cambria Math" w:cs="Times New Roman" w:hint="eastAsia"/>
                      </w:rPr>
                      <m:t>2</m:t>
                    </m:r>
                    <m:d>
                      <m:dPr>
                        <m:ctrlPr>
                          <w:rPr>
                            <w:rFonts w:ascii="Cambria Math" w:hAnsi="Cambria Math" w:cs="Times New Roman"/>
                            <w:i/>
                          </w:rPr>
                        </m:ctrlPr>
                      </m:dPr>
                      <m:e>
                        <m:r>
                          <w:rPr>
                            <w:rFonts w:ascii="Cambria Math" w:hAnsi="Cambria Math" w:cs="Times New Roman" w:hint="eastAsia"/>
                          </w:rPr>
                          <m:t>τ</m:t>
                        </m:r>
                      </m:e>
                    </m:d>
                  </m:sup>
                </m:sSubSup>
              </m:e>
            </m:nary>
          </m:num>
          <m:den>
            <m:nary>
              <m:naryPr>
                <m:chr m:val="∑"/>
                <m:ctrlPr>
                  <w:rPr>
                    <w:rFonts w:ascii="Cambria Math" w:hAnsi="Cambria Math" w:cs="Times New Roman"/>
                    <w:i/>
                  </w:rPr>
                </m:ctrlPr>
              </m:naryPr>
              <m:sub>
                <m:r>
                  <w:rPr>
                    <w:rFonts w:ascii="Cambria Math" w:hAnsi="Cambria Math" w:cs="Times New Roman" w:hint="eastAsia"/>
                  </w:rPr>
                  <m:t>τ=1</m:t>
                </m:r>
              </m:sub>
              <m:sup>
                <m:r>
                  <w:rPr>
                    <w:rFonts w:ascii="Cambria Math" w:hAnsi="Cambria Math" w:cs="Times New Roman" w:hint="eastAsia"/>
                  </w:rPr>
                  <m:t>60</m:t>
                </m:r>
              </m:sup>
              <m:e>
                <m:sSubSup>
                  <m:sSubSupPr>
                    <m:ctrlPr>
                      <w:rPr>
                        <w:rFonts w:ascii="Cambria Math" w:hAnsi="Cambria Math" w:cs="Times New Roman"/>
                        <w:i/>
                      </w:rPr>
                    </m:ctrlPr>
                  </m:sSubSupPr>
                  <m:e>
                    <m:r>
                      <w:rPr>
                        <w:rFonts w:ascii="Cambria Math" w:hAnsi="Cambria Math" w:cs="Times New Roman" w:hint="eastAsia"/>
                      </w:rPr>
                      <m:t>C</m:t>
                    </m:r>
                  </m:e>
                  <m:sub>
                    <m:r>
                      <w:rPr>
                        <w:rFonts w:ascii="Cambria Math" w:hAnsi="Cambria Math" w:cs="Times New Roman" w:hint="eastAsia"/>
                      </w:rPr>
                      <m:t>t</m:t>
                    </m:r>
                    <m:r>
                      <w:rPr>
                        <w:rFonts w:ascii="Cambria Math" w:hAnsi="Cambria Math" w:cs="Cambria Math"/>
                      </w:rPr>
                      <m:t>-</m:t>
                    </m:r>
                    <m:r>
                      <w:rPr>
                        <w:rFonts w:ascii="Cambria Math" w:hAnsi="Cambria Math" w:cs="Times New Roman" w:hint="eastAsia"/>
                      </w:rPr>
                      <m:t>60+τ</m:t>
                    </m:r>
                  </m:sub>
                  <m:sup>
                    <m:r>
                      <w:rPr>
                        <w:rFonts w:ascii="Cambria Math" w:hAnsi="Cambria Math" w:cs="Times New Roman" w:hint="eastAsia"/>
                      </w:rPr>
                      <m:t>2</m:t>
                    </m:r>
                  </m:sup>
                </m:sSubSup>
              </m:e>
            </m:nary>
          </m:den>
        </m:f>
      </m:oMath>
      <w:r w:rsidRPr="009960B6">
        <w:rPr>
          <w:rFonts w:ascii="Times New Roman" w:hAnsi="Times New Roman" w:cs="Times New Roman" w:hint="eastAsia"/>
        </w:rPr>
        <w:tab/>
      </w:r>
      <w:r w:rsidR="0034462D">
        <w:rPr>
          <w:rFonts w:ascii="Times New Roman" w:hAnsi="Times New Roman" w:cs="Times New Roman"/>
        </w:rPr>
        <w:t>(5)</w:t>
      </w:r>
    </w:p>
    <w:p w14:paraId="13EB705E" w14:textId="77777777"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 xml:space="preserve">3.5 Neural </w:t>
      </w:r>
      <w:proofErr w:type="gramStart"/>
      <w:r w:rsidRPr="00D0143A">
        <w:rPr>
          <w:rFonts w:ascii="Times New Roman" w:hAnsi="Times New Roman"/>
          <w:b/>
          <w:bCs/>
          <w:sz w:val="24"/>
          <w:szCs w:val="24"/>
        </w:rPr>
        <w:t>architectures</w:t>
      </w:r>
      <w:proofErr w:type="gramEnd"/>
      <w:r w:rsidRPr="00D0143A">
        <w:rPr>
          <w:rFonts w:ascii="Times New Roman" w:hAnsi="Times New Roman"/>
          <w:b/>
          <w:bCs/>
          <w:sz w:val="24"/>
          <w:szCs w:val="24"/>
        </w:rPr>
        <w:t xml:space="preserve"> and training</w:t>
      </w:r>
    </w:p>
    <w:p w14:paraId="4A4274C1" w14:textId="77777777"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Historical numerical, news and regime modules predict the next close and derive direction from predicted next close minus current close. The compact architectures were: LSTM, </w:t>
      </w:r>
      <w:proofErr w:type="gramStart"/>
      <w:r w:rsidRPr="00916F49">
        <w:rPr>
          <w:rFonts w:ascii="Times New Roman" w:hAnsi="Times New Roman"/>
          <w:bCs/>
          <w:sz w:val="24"/>
          <w:szCs w:val="24"/>
        </w:rPr>
        <w:t>LSTM(</w:t>
      </w:r>
      <w:proofErr w:type="gramEnd"/>
      <w:r w:rsidRPr="00916F49">
        <w:rPr>
          <w:rFonts w:ascii="Times New Roman" w:hAnsi="Times New Roman"/>
          <w:bCs/>
          <w:sz w:val="24"/>
          <w:szCs w:val="24"/>
        </w:rPr>
        <w:t xml:space="preserve">16) followed by </w:t>
      </w:r>
      <w:proofErr w:type="gramStart"/>
      <w:r w:rsidRPr="00916F49">
        <w:rPr>
          <w:rFonts w:ascii="Times New Roman" w:hAnsi="Times New Roman"/>
          <w:bCs/>
          <w:sz w:val="24"/>
          <w:szCs w:val="24"/>
        </w:rPr>
        <w:t>Dense(</w:t>
      </w:r>
      <w:proofErr w:type="gramEnd"/>
      <w:r w:rsidRPr="00916F49">
        <w:rPr>
          <w:rFonts w:ascii="Times New Roman" w:hAnsi="Times New Roman"/>
          <w:bCs/>
          <w:sz w:val="24"/>
          <w:szCs w:val="24"/>
        </w:rPr>
        <w:t xml:space="preserve">8, </w:t>
      </w:r>
      <w:proofErr w:type="spellStart"/>
      <w:r w:rsidRPr="00916F49">
        <w:rPr>
          <w:rFonts w:ascii="Times New Roman" w:hAnsi="Times New Roman"/>
          <w:bCs/>
          <w:sz w:val="24"/>
          <w:szCs w:val="24"/>
        </w:rPr>
        <w:t>ReLU</w:t>
      </w:r>
      <w:proofErr w:type="spellEnd"/>
      <w:r w:rsidRPr="00916F49">
        <w:rPr>
          <w:rFonts w:ascii="Times New Roman" w:hAnsi="Times New Roman"/>
          <w:bCs/>
          <w:sz w:val="24"/>
          <w:szCs w:val="24"/>
        </w:rPr>
        <w:t>); CNN, causal Conv1</w:t>
      </w:r>
      <w:proofErr w:type="gramStart"/>
      <w:r w:rsidRPr="00916F49">
        <w:rPr>
          <w:rFonts w:ascii="Times New Roman" w:hAnsi="Times New Roman"/>
          <w:bCs/>
          <w:sz w:val="24"/>
          <w:szCs w:val="24"/>
        </w:rPr>
        <w:t>D(</w:t>
      </w:r>
      <w:proofErr w:type="gramEnd"/>
      <w:r w:rsidRPr="00916F49">
        <w:rPr>
          <w:rFonts w:ascii="Times New Roman" w:hAnsi="Times New Roman"/>
          <w:bCs/>
          <w:sz w:val="24"/>
          <w:szCs w:val="24"/>
        </w:rPr>
        <w:t xml:space="preserve">32, kernel 3) followed by global-average pooling and </w:t>
      </w:r>
      <w:proofErr w:type="gramStart"/>
      <w:r w:rsidRPr="00916F49">
        <w:rPr>
          <w:rFonts w:ascii="Times New Roman" w:hAnsi="Times New Roman"/>
          <w:bCs/>
          <w:sz w:val="24"/>
          <w:szCs w:val="24"/>
        </w:rPr>
        <w:t>Dense(</w:t>
      </w:r>
      <w:proofErr w:type="gramEnd"/>
      <w:r w:rsidRPr="00916F49">
        <w:rPr>
          <w:rFonts w:ascii="Times New Roman" w:hAnsi="Times New Roman"/>
          <w:bCs/>
          <w:sz w:val="24"/>
          <w:szCs w:val="24"/>
        </w:rPr>
        <w:t xml:space="preserve">8, </w:t>
      </w:r>
      <w:proofErr w:type="spellStart"/>
      <w:r w:rsidRPr="00916F49">
        <w:rPr>
          <w:rFonts w:ascii="Times New Roman" w:hAnsi="Times New Roman"/>
          <w:bCs/>
          <w:sz w:val="24"/>
          <w:szCs w:val="24"/>
        </w:rPr>
        <w:t>ReLU</w:t>
      </w:r>
      <w:proofErr w:type="spellEnd"/>
      <w:r w:rsidRPr="00916F49">
        <w:rPr>
          <w:rFonts w:ascii="Times New Roman" w:hAnsi="Times New Roman"/>
          <w:bCs/>
          <w:sz w:val="24"/>
          <w:szCs w:val="24"/>
        </w:rPr>
        <w:t xml:space="preserve">); LSTM-CNN, sequence-output </w:t>
      </w:r>
      <w:proofErr w:type="gramStart"/>
      <w:r w:rsidRPr="00916F49">
        <w:rPr>
          <w:rFonts w:ascii="Times New Roman" w:hAnsi="Times New Roman"/>
          <w:bCs/>
          <w:sz w:val="24"/>
          <w:szCs w:val="24"/>
        </w:rPr>
        <w:t>LSTM(</w:t>
      </w:r>
      <w:proofErr w:type="gramEnd"/>
      <w:r w:rsidRPr="00916F49">
        <w:rPr>
          <w:rFonts w:ascii="Times New Roman" w:hAnsi="Times New Roman"/>
          <w:bCs/>
          <w:sz w:val="24"/>
          <w:szCs w:val="24"/>
        </w:rPr>
        <w:t xml:space="preserve">16) followed by the causal convolution and pooling stack; LSTM-Attention, sequence-output </w:t>
      </w:r>
      <w:proofErr w:type="gramStart"/>
      <w:r w:rsidRPr="00916F49">
        <w:rPr>
          <w:rFonts w:ascii="Times New Roman" w:hAnsi="Times New Roman"/>
          <w:bCs/>
          <w:sz w:val="24"/>
          <w:szCs w:val="24"/>
        </w:rPr>
        <w:t>LSTM(</w:t>
      </w:r>
      <w:proofErr w:type="gramEnd"/>
      <w:r w:rsidRPr="00916F49">
        <w:rPr>
          <w:rFonts w:ascii="Times New Roman" w:hAnsi="Times New Roman"/>
          <w:bCs/>
          <w:sz w:val="24"/>
          <w:szCs w:val="24"/>
        </w:rPr>
        <w:t xml:space="preserve">16) followed by causal two-head attention (key dimension 8), pooling and </w:t>
      </w:r>
      <w:proofErr w:type="gramStart"/>
      <w:r w:rsidRPr="00916F49">
        <w:rPr>
          <w:rFonts w:ascii="Times New Roman" w:hAnsi="Times New Roman"/>
          <w:bCs/>
          <w:sz w:val="24"/>
          <w:szCs w:val="24"/>
        </w:rPr>
        <w:t>Dense(</w:t>
      </w:r>
      <w:proofErr w:type="gramEnd"/>
      <w:r w:rsidRPr="00916F49">
        <w:rPr>
          <w:rFonts w:ascii="Times New Roman" w:hAnsi="Times New Roman"/>
          <w:bCs/>
          <w:sz w:val="24"/>
          <w:szCs w:val="24"/>
        </w:rPr>
        <w:t xml:space="preserve">8, </w:t>
      </w:r>
      <w:proofErr w:type="spellStart"/>
      <w:r w:rsidRPr="00916F49">
        <w:rPr>
          <w:rFonts w:ascii="Times New Roman" w:hAnsi="Times New Roman"/>
          <w:bCs/>
          <w:sz w:val="24"/>
          <w:szCs w:val="24"/>
        </w:rPr>
        <w:t>ReLU</w:t>
      </w:r>
      <w:proofErr w:type="spellEnd"/>
      <w:r w:rsidRPr="00916F49">
        <w:rPr>
          <w:rFonts w:ascii="Times New Roman" w:hAnsi="Times New Roman"/>
          <w:bCs/>
          <w:sz w:val="24"/>
          <w:szCs w:val="24"/>
        </w:rPr>
        <w:t xml:space="preserve">); and LSTM-CNN-Attention, LSTM followed by causal convolution, causal two-head attention, pooling and </w:t>
      </w:r>
      <w:proofErr w:type="gramStart"/>
      <w:r w:rsidRPr="00916F49">
        <w:rPr>
          <w:rFonts w:ascii="Times New Roman" w:hAnsi="Times New Roman"/>
          <w:bCs/>
          <w:sz w:val="24"/>
          <w:szCs w:val="24"/>
        </w:rPr>
        <w:t>Dense(</w:t>
      </w:r>
      <w:proofErr w:type="gramEnd"/>
      <w:r w:rsidRPr="00916F49">
        <w:rPr>
          <w:rFonts w:ascii="Times New Roman" w:hAnsi="Times New Roman"/>
          <w:bCs/>
          <w:sz w:val="24"/>
          <w:szCs w:val="24"/>
        </w:rPr>
        <w:t xml:space="preserve">8, </w:t>
      </w:r>
      <w:proofErr w:type="spellStart"/>
      <w:r w:rsidRPr="00916F49">
        <w:rPr>
          <w:rFonts w:ascii="Times New Roman" w:hAnsi="Times New Roman"/>
          <w:bCs/>
          <w:sz w:val="24"/>
          <w:szCs w:val="24"/>
        </w:rPr>
        <w:t>ReLU</w:t>
      </w:r>
      <w:proofErr w:type="spellEnd"/>
      <w:r w:rsidRPr="00916F49">
        <w:rPr>
          <w:rFonts w:ascii="Times New Roman" w:hAnsi="Times New Roman"/>
          <w:bCs/>
          <w:sz w:val="24"/>
          <w:szCs w:val="24"/>
        </w:rPr>
        <w:t>). Every architecture uses a linear output.</w:t>
      </w:r>
    </w:p>
    <w:p w14:paraId="7285E933" w14:textId="77777777" w:rsidR="009960B6" w:rsidRPr="0034462D" w:rsidRDefault="0034462D" w:rsidP="0034462D">
      <w:pPr>
        <w:spacing w:line="360" w:lineRule="auto"/>
        <w:jc w:val="both"/>
        <w:rPr>
          <w:rFonts w:ascii="Times New Roman" w:hAnsi="Times New Roman" w:cs="Times New Roman"/>
          <w:color w:val="000000"/>
          <w:sz w:val="24"/>
        </w:rPr>
      </w:pPr>
      <w:r w:rsidRPr="0034462D">
        <w:rPr>
          <w:rFonts w:ascii="Times New Roman" w:hAnsi="Times New Roman" w:cs="Times New Roman"/>
          <w:color w:val="000000"/>
          <w:sz w:val="24"/>
        </w:rPr>
        <w:lastRenderedPageBreak/>
        <w:t xml:space="preserve">All five architectures minimize the mean squared error objective in Eq. (6), where n is the number of supervised training sequences. This continuous-price objective is widely used in VMD-based deep stock-series forecasting </w:t>
      </w: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ADDIN ZOTERO_ITEM CSL_CITATION {"citationID":"89f9489d","properties":{"unsorted":false,"formattedCitation":"(T. Liu et al., 2022; Y. Liu et al., 2024)","plainCitation":"(T. Liu et al., 2022; Y. Liu et al., 2024)","noteIndex":0},"citationItems":[{"id":35,"uris":["http://zotero.org/users/local/DPQnJvcs/items/ZLXIQGMF"],"itemData":{"id":35,"type":"article-journal","container-title":"Knowledge-Based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id":36,"uris":["http://zotero.org/users/local/DPQnJvcs/items/JPXM8FAB"],"itemData":{"id":36,"type":"article-journal","container-title":"Expert Systems with Applications","DOI":"10.1016/j.eswa.2023.121708","page":"121708","title":"A Stock Series Prediction Model Based on Variational Mode Decomposition and Dual-Channel Attention Network","volume":"238","author":[{"family":"Liu","given":"Yepeng"},{"family":"Huang","given":"Siyuan"},{"family":"Tian","given":"Xiaoyi"},{"family":"Zhang","given":"Fan"},{"family":"Zhao","given":"Feng"},{"family":"Zhang","given":"Caiming"}],"issued":{"date-parts":[["2024"]]}}}],"schema":"https://github.com/citation-style-language/schema/raw/master/csl-citation.json"} </w:instrText>
      </w:r>
      <w:r>
        <w:rPr>
          <w:rFonts w:ascii="Times New Roman" w:hAnsi="Times New Roman" w:cs="Times New Roman"/>
          <w:b/>
          <w:sz w:val="24"/>
          <w:szCs w:val="24"/>
        </w:rPr>
        <w:fldChar w:fldCharType="separate"/>
      </w:r>
      <w:r w:rsidRPr="0034462D">
        <w:rPr>
          <w:rFonts w:ascii="Times New Roman" w:hAnsi="Times New Roman" w:cs="Times New Roman"/>
          <w:sz w:val="24"/>
        </w:rPr>
        <w:t>(T. Liu et al., 2022; Y. Liu et al., 2024)</w:t>
      </w:r>
      <w:r>
        <w:rPr>
          <w:rFonts w:ascii="Times New Roman" w:hAnsi="Times New Roman" w:cs="Times New Roman"/>
          <w:b/>
          <w:sz w:val="24"/>
          <w:szCs w:val="24"/>
        </w:rPr>
        <w:fldChar w:fldCharType="end"/>
      </w:r>
      <w:r w:rsidRPr="0034462D">
        <w:rPr>
          <w:rFonts w:ascii="Times New Roman" w:hAnsi="Times New Roman" w:cs="Times New Roman"/>
          <w:color w:val="000000"/>
          <w:sz w:val="24"/>
        </w:rPr>
        <w:t>.</w:t>
      </w:r>
    </w:p>
    <w:p w14:paraId="1650489C" w14:textId="77777777"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21"/>
        </w:rPr>
      </w:pPr>
      <w:r w:rsidRPr="009960B6">
        <w:rPr>
          <w:rFonts w:ascii="Times New Roman" w:hAnsi="Times New Roman" w:cs="Times New Roman"/>
          <w:sz w:val="21"/>
        </w:rPr>
        <w:tab/>
      </w:r>
      <m:oMath>
        <m:sSub>
          <m:sSubPr>
            <m:ctrlPr>
              <w:rPr>
                <w:rFonts w:ascii="Cambria Math" w:hAnsi="Cambria Math" w:cs="Times New Roman"/>
                <w:i/>
                <w:sz w:val="21"/>
              </w:rPr>
            </m:ctrlPr>
          </m:sSubPr>
          <m:e>
            <m:r>
              <w:rPr>
                <w:rFonts w:ascii="Cambria Math" w:hAnsi="Cambria Math" w:cs="Times New Roman"/>
                <w:sz w:val="21"/>
              </w:rPr>
              <m:t>L</m:t>
            </m:r>
          </m:e>
          <m:sub>
            <m:r>
              <w:rPr>
                <w:rFonts w:ascii="Cambria Math" w:hAnsi="Cambria Math" w:cs="Times New Roman"/>
                <w:sz w:val="21"/>
              </w:rPr>
              <m:t>MSE</m:t>
            </m:r>
          </m:sub>
        </m:sSub>
        <m:r>
          <w:rPr>
            <w:rFonts w:ascii="Cambria Math" w:hAnsi="Cambria Math" w:cs="Times New Roman"/>
            <w:sz w:val="21"/>
          </w:rPr>
          <m:t>=</m:t>
        </m:r>
        <m:f>
          <m:fPr>
            <m:ctrlPr>
              <w:rPr>
                <w:rFonts w:ascii="Cambria Math" w:hAnsi="Cambria Math" w:cs="Times New Roman"/>
                <w:i/>
                <w:sz w:val="21"/>
              </w:rPr>
            </m:ctrlPr>
          </m:fPr>
          <m:num>
            <m:r>
              <w:rPr>
                <w:rFonts w:ascii="Cambria Math" w:hAnsi="Cambria Math" w:cs="Times New Roman"/>
                <w:sz w:val="21"/>
              </w:rPr>
              <m:t>1</m:t>
            </m:r>
          </m:num>
          <m:den>
            <m:r>
              <w:rPr>
                <w:rFonts w:ascii="Cambria Math" w:hAnsi="Cambria Math" w:cs="Times New Roman"/>
                <w:sz w:val="21"/>
              </w:rPr>
              <m:t>n</m:t>
            </m:r>
          </m:den>
        </m:f>
        <m:nary>
          <m:naryPr>
            <m:chr m:val="∑"/>
            <m:ctrlPr>
              <w:rPr>
                <w:rFonts w:ascii="Cambria Math" w:hAnsi="Cambria Math" w:cs="Times New Roman"/>
                <w:i/>
                <w:sz w:val="21"/>
              </w:rPr>
            </m:ctrlPr>
          </m:naryPr>
          <m:sub>
            <m:r>
              <w:rPr>
                <w:rFonts w:ascii="Cambria Math" w:hAnsi="Cambria Math" w:cs="Times New Roman"/>
                <w:sz w:val="21"/>
              </w:rPr>
              <m:t>t=1</m:t>
            </m:r>
          </m:sub>
          <m:sup>
            <m:r>
              <w:rPr>
                <w:rFonts w:ascii="Cambria Math" w:hAnsi="Cambria Math" w:cs="Times New Roman"/>
                <w:sz w:val="21"/>
              </w:rPr>
              <m:t>n</m:t>
            </m:r>
            <m:sSup>
              <m:sSupPr>
                <m:ctrlPr>
                  <w:rPr>
                    <w:rFonts w:ascii="Cambria Math" w:hAnsi="Cambria Math" w:cs="Times New Roman"/>
                    <w:i/>
                    <w:sz w:val="21"/>
                  </w:rPr>
                </m:ctrlPr>
              </m:sSupPr>
              <m:e>
                <m:d>
                  <m:dPr>
                    <m:ctrlPr>
                      <w:rPr>
                        <w:rFonts w:ascii="Cambria Math" w:hAnsi="Cambria Math" w:cs="Times New Roman"/>
                        <w:i/>
                        <w:sz w:val="21"/>
                      </w:rPr>
                    </m:ctrlPr>
                  </m:dPr>
                  <m:e>
                    <m:sSub>
                      <m:sSubPr>
                        <m:ctrlPr>
                          <w:rPr>
                            <w:rFonts w:ascii="Cambria Math" w:hAnsi="Cambria Math" w:cs="Times New Roman"/>
                            <w:i/>
                            <w:sz w:val="21"/>
                          </w:rPr>
                        </m:ctrlPr>
                      </m:sSubPr>
                      <m:e>
                        <m:r>
                          <w:rPr>
                            <w:rFonts w:ascii="Cambria Math" w:hAnsi="Cambria Math" w:cs="Times New Roman"/>
                            <w:sz w:val="21"/>
                          </w:rPr>
                          <m:t>y</m:t>
                        </m:r>
                      </m:e>
                      <m:sub>
                        <m:r>
                          <w:rPr>
                            <w:rFonts w:ascii="Cambria Math" w:hAnsi="Cambria Math" w:cs="Times New Roman"/>
                            <w:sz w:val="21"/>
                          </w:rPr>
                          <m:t>t</m:t>
                        </m:r>
                      </m:sub>
                    </m:sSub>
                    <m:r>
                      <w:rPr>
                        <w:rFonts w:ascii="Cambria Math" w:hAnsi="Cambria Math" w:cs="Times New Roman"/>
                        <w:sz w:val="21"/>
                      </w:rPr>
                      <m:t>-</m:t>
                    </m:r>
                    <m:sSub>
                      <m:sSubPr>
                        <m:ctrlPr>
                          <w:rPr>
                            <w:rFonts w:ascii="Cambria Math" w:hAnsi="Cambria Math" w:cs="Times New Roman"/>
                            <w:i/>
                            <w:sz w:val="21"/>
                          </w:rPr>
                        </m:ctrlPr>
                      </m:sSubPr>
                      <m:e>
                        <m:acc>
                          <m:accPr>
                            <m:ctrlPr>
                              <w:rPr>
                                <w:rFonts w:ascii="Cambria Math" w:hAnsi="Cambria Math" w:cs="Times New Roman"/>
                                <w:i/>
                                <w:sz w:val="21"/>
                              </w:rPr>
                            </m:ctrlPr>
                          </m:accPr>
                          <m:e>
                            <m:r>
                              <w:rPr>
                                <w:rFonts w:ascii="Cambria Math" w:hAnsi="Cambria Math" w:cs="Times New Roman"/>
                                <w:sz w:val="21"/>
                              </w:rPr>
                              <m:t>y</m:t>
                            </m:r>
                          </m:e>
                        </m:acc>
                      </m:e>
                      <m:sub>
                        <m:r>
                          <w:rPr>
                            <w:rFonts w:ascii="Cambria Math" w:hAnsi="Cambria Math" w:cs="Times New Roman"/>
                            <w:sz w:val="21"/>
                          </w:rPr>
                          <m:t>t</m:t>
                        </m:r>
                      </m:sub>
                    </m:sSub>
                  </m:e>
                </m:d>
              </m:e>
              <m:sup>
                <m:r>
                  <w:rPr>
                    <w:rFonts w:ascii="Cambria Math" w:hAnsi="Cambria Math" w:cs="Times New Roman"/>
                    <w:sz w:val="21"/>
                  </w:rPr>
                  <m:t>2</m:t>
                </m:r>
              </m:sup>
            </m:sSup>
          </m:sup>
          <m:e/>
        </m:nary>
      </m:oMath>
      <w:r w:rsidRPr="009960B6">
        <w:rPr>
          <w:rFonts w:ascii="Times New Roman" w:hAnsi="Times New Roman" w:cs="Times New Roman"/>
          <w:sz w:val="21"/>
        </w:rPr>
        <w:tab/>
      </w:r>
      <w:r w:rsidR="0034462D">
        <w:rPr>
          <w:rFonts w:ascii="Times New Roman" w:hAnsi="Times New Roman" w:cs="Times New Roman"/>
          <w:sz w:val="21"/>
        </w:rPr>
        <w:t>(6)</w:t>
      </w:r>
    </w:p>
    <w:p w14:paraId="20FE3E8C" w14:textId="77777777"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All fits used Adam, mean squared error, 20 epochs, batch size 32 and shuffle = false. Random states were reset for every cell, deterministic TensorFlow operations were enabled, the </w:t>
      </w:r>
      <w:proofErr w:type="spellStart"/>
      <w:r w:rsidRPr="00916F49">
        <w:rPr>
          <w:rFonts w:ascii="Times New Roman" w:hAnsi="Times New Roman"/>
          <w:bCs/>
          <w:sz w:val="24"/>
          <w:szCs w:val="24"/>
        </w:rPr>
        <w:t>Keras</w:t>
      </w:r>
      <w:proofErr w:type="spellEnd"/>
      <w:r w:rsidRPr="00916F49">
        <w:rPr>
          <w:rFonts w:ascii="Times New Roman" w:hAnsi="Times New Roman"/>
          <w:bCs/>
          <w:sz w:val="24"/>
          <w:szCs w:val="24"/>
        </w:rPr>
        <w:t xml:space="preserve"> session was cleared between fits and min-max scaling was fitted only on the supervised training portion of each fold.</w:t>
      </w:r>
      <w:r w:rsidR="004A3C24" w:rsidRPr="004A3C24">
        <w:rPr>
          <w:rFonts w:ascii="Times New Roman" w:hAnsi="Times New Roman" w:cs="Times New Roman"/>
          <w:bCs/>
          <w:sz w:val="24"/>
          <w:szCs w:val="24"/>
        </w:rPr>
        <w:t xml:space="preserve"> Figure 4 summarizes the numerical feature construction, causal VMD arm and five fixed neural architectures.</w:t>
      </w:r>
    </w:p>
    <w:p w14:paraId="54B24B56" w14:textId="77777777" w:rsidR="004A3C24" w:rsidRPr="004A3C24" w:rsidRDefault="0000017E" w:rsidP="009960B6">
      <w:pPr>
        <w:keepNext/>
        <w:spacing w:before="120" w:after="60" w:line="240" w:lineRule="auto"/>
        <w:jc w:val="center"/>
        <w:rPr>
          <w:rFonts w:ascii="Times New Roman" w:hAnsi="Times New Roman" w:cs="Times New Roman"/>
          <w:b/>
          <w:bCs/>
          <w:sz w:val="24"/>
          <w:szCs w:val="24"/>
          <w:highlight w:val="yellow"/>
        </w:rPr>
      </w:pPr>
      <w:r w:rsidRPr="0000017E">
        <w:rPr>
          <w:rFonts w:ascii="Times New Roman" w:hAnsi="Times New Roman" w:cs="Times New Roman"/>
          <w:b/>
          <w:bCs/>
          <w:noProof/>
          <w:sz w:val="24"/>
          <w:szCs w:val="24"/>
        </w:rPr>
        <w:drawing>
          <wp:inline distT="0" distB="0" distL="0" distR="0" wp14:anchorId="29AB1E7A" wp14:editId="0E5AAC8F">
            <wp:extent cx="5384800" cy="3522345"/>
            <wp:effectExtent l="0" t="0" r="6350" b="1905"/>
            <wp:docPr id="22246622" name="Figure 4" descr="Numerical feature construction, causal rolling VMD and the five registered neural architecture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84800" cy="3522345"/>
                    </a:xfrm>
                    <a:prstGeom prst="rect">
                      <a:avLst/>
                    </a:prstGeom>
                    <a:noFill/>
                    <a:ln>
                      <a:noFill/>
                    </a:ln>
                  </pic:spPr>
                </pic:pic>
              </a:graphicData>
            </a:graphic>
          </wp:inline>
        </w:drawing>
      </w:r>
    </w:p>
    <w:p w14:paraId="57011136" w14:textId="77777777" w:rsidR="004A3C24" w:rsidRPr="004A3C24" w:rsidRDefault="004A3C24" w:rsidP="009960B6">
      <w:pPr>
        <w:keepLines/>
        <w:spacing w:before="60" w:after="180" w:line="240" w:lineRule="auto"/>
        <w:jc w:val="center"/>
        <w:rPr>
          <w:rFonts w:ascii="Times New Roman" w:hAnsi="Times New Roman" w:cs="Times New Roman"/>
          <w:bCs/>
          <w:sz w:val="24"/>
          <w:szCs w:val="24"/>
        </w:rPr>
      </w:pPr>
      <w:r w:rsidRPr="004A3C24">
        <w:rPr>
          <w:rFonts w:ascii="Times New Roman" w:hAnsi="Times New Roman" w:cs="Times New Roman"/>
          <w:b/>
          <w:bCs/>
          <w:sz w:val="24"/>
          <w:szCs w:val="24"/>
        </w:rPr>
        <w:t>Figure 4.</w:t>
      </w:r>
      <w:r w:rsidRPr="004A3C24">
        <w:rPr>
          <w:rFonts w:ascii="Times New Roman" w:hAnsi="Times New Roman" w:cs="Times New Roman"/>
          <w:bCs/>
          <w:sz w:val="24"/>
          <w:szCs w:val="24"/>
        </w:rPr>
        <w:t xml:space="preserve"> Numerical inputs, causal VMD and registered </w:t>
      </w:r>
      <w:proofErr w:type="gramStart"/>
      <w:r w:rsidRPr="004A3C24">
        <w:rPr>
          <w:rFonts w:ascii="Times New Roman" w:hAnsi="Times New Roman" w:cs="Times New Roman"/>
          <w:bCs/>
          <w:sz w:val="24"/>
          <w:szCs w:val="24"/>
        </w:rPr>
        <w:t>architectures</w:t>
      </w:r>
      <w:proofErr w:type="gramEnd"/>
      <w:r w:rsidRPr="004A3C24">
        <w:rPr>
          <w:rFonts w:ascii="Times New Roman" w:hAnsi="Times New Roman" w:cs="Times New Roman"/>
          <w:bCs/>
          <w:sz w:val="24"/>
          <w:szCs w:val="24"/>
        </w:rPr>
        <w:t>. The 116-feature technical-analysis representation is compared with a 122-feature representation obtained by adding six variables from causal rolling VMD fitted to a trailing 60-day window. Both representations are evaluated through the same five-model panel.</w:t>
      </w:r>
    </w:p>
    <w:p w14:paraId="5EFE1ED4" w14:textId="77777777"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3.6 Multimodal falsification and Bull/Bear/Leader evaluation</w:t>
      </w:r>
    </w:p>
    <w:p w14:paraId="55F19F87" w14:textId="77777777"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Observed </w:t>
      </w:r>
      <w:r w:rsidR="000B323C" w:rsidRPr="00916F49">
        <w:rPr>
          <w:rFonts w:ascii="Times New Roman" w:hAnsi="Times New Roman"/>
          <w:bCs/>
          <w:sz w:val="24"/>
          <w:szCs w:val="24"/>
        </w:rPr>
        <w:t>predicted news</w:t>
      </w:r>
      <w:r w:rsidRPr="00916F49">
        <w:rPr>
          <w:rFonts w:ascii="Times New Roman" w:hAnsi="Times New Roman"/>
          <w:bCs/>
          <w:sz w:val="24"/>
          <w:szCs w:val="24"/>
        </w:rPr>
        <w:t xml:space="preserve"> features were compared with a date-matched Market-Only arm and four falsification controls: News-Only, date-shuffled news, news lagged by five rows and matched random features. All arms retained the frozen architecture, window, cohort, seeds and training budget. The registered family comprised 100 model-control cells and 400 fits. Primary contrasts </w:t>
      </w:r>
      <w:r w:rsidRPr="00916F49">
        <w:rPr>
          <w:rFonts w:ascii="Times New Roman" w:hAnsi="Times New Roman"/>
          <w:bCs/>
          <w:sz w:val="24"/>
          <w:szCs w:val="24"/>
        </w:rPr>
        <w:lastRenderedPageBreak/>
        <w:t>were Observed-News minus Market-Only and Observed-News minus Shuffled-News; the remaining controls are retained in the complete evidence bundle.</w:t>
      </w:r>
    </w:p>
    <w:p w14:paraId="3181E931" w14:textId="77777777"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Local relevance and sentiment pipelines were evaluated annually on out-of-sample pairs, while the LLM benchmark used a separate locked design. A class-stratified set of 60 pairs from 2022 was used once to validate prompts before the 2023 cohort was opened. The Bull worker, Bear worker and Leader used the same proprietary model under distinct prompts; the Leader returned positive, neutral and negative probabilities and a scalar sentiment score. Controls were one pass, three identical-prompt self-consistency passes matching the role-system call count and four passes within the frozen +/-15% cost band. Accuracy was the primary intrinsic endpoint, Macro-F1 was supporting evidence, uncertainty was clustered by </w:t>
      </w:r>
      <w:proofErr w:type="gramStart"/>
      <w:r w:rsidRPr="00916F49">
        <w:rPr>
          <w:rFonts w:ascii="Times New Roman" w:hAnsi="Times New Roman"/>
          <w:bCs/>
          <w:sz w:val="24"/>
          <w:szCs w:val="24"/>
        </w:rPr>
        <w:t>article</w:t>
      </w:r>
      <w:proofErr w:type="gramEnd"/>
      <w:r w:rsidRPr="00916F49">
        <w:rPr>
          <w:rFonts w:ascii="Times New Roman" w:hAnsi="Times New Roman"/>
          <w:bCs/>
          <w:sz w:val="24"/>
          <w:szCs w:val="24"/>
        </w:rPr>
        <w:t xml:space="preserve"> and the two Leader contrasts were Holm-adjusted.</w:t>
      </w:r>
    </w:p>
    <w:p w14:paraId="5FDBCCE6" w14:textId="77777777" w:rsidR="00916F49" w:rsidRPr="00916F49" w:rsidRDefault="00880654" w:rsidP="009960B6">
      <w:pPr>
        <w:spacing w:line="360" w:lineRule="auto"/>
        <w:jc w:val="both"/>
        <w:rPr>
          <w:rFonts w:ascii="Times New Roman" w:hAnsi="Times New Roman"/>
          <w:bCs/>
          <w:sz w:val="24"/>
          <w:szCs w:val="24"/>
        </w:rPr>
      </w:pPr>
      <w:r>
        <w:rPr>
          <w:rFonts w:ascii="Times New Roman" w:hAnsi="Times New Roman"/>
          <w:bCs/>
          <w:sz w:val="24"/>
          <w:szCs w:val="24"/>
        </w:rPr>
        <w:t>The audited downstream forecasting route uses expanding out-of-sample Local-NLP daily features together with the registered Market-Only, News-Only, shuffled-news, lagged-news and random-feature controls. The Bull/Bear/Leader system is evaluated separately on the locked 2023 intrinsic sentiment cohort, and its sentiment accuracy is not interpreted as evidence of downstream forecasting value. Figure 5 summarizes these two distinct audit components.</w:t>
      </w:r>
    </w:p>
    <w:p w14:paraId="0E507411" w14:textId="77777777" w:rsidR="004A3C24" w:rsidRPr="004A3C24" w:rsidRDefault="00BE5FE7" w:rsidP="00BE5FE7">
      <w:pPr>
        <w:keepNext/>
        <w:spacing w:before="120" w:after="60" w:line="240" w:lineRule="auto"/>
        <w:jc w:val="center"/>
        <w:rPr>
          <w:rFonts w:ascii="Times New Roman" w:hAnsi="Times New Roman" w:cs="Times New Roman"/>
          <w:b/>
          <w:bCs/>
          <w:sz w:val="24"/>
          <w:szCs w:val="24"/>
          <w:highlight w:val="yellow"/>
        </w:rPr>
      </w:pPr>
      <w:r>
        <w:rPr>
          <w:rFonts w:ascii="Times New Roman" w:hAnsi="Times New Roman" w:cs="Times New Roman"/>
          <w:b/>
          <w:bCs/>
          <w:noProof/>
          <w:sz w:val="24"/>
          <w:szCs w:val="24"/>
        </w:rPr>
        <w:drawing>
          <wp:inline distT="0" distB="0" distL="0" distR="0" wp14:anchorId="6B3228E1" wp14:editId="497A09A4">
            <wp:extent cx="5400000" cy="2621538"/>
            <wp:effectExtent l="0" t="0" r="0" b="7620"/>
            <wp:docPr id="438085888" name="Figure 5" descr="Separate downstream SET50 news-forecasting audit and locked intrinsic Bull-Bear-Leader sentiment audit."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8588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00" cy="2621538"/>
                    </a:xfrm>
                    <a:prstGeom prst="rect">
                      <a:avLst/>
                    </a:prstGeom>
                  </pic:spPr>
                </pic:pic>
              </a:graphicData>
            </a:graphic>
          </wp:inline>
        </w:drawing>
      </w:r>
    </w:p>
    <w:p w14:paraId="3F8161DB" w14:textId="77777777" w:rsidR="004A3C24" w:rsidRPr="004A3C24" w:rsidRDefault="00880654" w:rsidP="009960B6">
      <w:pPr>
        <w:keepLines/>
        <w:spacing w:before="60" w:after="180" w:line="240" w:lineRule="auto"/>
        <w:jc w:val="center"/>
        <w:rPr>
          <w:rFonts w:ascii="Times New Roman" w:hAnsi="Times New Roman" w:cs="Times New Roman"/>
          <w:bCs/>
          <w:sz w:val="24"/>
          <w:szCs w:val="24"/>
        </w:rPr>
      </w:pPr>
      <w:r>
        <w:rPr>
          <w:rFonts w:ascii="Times New Roman" w:hAnsi="Times New Roman" w:cs="Times New Roman"/>
          <w:b/>
          <w:bCs/>
          <w:sz w:val="24"/>
          <w:szCs w:val="24"/>
        </w:rPr>
        <w:t>Figure 5. Separate multimodal forecasting and role-structured sentiment audits. The forecasting experiment compares Market-Only with point-in-time Local-NLP predicted news and its falsification controls. The locked 2023 Bull/Bear/Leader benchmark is evaluated only against compute-matched sentiment controls and is not used as a downstream forecasting arm.</w:t>
      </w:r>
    </w:p>
    <w:p w14:paraId="6193D271" w14:textId="77777777"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lastRenderedPageBreak/>
        <w:t>3.7 Causal market regimes and SHAP selection</w:t>
      </w:r>
    </w:p>
    <w:p w14:paraId="7EFD289E" w14:textId="77777777" w:rsidR="009960B6" w:rsidRPr="0034462D" w:rsidRDefault="0034462D" w:rsidP="0034462D">
      <w:pPr>
        <w:spacing w:line="360" w:lineRule="auto"/>
        <w:jc w:val="both"/>
        <w:rPr>
          <w:rFonts w:ascii="Times New Roman" w:hAnsi="Times New Roman" w:cs="Times New Roman"/>
          <w:color w:val="000000"/>
          <w:sz w:val="24"/>
        </w:rPr>
      </w:pPr>
      <w:r w:rsidRPr="0034462D">
        <w:rPr>
          <w:rFonts w:ascii="Times New Roman" w:hAnsi="Times New Roman" w:cs="Times New Roman"/>
          <w:color w:val="000000"/>
          <w:sz w:val="24"/>
        </w:rPr>
        <w:t>Daily regimes are assigned without future information using the causal trend score in Eq. (7). H contains the six return horizons in Eq. (8); sigma_(</w:t>
      </w:r>
      <w:proofErr w:type="spellStart"/>
      <w:proofErr w:type="gramStart"/>
      <w:r w:rsidRPr="0034462D">
        <w:rPr>
          <w:rFonts w:ascii="Times New Roman" w:hAnsi="Times New Roman" w:cs="Times New Roman"/>
          <w:color w:val="000000"/>
          <w:sz w:val="24"/>
        </w:rPr>
        <w:t>t,v</w:t>
      </w:r>
      <w:proofErr w:type="spellEnd"/>
      <w:proofErr w:type="gramEnd"/>
      <w:r w:rsidRPr="0034462D">
        <w:rPr>
          <w:rFonts w:ascii="Times New Roman" w:hAnsi="Times New Roman" w:cs="Times New Roman"/>
          <w:color w:val="000000"/>
          <w:sz w:val="24"/>
        </w:rPr>
        <w:t>(h)) is trailing volatility, with v(h)=20 sessions for h up to 20 and 60 sessions for h=60. ADX_(</w:t>
      </w:r>
      <w:proofErr w:type="gramStart"/>
      <w:r w:rsidRPr="0034462D">
        <w:rPr>
          <w:rFonts w:ascii="Times New Roman" w:hAnsi="Times New Roman" w:cs="Times New Roman"/>
          <w:color w:val="000000"/>
          <w:sz w:val="24"/>
        </w:rPr>
        <w:t>14,t</w:t>
      </w:r>
      <w:proofErr w:type="gramEnd"/>
      <w:r w:rsidRPr="0034462D">
        <w:rPr>
          <w:rFonts w:ascii="Times New Roman" w:hAnsi="Times New Roman" w:cs="Times New Roman"/>
          <w:color w:val="000000"/>
          <w:sz w:val="24"/>
        </w:rPr>
        <w:t xml:space="preserve">) scales trend strength and EWMA_3 </w:t>
      </w:r>
      <w:proofErr w:type="gramStart"/>
      <w:r w:rsidRPr="0034462D">
        <w:rPr>
          <w:rFonts w:ascii="Times New Roman" w:hAnsi="Times New Roman" w:cs="Times New Roman"/>
          <w:color w:val="000000"/>
          <w:sz w:val="24"/>
        </w:rPr>
        <w:t>smooths</w:t>
      </w:r>
      <w:proofErr w:type="gramEnd"/>
      <w:r w:rsidRPr="0034462D">
        <w:rPr>
          <w:rFonts w:ascii="Times New Roman" w:hAnsi="Times New Roman" w:cs="Times New Roman"/>
          <w:color w:val="000000"/>
          <w:sz w:val="24"/>
        </w:rPr>
        <w:t xml:space="preserve"> the composite score. The construction adapts bull/bear phase analysis, multi-horizon time-series momentum and ADX trend strength to a causal day-level routing rule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{"citationID":"6e9e6216","properties":{"unsorted":false,"formattedCitation":"(Pagan \u0026 Sossounov, 2003; Moskowitz et al., 2012; Wilder, 1978)","plainCitation":"(Pagan \u0026 Sossounov, 2003; Moskowitz et al., 2012; Wilder, 1978)","noteIndex":0},"citationItems":[{"id":20,"uris":["http://zotero.org/users/local/DPQnJvcs/items/RQKMDA85"],"itemData":{"id":20,"type":"article-journal","container-title":"Journal of Applied Econometrics","DOI":"10.1002/jae.664","issue":"1","page":"23–46","title":"A Simple Framework for Analysing Bull and Bear Markets","volume":"18","author":[{"family":"Pagan","given":"Adrian R."},{"family":"Sossounov","given":"Kirill A."}],"issued":{"date-parts":[["2003"]]}}},{"id":21,"uris":["http://zotero.org/users/local/DPQnJvcs/items/9TALPZW5"],"itemData":{"id":21,"type":"article-journal","container-title":"Journal of Financial Economics","DOI":"10.1016/j.jfineco.2011.11.003","issue":"2","page":"228–250","title":"Time Series Momentum","volume":"104","author":[{"family":"Moskowitz","given":"Tobias J."},{"family":"Ooi","given":"Yao Hua"},{"family":"Pedersen","given":"Lasse Heje"}],"issued":{"date-parts":[["2012"]]}}},{"id":22,"uris":["http://zotero.org/users/local/DPQnJvcs/items/HCF6V88D"],"itemData":{"id":22,"type":"book","publisher":"Trend Research","publisher-place":"Greensboro, NC","title":"New Concepts in Technical Trading Systems","author":[{"family":"Wilder","given":"J. Welles Jr."}],"issued":{"date-parts":[["1978"]]}}}],"schema":"https://github.com/citation-style-language/schema/raw/master/csl-citation.json"} </w:instrText>
      </w:r>
      <w:r>
        <w:rPr>
          <w:rFonts w:ascii="Times New Roman" w:eastAsia="Times New Roman" w:hAnsi="Times New Roman" w:cs="Times New Roman"/>
          <w:b/>
          <w:sz w:val="24"/>
          <w:szCs w:val="24"/>
        </w:rPr>
        <w:fldChar w:fldCharType="separate"/>
      </w:r>
      <w:r w:rsidRPr="0034462D">
        <w:rPr>
          <w:rFonts w:ascii="Times New Roman" w:hAnsi="Times New Roman" w:cs="Times New Roman"/>
          <w:sz w:val="24"/>
        </w:rPr>
        <w:t>(Pagan &amp; Sossounov, 2003; Moskowitz et al., 2012; Wilder, 1978)</w:t>
      </w:r>
      <w:r>
        <w:rPr>
          <w:rFonts w:ascii="Times New Roman" w:eastAsia="Times New Roman" w:hAnsi="Times New Roman" w:cs="Times New Roman"/>
          <w:b/>
          <w:sz w:val="24"/>
          <w:szCs w:val="24"/>
        </w:rPr>
        <w:fldChar w:fldCharType="end"/>
      </w:r>
      <w:r w:rsidRPr="0034462D">
        <w:rPr>
          <w:rFonts w:ascii="Times New Roman" w:hAnsi="Times New Roman" w:cs="Times New Roman"/>
          <w:color w:val="000000"/>
          <w:sz w:val="24"/>
        </w:rPr>
        <w:t>.</w:t>
      </w:r>
    </w:p>
    <w:p w14:paraId="510C20FF" w14:textId="77777777" w:rsidR="009960B6" w:rsidRPr="009960B6" w:rsidRDefault="009960B6" w:rsidP="009960B6">
      <w:pPr>
        <w:keepLines/>
        <w:tabs>
          <w:tab w:val="center" w:pos="4680"/>
          <w:tab w:val="right" w:pos="9360"/>
        </w:tabs>
        <w:spacing w:before="80" w:after="80" w:line="240" w:lineRule="auto"/>
        <w:rPr>
          <w:rFonts w:ascii="Times New Roman" w:hAnsi="Times New Roman" w:cs="Times New Roman"/>
        </w:rPr>
      </w:pPr>
      <w:r w:rsidRPr="009960B6">
        <w:rPr>
          <w:rFonts w:ascii="Times New Roman" w:hAnsi="Times New Roman" w:cs="Times New Roman" w:hint="eastAsia"/>
        </w:rPr>
        <w:tab/>
      </w:r>
      <m:oMath>
        <m:sSub>
          <m:sSubPr>
            <m:ctrlPr>
              <w:rPr>
                <w:rFonts w:ascii="Cambria Math" w:hAnsi="Cambria Math" w:cs="Times New Roman"/>
                <w:i/>
              </w:rPr>
            </m:ctrlPr>
          </m:sSubPr>
          <m:e>
            <m:r>
              <w:rPr>
                <w:rFonts w:ascii="Cambria Math" w:hAnsi="Cambria Math" w:cs="Times New Roman" w:hint="eastAsia"/>
              </w:rPr>
              <m:t>z</m:t>
            </m:r>
            <m:ctrlPr>
              <w:rPr>
                <w:rFonts w:ascii="Cambria Math" w:hAnsi="Cambria Math" w:cs="Times New Roman" w:hint="eastAsia"/>
                <w:i/>
              </w:rPr>
            </m:ctrlPr>
          </m:e>
          <m:sub>
            <m:r>
              <w:rPr>
                <w:rFonts w:ascii="Cambria Math" w:hAnsi="Cambria Math" w:cs="Times New Roman" w:hint="eastAsia"/>
              </w:rPr>
              <m:t>t</m:t>
            </m:r>
          </m:sub>
        </m:sSub>
        <m:r>
          <w:rPr>
            <w:rFonts w:ascii="Cambria Math" w:hAnsi="Cambria Math" w:cs="Times New Roman" w:hint="eastAsia"/>
          </w:rPr>
          <m:t>=EWM</m:t>
        </m:r>
        <m:sSub>
          <m:sSubPr>
            <m:ctrlPr>
              <w:rPr>
                <w:rFonts w:ascii="Cambria Math" w:hAnsi="Cambria Math" w:cs="Times New Roman"/>
                <w:i/>
              </w:rPr>
            </m:ctrlPr>
          </m:sSubPr>
          <m:e>
            <m:r>
              <w:rPr>
                <w:rFonts w:ascii="Cambria Math" w:hAnsi="Cambria Math" w:cs="Times New Roman" w:hint="eastAsia"/>
              </w:rPr>
              <m:t>A</m:t>
            </m:r>
            <m:ctrlPr>
              <w:rPr>
                <w:rFonts w:ascii="Cambria Math" w:hAnsi="Cambria Math" w:cs="Times New Roman" w:hint="eastAsia"/>
                <w:i/>
              </w:rPr>
            </m:ctrlPr>
          </m:e>
          <m:sub>
            <m:r>
              <w:rPr>
                <w:rFonts w:ascii="Cambria Math" w:hAnsi="Cambria Math" w:cs="Times New Roman" w:hint="eastAsia"/>
              </w:rPr>
              <m:t>3</m:t>
            </m:r>
            <m:d>
              <m:dPr>
                <m:begChr m:val="["/>
                <m:endChr m:val="]"/>
                <m:ctrlPr>
                  <w:rPr>
                    <w:rFonts w:ascii="Cambria Math" w:hAnsi="Cambria Math" w:cs="Times New Roman"/>
                    <w:i/>
                  </w:rPr>
                </m:ctrlPr>
              </m:d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hint="eastAsia"/>
                          </w:rPr>
                          <m:t>AD</m:t>
                        </m:r>
                        <m:sSub>
                          <m:sSubPr>
                            <m:ctrlPr>
                              <w:rPr>
                                <w:rFonts w:ascii="Cambria Math" w:hAnsi="Cambria Math" w:cs="Times New Roman"/>
                                <w:i/>
                              </w:rPr>
                            </m:ctrlPr>
                          </m:sSubPr>
                          <m:e>
                            <m:r>
                              <w:rPr>
                                <w:rFonts w:ascii="Cambria Math" w:hAnsi="Cambria Math" w:cs="Times New Roman" w:hint="eastAsia"/>
                              </w:rPr>
                              <m:t>X</m:t>
                            </m:r>
                            <m:ctrlPr>
                              <w:rPr>
                                <w:rFonts w:ascii="Cambria Math" w:hAnsi="Cambria Math" w:cs="Times New Roman" w:hint="eastAsia"/>
                                <w:i/>
                              </w:rPr>
                            </m:ctrlPr>
                          </m:e>
                          <m:sub>
                            <m:r>
                              <w:rPr>
                                <w:rFonts w:ascii="Cambria Math" w:hAnsi="Cambria Math" w:cs="Times New Roman" w:hint="eastAsia"/>
                              </w:rPr>
                              <m:t>14,t</m:t>
                            </m:r>
                          </m:sub>
                        </m:sSub>
                      </m:num>
                      <m:den>
                        <m:r>
                          <w:rPr>
                            <w:rFonts w:ascii="Cambria Math" w:hAnsi="Cambria Math" w:cs="Times New Roman" w:hint="eastAsia"/>
                          </w:rPr>
                          <m:t>100</m:t>
                        </m:r>
                      </m:den>
                    </m:f>
                  </m:e>
                </m:d>
                <m:nary>
                  <m:naryPr>
                    <m:chr m:val="∑"/>
                    <m:supHide m:val="1"/>
                    <m:ctrlPr>
                      <w:rPr>
                        <w:rFonts w:ascii="Cambria Math" w:hAnsi="Cambria Math" w:cs="Times New Roman"/>
                        <w:i/>
                      </w:rPr>
                    </m:ctrlPr>
                  </m:naryPr>
                  <m:sub>
                    <m:r>
                      <w:rPr>
                        <w:rFonts w:ascii="Cambria Math" w:hAnsi="Cambria Math" w:cs="Cambria Math"/>
                      </w:rPr>
                      <m:t>h</m:t>
                    </m:r>
                    <m:r>
                      <w:rPr>
                        <w:rFonts w:ascii="Cambria Math" w:hAnsi="Cambria Math" w:cs="Times New Roman" w:hint="eastAsia"/>
                      </w:rPr>
                      <m:t>∈</m:t>
                    </m:r>
                    <m:r>
                      <w:rPr>
                        <w:rFonts w:ascii="Cambria Math" w:hAnsi="Cambria Math" w:cs="Times New Roman" w:hint="eastAsia"/>
                      </w:rPr>
                      <m:t>H</m:t>
                    </m:r>
                  </m:sub>
                  <m:sup/>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hint="eastAsia"/>
                              </w:rPr>
                              <m:t>w</m:t>
                            </m:r>
                          </m:e>
                          <m:sub>
                            <m:r>
                              <w:rPr>
                                <w:rFonts w:ascii="Cambria Math" w:hAnsi="Cambria Math" w:cs="Cambria Math"/>
                              </w:rPr>
                              <m:t>h</m:t>
                            </m:r>
                          </m:sub>
                        </m:sSub>
                        <m:sSub>
                          <m:sSubPr>
                            <m:ctrlPr>
                              <w:rPr>
                                <w:rFonts w:ascii="Cambria Math" w:hAnsi="Cambria Math" w:cs="Times New Roman"/>
                                <w:i/>
                              </w:rPr>
                            </m:ctrlPr>
                          </m:sSubPr>
                          <m:e>
                            <m:r>
                              <w:rPr>
                                <w:rFonts w:ascii="Cambria Math" w:hAnsi="Cambria Math" w:cs="Times New Roman" w:hint="eastAsia"/>
                              </w:rPr>
                              <m:t>R</m:t>
                            </m:r>
                            <m:ctrlPr>
                              <w:rPr>
                                <w:rFonts w:ascii="Cambria Math" w:hAnsi="Cambria Math" w:cs="Times New Roman" w:hint="eastAsia"/>
                                <w:i/>
                              </w:rPr>
                            </m:ctrlPr>
                          </m:e>
                          <m:sub>
                            <m:r>
                              <w:rPr>
                                <w:rFonts w:ascii="Cambria Math" w:hAnsi="Cambria Math" w:cs="Times New Roman" w:hint="eastAsia"/>
                              </w:rPr>
                              <m:t>t,</m:t>
                            </m:r>
                            <m:r>
                              <w:rPr>
                                <w:rFonts w:ascii="Cambria Math" w:hAnsi="Cambria Math" w:cs="Cambria Math"/>
                              </w:rPr>
                              <m:t>h</m:t>
                            </m:r>
                          </m:sub>
                        </m:sSub>
                      </m:num>
                      <m:den>
                        <m:sSub>
                          <m:sSubPr>
                            <m:ctrlPr>
                              <w:rPr>
                                <w:rFonts w:ascii="Cambria Math" w:hAnsi="Cambria Math" w:cs="Times New Roman"/>
                                <w:i/>
                              </w:rPr>
                            </m:ctrlPr>
                          </m:sSubPr>
                          <m:e>
                            <m:r>
                              <w:rPr>
                                <w:rFonts w:ascii="Cambria Math" w:hAnsi="Cambria Math" w:cs="Times New Roman" w:hint="eastAsia"/>
                              </w:rPr>
                              <m:t>σ</m:t>
                            </m:r>
                          </m:e>
                          <m:sub>
                            <m:r>
                              <w:rPr>
                                <w:rFonts w:ascii="Cambria Math" w:hAnsi="Cambria Math" w:cs="Times New Roman" w:hint="eastAsia"/>
                              </w:rPr>
                              <m:t>t,v</m:t>
                            </m:r>
                            <m:d>
                              <m:dPr>
                                <m:ctrlPr>
                                  <w:rPr>
                                    <w:rFonts w:ascii="Cambria Math" w:hAnsi="Cambria Math" w:cs="Times New Roman"/>
                                    <w:i/>
                                  </w:rPr>
                                </m:ctrlPr>
                              </m:dPr>
                              <m:e>
                                <m:r>
                                  <w:rPr>
                                    <w:rFonts w:ascii="Cambria Math" w:hAnsi="Cambria Math" w:cs="Cambria Math"/>
                                  </w:rPr>
                                  <m:t>h</m:t>
                                </m:r>
                              </m:e>
                            </m:d>
                          </m:sub>
                        </m:sSub>
                        <m:r>
                          <w:rPr>
                            <w:rFonts w:ascii="Cambria Math" w:hAnsi="Cambria Math" w:cs="Times New Roman" w:hint="eastAsia"/>
                          </w:rPr>
                          <m:t>sqrt</m:t>
                        </m:r>
                        <m:d>
                          <m:dPr>
                            <m:ctrlPr>
                              <w:rPr>
                                <w:rFonts w:ascii="Cambria Math" w:hAnsi="Cambria Math" w:cs="Times New Roman"/>
                                <w:i/>
                              </w:rPr>
                            </m:ctrlPr>
                          </m:dPr>
                          <m:e>
                            <m:r>
                              <w:rPr>
                                <w:rFonts w:ascii="Cambria Math" w:hAnsi="Cambria Math" w:cs="Cambria Math"/>
                              </w:rPr>
                              <m:t>h</m:t>
                            </m:r>
                          </m:e>
                        </m:d>
                      </m:den>
                    </m:f>
                  </m:e>
                </m:nary>
              </m:e>
            </m:d>
          </m:sub>
        </m:sSub>
      </m:oMath>
      <w:r w:rsidRPr="009960B6">
        <w:rPr>
          <w:rFonts w:ascii="Times New Roman" w:hAnsi="Times New Roman" w:cs="Times New Roman" w:hint="eastAsia"/>
        </w:rPr>
        <w:tab/>
      </w:r>
      <w:r w:rsidR="0034462D">
        <w:rPr>
          <w:rFonts w:ascii="Times New Roman" w:hAnsi="Times New Roman" w:cs="Times New Roman"/>
        </w:rPr>
        <w:t>(7)</w:t>
      </w:r>
    </w:p>
    <w:p w14:paraId="595AAA2E" w14:textId="77777777" w:rsidR="009960B6" w:rsidRPr="009960B6" w:rsidRDefault="009960B6" w:rsidP="009960B6">
      <w:pPr>
        <w:keepLines/>
        <w:tabs>
          <w:tab w:val="center" w:pos="4680"/>
          <w:tab w:val="right" w:pos="9360"/>
        </w:tabs>
        <w:spacing w:before="80" w:after="80" w:line="240" w:lineRule="auto"/>
        <w:rPr>
          <w:rFonts w:ascii="Times New Roman" w:hAnsi="Times New Roman" w:cs="Times New Roman"/>
        </w:rPr>
      </w:pPr>
      <w:r w:rsidRPr="009960B6">
        <w:rPr>
          <w:rFonts w:ascii="Times New Roman" w:hAnsi="Times New Roman" w:cs="Times New Roman"/>
        </w:rPr>
        <w:tab/>
      </w:r>
      <m:oMath>
        <m:r>
          <w:rPr>
            <w:rFonts w:ascii="Cambria Math" w:hAnsi="Cambria Math" w:cs="Times New Roman"/>
          </w:rPr>
          <m:t>H=</m:t>
        </m:r>
        <m:d>
          <m:dPr>
            <m:begChr m:val="{"/>
            <m:endChr m:val="}"/>
            <m:ctrlPr>
              <w:rPr>
                <w:rFonts w:ascii="Cambria Math" w:hAnsi="Cambria Math" w:cs="Times New Roman"/>
                <w:i/>
              </w:rPr>
            </m:ctrlPr>
          </m:dPr>
          <m:e>
            <m:r>
              <w:rPr>
                <w:rFonts w:ascii="Cambria Math" w:hAnsi="Cambria Math" w:cs="Times New Roman"/>
              </w:rPr>
              <m:t>1,3,5,10,20,60</m:t>
            </m:r>
          </m:e>
        </m:d>
        <m:r>
          <w:rPr>
            <w:rFonts w:ascii="Cambria Math" w:hAnsi="Cambria Math" w:cs="Times New Roman"/>
          </w:rPr>
          <m:t>, w=</m:t>
        </m:r>
        <m:d>
          <m:dPr>
            <m:ctrlPr>
              <w:rPr>
                <w:rFonts w:ascii="Cambria Math" w:hAnsi="Cambria Math" w:cs="Times New Roman"/>
                <w:i/>
              </w:rPr>
            </m:ctrlPr>
          </m:dPr>
          <m:e>
            <m:r>
              <w:rPr>
                <w:rFonts w:ascii="Cambria Math" w:hAnsi="Cambria Math" w:cs="Times New Roman"/>
              </w:rPr>
              <m:t>0.05,0.10,0.15,0.20,0.25,0.25</m:t>
            </m:r>
          </m:e>
        </m:d>
      </m:oMath>
      <w:r w:rsidRPr="009960B6">
        <w:rPr>
          <w:rFonts w:ascii="Times New Roman" w:hAnsi="Times New Roman" w:cs="Times New Roman"/>
        </w:rPr>
        <w:tab/>
      </w:r>
      <w:r w:rsidR="0034462D">
        <w:rPr>
          <w:rFonts w:ascii="Times New Roman" w:hAnsi="Times New Roman" w:cs="Times New Roman"/>
        </w:rPr>
        <w:t>(8)</w:t>
      </w:r>
    </w:p>
    <w:p w14:paraId="063F94DC" w14:textId="77777777" w:rsidR="009960B6" w:rsidRPr="0034462D" w:rsidRDefault="0034462D" w:rsidP="0034462D">
      <w:pPr>
        <w:spacing w:line="360" w:lineRule="auto"/>
        <w:jc w:val="both"/>
        <w:rPr>
          <w:rFonts w:ascii="Times New Roman" w:hAnsi="Times New Roman" w:cs="Times New Roman"/>
          <w:color w:val="000000"/>
          <w:sz w:val="24"/>
        </w:rPr>
      </w:pPr>
      <w:r w:rsidRPr="0034462D">
        <w:rPr>
          <w:rFonts w:ascii="Times New Roman" w:hAnsi="Times New Roman" w:cs="Times New Roman"/>
          <w:color w:val="000000"/>
          <w:sz w:val="24"/>
        </w:rPr>
        <w:t xml:space="preserve">For outer fold f, the symmetric deadband </w:t>
      </w:r>
      <w:proofErr w:type="spellStart"/>
      <w:r w:rsidRPr="0034462D">
        <w:rPr>
          <w:rFonts w:ascii="Times New Roman" w:hAnsi="Times New Roman" w:cs="Times New Roman"/>
          <w:color w:val="000000"/>
          <w:sz w:val="24"/>
        </w:rPr>
        <w:t>lambda_f</w:t>
      </w:r>
      <w:proofErr w:type="spellEnd"/>
      <w:r w:rsidRPr="0034462D">
        <w:rPr>
          <w:rFonts w:ascii="Times New Roman" w:hAnsi="Times New Roman" w:cs="Times New Roman"/>
          <w:color w:val="000000"/>
          <w:sz w:val="24"/>
        </w:rPr>
        <w:t xml:space="preserve"> in Eq. (9) is the 35th percentile of absolute training-fold scores only. Date t is Bull when </w:t>
      </w:r>
      <w:proofErr w:type="spellStart"/>
      <w:r w:rsidRPr="0034462D">
        <w:rPr>
          <w:rFonts w:ascii="Times New Roman" w:hAnsi="Times New Roman" w:cs="Times New Roman"/>
          <w:color w:val="000000"/>
          <w:sz w:val="24"/>
        </w:rPr>
        <w:t>z_t</w:t>
      </w:r>
      <w:proofErr w:type="spellEnd"/>
      <w:r w:rsidRPr="0034462D">
        <w:rPr>
          <w:rFonts w:ascii="Times New Roman" w:hAnsi="Times New Roman" w:cs="Times New Roman"/>
          <w:color w:val="000000"/>
          <w:sz w:val="24"/>
        </w:rPr>
        <w:t xml:space="preserve"> exceeds </w:t>
      </w:r>
      <w:proofErr w:type="spellStart"/>
      <w:r w:rsidRPr="0034462D">
        <w:rPr>
          <w:rFonts w:ascii="Times New Roman" w:hAnsi="Times New Roman" w:cs="Times New Roman"/>
          <w:color w:val="000000"/>
          <w:sz w:val="24"/>
        </w:rPr>
        <w:t>lambda_f</w:t>
      </w:r>
      <w:proofErr w:type="spellEnd"/>
      <w:r w:rsidRPr="0034462D">
        <w:rPr>
          <w:rFonts w:ascii="Times New Roman" w:hAnsi="Times New Roman" w:cs="Times New Roman"/>
          <w:color w:val="000000"/>
          <w:sz w:val="24"/>
        </w:rPr>
        <w:t xml:space="preserve">, Bear when </w:t>
      </w:r>
      <w:proofErr w:type="spellStart"/>
      <w:r w:rsidRPr="0034462D">
        <w:rPr>
          <w:rFonts w:ascii="Times New Roman" w:hAnsi="Times New Roman" w:cs="Times New Roman"/>
          <w:color w:val="000000"/>
          <w:sz w:val="24"/>
        </w:rPr>
        <w:t>z_t</w:t>
      </w:r>
      <w:proofErr w:type="spellEnd"/>
      <w:r w:rsidRPr="0034462D">
        <w:rPr>
          <w:rFonts w:ascii="Times New Roman" w:hAnsi="Times New Roman" w:cs="Times New Roman"/>
          <w:color w:val="000000"/>
          <w:sz w:val="24"/>
        </w:rPr>
        <w:t xml:space="preserve"> is below -</w:t>
      </w:r>
      <w:proofErr w:type="spellStart"/>
      <w:r w:rsidRPr="0034462D">
        <w:rPr>
          <w:rFonts w:ascii="Times New Roman" w:hAnsi="Times New Roman" w:cs="Times New Roman"/>
          <w:color w:val="000000"/>
          <w:sz w:val="24"/>
        </w:rPr>
        <w:t>lambda_f</w:t>
      </w:r>
      <w:proofErr w:type="spellEnd"/>
      <w:r w:rsidRPr="0034462D">
        <w:rPr>
          <w:rFonts w:ascii="Times New Roman" w:hAnsi="Times New Roman" w:cs="Times New Roman"/>
          <w:color w:val="000000"/>
          <w:sz w:val="24"/>
        </w:rPr>
        <w:t xml:space="preserve">, and </w:t>
      </w:r>
      <w:proofErr w:type="gramStart"/>
      <w:r w:rsidRPr="0034462D">
        <w:rPr>
          <w:rFonts w:ascii="Times New Roman" w:hAnsi="Times New Roman" w:cs="Times New Roman"/>
          <w:color w:val="000000"/>
          <w:sz w:val="24"/>
        </w:rPr>
        <w:t>Sideway</w:t>
      </w:r>
      <w:proofErr w:type="gramEnd"/>
      <w:r w:rsidRPr="0034462D">
        <w:rPr>
          <w:rFonts w:ascii="Times New Roman" w:hAnsi="Times New Roman" w:cs="Times New Roman"/>
          <w:color w:val="000000"/>
          <w:sz w:val="24"/>
        </w:rPr>
        <w:t xml:space="preserve"> otherwise. The state at t routes the prediction for t+1; targets and future columns are never used in regime construction. The train-only deadband is the study-specific causal adaptation of established bull/bear and momentum definitions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{"citationID":"a83b6b3b","properties":{"unsorted":false,"formattedCitation":"(Pagan \u0026 Sossounov, 2003; Moskowitz et al., 2012)","plainCitation":"(Pagan \u0026 Sossounov, 2003; Moskowitz et al., 2012)","noteIndex":0},"citationItems":[{"id":20,"uris":["http://zotero.org/users/local/DPQnJvcs/items/RQKMDA85"],"itemData":{"id":20,"type":"article-journal","container-title":"Journal of Applied Econometrics","DOI":"10.1002/jae.664","issue":"1","page":"23–46","title":"A Simple Framework for Analysing Bull and Bear Markets","volume":"18","author":[{"family":"Pagan","given":"Adrian R."},{"family":"Sossounov","given":"Kirill A."}],"issued":{"date-parts":[["2003"]]}}},{"id":21,"uris":["http://zotero.org/users/local/DPQnJvcs/items/9TALPZW5"],"itemData":{"id":21,"type":"article-journal","container-title":"Journal of Financial Economics","DOI":"10.1016/j.jfineco.2011.11.003","issue":"2","page":"228–250","title":"Time Series Momentum","volume":"104","author":[{"family":"Moskowitz","given":"Tobias J."},{"family":"Ooi","given":"Yao Hua"},{"family":"Pedersen","given":"Lasse Heje"}],"issued":{"date-parts":[["2012"]]}}}],"schema":"https://github.com/citation-style-language/schema/raw/master/csl-citation.json"} </w:instrText>
      </w:r>
      <w:r>
        <w:rPr>
          <w:rFonts w:ascii="Times New Roman" w:eastAsia="Times New Roman" w:hAnsi="Times New Roman" w:cs="Times New Roman"/>
          <w:b/>
          <w:sz w:val="24"/>
          <w:szCs w:val="24"/>
        </w:rPr>
        <w:fldChar w:fldCharType="separate"/>
      </w:r>
      <w:r w:rsidRPr="0034462D">
        <w:rPr>
          <w:rFonts w:ascii="Times New Roman" w:hAnsi="Times New Roman" w:cs="Times New Roman"/>
          <w:sz w:val="24"/>
        </w:rPr>
        <w:t>(Pagan &amp; Sossounov, 2003; Moskowitz et al., 2012)</w:t>
      </w:r>
      <w:r>
        <w:rPr>
          <w:rFonts w:ascii="Times New Roman" w:eastAsia="Times New Roman" w:hAnsi="Times New Roman" w:cs="Times New Roman"/>
          <w:b/>
          <w:sz w:val="24"/>
          <w:szCs w:val="24"/>
        </w:rPr>
        <w:fldChar w:fldCharType="end"/>
      </w:r>
      <w:r w:rsidRPr="0034462D">
        <w:rPr>
          <w:rFonts w:ascii="Times New Roman" w:hAnsi="Times New Roman" w:cs="Times New Roman"/>
          <w:color w:val="000000"/>
          <w:sz w:val="24"/>
        </w:rPr>
        <w:t>.</w:t>
      </w:r>
    </w:p>
    <w:p w14:paraId="503E6FD9" w14:textId="77777777"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21"/>
        </w:rPr>
      </w:pPr>
      <w:r w:rsidRPr="009960B6">
        <w:rPr>
          <w:rFonts w:ascii="Times New Roman" w:hAnsi="Times New Roman" w:cs="Times New Roman" w:hint="eastAsia"/>
          <w:sz w:val="21"/>
        </w:rPr>
        <w:tab/>
      </w:r>
      <m:oMath>
        <m:sSub>
          <m:sSubPr>
            <m:ctrlPr>
              <w:rPr>
                <w:rFonts w:ascii="Cambria Math" w:hAnsi="Cambria Math" w:cs="Times New Roman"/>
                <w:i/>
                <w:sz w:val="21"/>
              </w:rPr>
            </m:ctrlPr>
          </m:sSubPr>
          <m:e>
            <m:r>
              <w:rPr>
                <w:rFonts w:ascii="Cambria Math" w:hAnsi="Cambria Math" w:cs="Times New Roman" w:hint="eastAsia"/>
                <w:sz w:val="21"/>
              </w:rPr>
              <m:t>λ</m:t>
            </m:r>
            <m:ctrlPr>
              <w:rPr>
                <w:rFonts w:ascii="Cambria Math" w:hAnsi="Cambria Math" w:cs="Times New Roman" w:hint="eastAsia"/>
                <w:i/>
                <w:sz w:val="21"/>
              </w:rPr>
            </m:ctrlPr>
          </m:e>
          <m:sub>
            <m:r>
              <w:rPr>
                <w:rFonts w:ascii="Cambria Math" w:hAnsi="Cambria Math" w:cs="Times New Roman" w:hint="eastAsia"/>
                <w:sz w:val="21"/>
              </w:rPr>
              <m:t>f</m:t>
            </m:r>
          </m:sub>
        </m:sSub>
        <m:r>
          <w:rPr>
            <w:rFonts w:ascii="Cambria Math" w:hAnsi="Cambria Math" w:cs="Times New Roman" w:hint="eastAsia"/>
            <w:sz w:val="21"/>
          </w:rPr>
          <m:t>=</m:t>
        </m:r>
        <m:sSub>
          <m:sSubPr>
            <m:ctrlPr>
              <w:rPr>
                <w:rFonts w:ascii="Cambria Math" w:hAnsi="Cambria Math" w:cs="Times New Roman"/>
                <w:i/>
                <w:sz w:val="21"/>
              </w:rPr>
            </m:ctrlPr>
          </m:sSubPr>
          <m:e>
            <m:r>
              <w:rPr>
                <w:rFonts w:ascii="Cambria Math" w:hAnsi="Cambria Math" w:cs="Times New Roman" w:hint="eastAsia"/>
                <w:sz w:val="21"/>
              </w:rPr>
              <m:t>Q</m:t>
            </m:r>
          </m:e>
          <m:sub>
            <m:d>
              <m:dPr>
                <m:ctrlPr>
                  <w:rPr>
                    <w:rFonts w:ascii="Cambria Math" w:hAnsi="Cambria Math" w:cs="Times New Roman"/>
                    <w:i/>
                    <w:sz w:val="21"/>
                  </w:rPr>
                </m:ctrlPr>
              </m:dPr>
              <m:e>
                <m:r>
                  <w:rPr>
                    <w:rFonts w:ascii="Cambria Math" w:hAnsi="Cambria Math" w:cs="Times New Roman" w:hint="eastAsia"/>
                    <w:sz w:val="21"/>
                  </w:rPr>
                  <m:t>0.35</m:t>
                </m:r>
              </m:e>
            </m:d>
            <m:d>
              <m:dPr>
                <m:ctrlPr>
                  <w:rPr>
                    <w:rFonts w:ascii="Cambria Math" w:hAnsi="Cambria Math" w:cs="Times New Roman"/>
                    <w:i/>
                    <w:sz w:val="21"/>
                  </w:rPr>
                </m:ctrlPr>
              </m:dPr>
              <m:e>
                <m:d>
                  <m:dPr>
                    <m:begChr m:val="{"/>
                    <m:endChr m:val="}"/>
                    <m:ctrlPr>
                      <w:rPr>
                        <w:rFonts w:ascii="Cambria Math" w:hAnsi="Cambria Math" w:cs="Times New Roman"/>
                        <w:i/>
                        <w:sz w:val="21"/>
                      </w:rPr>
                    </m:ctrlPr>
                  </m:dPr>
                  <m:e>
                    <m:d>
                      <m:dPr>
                        <m:begChr m:val="|"/>
                        <m:endChr m:val="|"/>
                        <m:ctrlPr>
                          <w:rPr>
                            <w:rFonts w:ascii="Cambria Math" w:hAnsi="Cambria Math" w:cs="Times New Roman"/>
                            <w:i/>
                            <w:sz w:val="21"/>
                          </w:rPr>
                        </m:ctrlPr>
                      </m:dPr>
                      <m:e>
                        <m:sSub>
                          <m:sSubPr>
                            <m:ctrlPr>
                              <w:rPr>
                                <w:rFonts w:ascii="Cambria Math" w:hAnsi="Cambria Math" w:cs="Times New Roman"/>
                                <w:i/>
                                <w:sz w:val="21"/>
                              </w:rPr>
                            </m:ctrlPr>
                          </m:sSubPr>
                          <m:e>
                            <m:r>
                              <w:rPr>
                                <w:rFonts w:ascii="Cambria Math" w:hAnsi="Cambria Math" w:cs="Times New Roman" w:hint="eastAsia"/>
                                <w:sz w:val="21"/>
                              </w:rPr>
                              <m:t>z</m:t>
                            </m:r>
                          </m:e>
                          <m:sub>
                            <m:r>
                              <w:rPr>
                                <w:rFonts w:ascii="Cambria Math" w:hAnsi="Cambria Math" w:cs="Times New Roman" w:hint="eastAsia"/>
                                <w:sz w:val="21"/>
                              </w:rPr>
                              <m:t>t</m:t>
                            </m:r>
                          </m:sub>
                        </m:sSub>
                      </m:e>
                    </m:d>
                    <m:r>
                      <w:rPr>
                        <w:rFonts w:ascii="Cambria Math" w:hAnsi="Cambria Math" w:cs="Times New Roman" w:hint="eastAsia"/>
                        <w:sz w:val="21"/>
                      </w:rPr>
                      <m:t>:t</m:t>
                    </m:r>
                    <m:r>
                      <w:rPr>
                        <w:rFonts w:ascii="Cambria Math" w:hAnsi="Cambria Math" w:cs="Times New Roman" w:hint="eastAsia"/>
                        <w:sz w:val="21"/>
                      </w:rPr>
                      <m:t>∈</m:t>
                    </m:r>
                    <m:sSub>
                      <m:sSubPr>
                        <m:ctrlPr>
                          <w:rPr>
                            <w:rFonts w:ascii="Cambria Math" w:hAnsi="Cambria Math" w:cs="Times New Roman"/>
                            <w:i/>
                            <w:sz w:val="21"/>
                          </w:rPr>
                        </m:ctrlPr>
                      </m:sSubPr>
                      <m:e>
                        <m:r>
                          <w:rPr>
                            <w:rFonts w:ascii="Cambria Math" w:hAnsi="Cambria Math" w:cs="Times New Roman" w:hint="eastAsia"/>
                            <w:sz w:val="21"/>
                          </w:rPr>
                          <m:t>T</m:t>
                        </m:r>
                      </m:e>
                      <m:sub>
                        <m:r>
                          <w:rPr>
                            <w:rFonts w:ascii="Cambria Math" w:hAnsi="Cambria Math" w:cs="Times New Roman" w:hint="eastAsia"/>
                            <w:sz w:val="21"/>
                          </w:rPr>
                          <m:t>f</m:t>
                        </m:r>
                      </m:sub>
                    </m:sSub>
                  </m:e>
                </m:d>
              </m:e>
            </m:d>
          </m:sub>
        </m:sSub>
      </m:oMath>
      <w:r w:rsidRPr="009960B6">
        <w:rPr>
          <w:rFonts w:ascii="Times New Roman" w:hAnsi="Times New Roman" w:cs="Times New Roman" w:hint="eastAsia"/>
          <w:sz w:val="21"/>
        </w:rPr>
        <w:tab/>
      </w:r>
      <w:r w:rsidR="0034462D">
        <w:rPr>
          <w:rFonts w:ascii="Times New Roman" w:hAnsi="Times New Roman" w:cs="Times New Roman"/>
          <w:sz w:val="21"/>
        </w:rPr>
        <w:t>(9)</w:t>
      </w:r>
    </w:p>
    <w:p w14:paraId="0655ACF4" w14:textId="77777777"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SHAP rankings used Gradient Explainer with 100 training-only background sequences, at most 128 evenly spaced training ranking sequences, 200 samples, deterministic cell seeds and float32 tensors. Candidate feature counts were 10, 20, 30, 40, 60, 80, 100 and 122. A one-standard-error rule with balanced-accuracy, model-error, RMSE and temporal-Jaccard guardrails selected the smallest stable subset. Frozen counts were 122 globally, 30 for Bull, 122 for Sideway and 80 for Bear; a Spearman selector used the same counts as a size-matched comparator.</w:t>
      </w:r>
    </w:p>
    <w:p w14:paraId="1FD8CD4E" w14:textId="77777777" w:rsidR="009960B6" w:rsidRPr="0034462D" w:rsidRDefault="0034462D" w:rsidP="0034462D">
      <w:pPr>
        <w:spacing w:line="360" w:lineRule="auto"/>
        <w:jc w:val="both"/>
        <w:rPr>
          <w:rFonts w:ascii="Times New Roman" w:hAnsi="Times New Roman" w:cs="Times New Roman"/>
          <w:color w:val="000000"/>
          <w:sz w:val="24"/>
        </w:rPr>
      </w:pPr>
      <w:r w:rsidRPr="0034462D">
        <w:rPr>
          <w:rFonts w:ascii="Times New Roman" w:hAnsi="Times New Roman" w:cs="Times New Roman"/>
          <w:color w:val="000000"/>
          <w:sz w:val="24"/>
        </w:rPr>
        <w:t xml:space="preserve">Within regime r, feature j is ranked by the mean absolute SHAP value in Eq. (10), computed only from the training ranking set </w:t>
      </w:r>
      <w:proofErr w:type="spellStart"/>
      <w:r w:rsidRPr="0034462D">
        <w:rPr>
          <w:rFonts w:ascii="Times New Roman" w:hAnsi="Times New Roman" w:cs="Times New Roman"/>
          <w:color w:val="000000"/>
          <w:sz w:val="24"/>
        </w:rPr>
        <w:t>T_r</w:t>
      </w:r>
      <w:proofErr w:type="spellEnd"/>
      <w:r w:rsidRPr="0034462D">
        <w:rPr>
          <w:rFonts w:ascii="Times New Roman" w:hAnsi="Times New Roman" w:cs="Times New Roman"/>
          <w:color w:val="000000"/>
          <w:sz w:val="24"/>
        </w:rPr>
        <w:t xml:space="preserve">. The selected set </w:t>
      </w:r>
      <w:proofErr w:type="spellStart"/>
      <w:r w:rsidRPr="0034462D">
        <w:rPr>
          <w:rFonts w:ascii="Times New Roman" w:hAnsi="Times New Roman" w:cs="Times New Roman"/>
          <w:color w:val="000000"/>
          <w:sz w:val="24"/>
        </w:rPr>
        <w:t>S_r</w:t>
      </w:r>
      <w:proofErr w:type="spellEnd"/>
      <w:r w:rsidRPr="0034462D">
        <w:rPr>
          <w:rFonts w:ascii="Times New Roman" w:hAnsi="Times New Roman" w:cs="Times New Roman"/>
          <w:color w:val="000000"/>
          <w:sz w:val="24"/>
        </w:rPr>
        <w:t xml:space="preserve">(k) contains the </w:t>
      </w:r>
      <w:proofErr w:type="gramStart"/>
      <w:r w:rsidRPr="0034462D">
        <w:rPr>
          <w:rFonts w:ascii="Times New Roman" w:hAnsi="Times New Roman" w:cs="Times New Roman"/>
          <w:color w:val="000000"/>
          <w:sz w:val="24"/>
        </w:rPr>
        <w:t>k highest-ranked</w:t>
      </w:r>
      <w:proofErr w:type="gramEnd"/>
      <w:r w:rsidRPr="0034462D">
        <w:rPr>
          <w:rFonts w:ascii="Times New Roman" w:hAnsi="Times New Roman" w:cs="Times New Roman"/>
          <w:color w:val="000000"/>
          <w:sz w:val="24"/>
        </w:rPr>
        <w:t xml:space="preserve"> features. SHAP is an additive feature-attribution framework for assigning prediction-specific feature contributions </w:t>
      </w:r>
      <w:r w:rsidRPr="00823AE8">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{"citationID":"6876867d","properties":{"unsorted":false,"formattedCitation":"(Lundberg \u0026 Lee, 2017)","plainCitation":"(Lundberg \u0026 Lee, 2017)","noteIndex":0},"citationItems":[{"id":17,"uris":["http://zotero.org/users/local/DPQnJvcs/items/HGDYW6QX"],"itemData":{"id":17,"type":"paper-conference","container-title":"Advances in Neural Information Processing Systems","title":"A Unified Approach to Interpreting Model Predictions","URL":"https://proceedings.neurips.cc/paper_files/paper/2017/hash/8a20a8621978632d76c43dfd28b67767-Abstract.html","volume":"30","author":[{"family":"Lundberg","given":"Scott M."},{"family":"Lee","given":"Su-In"}],"issued":{"date-parts":[["2017"]]}}}],"schema":"https://github.com/citation-style-language/schema/raw/master/csl-citation.json"} </w:instrText>
      </w:r>
      <w:r w:rsidRPr="00823AE8">
        <w:rPr>
          <w:rFonts w:ascii="Times New Roman" w:hAnsi="Times New Roman" w:cs="Times New Roman"/>
          <w:sz w:val="24"/>
          <w:szCs w:val="24"/>
        </w:rPr>
        <w:fldChar w:fldCharType="separate"/>
      </w:r>
      <w:r w:rsidRPr="0034462D">
        <w:rPr>
          <w:rFonts w:ascii="Times New Roman" w:hAnsi="Times New Roman" w:cs="Times New Roman"/>
          <w:sz w:val="24"/>
        </w:rPr>
        <w:t>(Lundberg &amp; Lee, 2017)</w:t>
      </w:r>
      <w:r w:rsidRPr="00823AE8">
        <w:rPr>
          <w:rFonts w:ascii="Times New Roman" w:hAnsi="Times New Roman" w:cs="Times New Roman"/>
          <w:sz w:val="24"/>
          <w:szCs w:val="24"/>
        </w:rPr>
        <w:fldChar w:fldCharType="end"/>
      </w:r>
      <w:r w:rsidRPr="0034462D">
        <w:rPr>
          <w:rFonts w:ascii="Times New Roman" w:hAnsi="Times New Roman" w:cs="Times New Roman"/>
          <w:color w:val="000000"/>
          <w:sz w:val="24"/>
        </w:rPr>
        <w:t>.</w:t>
      </w:r>
    </w:p>
    <w:p w14:paraId="5B48F9CF" w14:textId="77777777" w:rsidR="009960B6" w:rsidRPr="009960B6" w:rsidRDefault="009960B6" w:rsidP="009960B6">
      <w:pPr>
        <w:keepLines/>
        <w:tabs>
          <w:tab w:val="center" w:pos="4680"/>
          <w:tab w:val="right" w:pos="9360"/>
        </w:tabs>
        <w:spacing w:before="80" w:after="80" w:line="240" w:lineRule="auto"/>
        <w:rPr>
          <w:rFonts w:ascii="Times New Roman" w:hAnsi="Times New Roman" w:cs="Times New Roman"/>
        </w:rPr>
      </w:pPr>
      <w:r w:rsidRPr="009960B6">
        <w:rPr>
          <w:rFonts w:ascii="Times New Roman" w:hAnsi="Times New Roman" w:cs="Times New Roman"/>
        </w:rPr>
        <w:tab/>
      </w: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r,j</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r</m:t>
                    </m:r>
                  </m:sub>
                </m:sSub>
              </m:e>
            </m:d>
            <m:nary>
              <m:naryPr>
                <m:chr m:val="∑"/>
                <m:supHide m:val="1"/>
                <m:ctrlPr>
                  <w:rPr>
                    <w:rFonts w:ascii="Cambria Math" w:hAnsi="Cambria Math" w:cs="Times New Roman"/>
                    <w:i/>
                  </w:rPr>
                </m:ctrlPr>
              </m:naryPr>
              <m:sub>
                <m:r>
                  <w:rPr>
                    <w:rFonts w:ascii="Cambria Math" w:hAnsi="Cambria Math" w:cs="Times New Roman"/>
                  </w:rPr>
                  <m:t>i</m:t>
                </m:r>
                <m:r>
                  <w:rPr>
                    <w:rFonts w:ascii="Cambria Math" w:hAnsi="Cambria Math" w:cs="Times New Roman" w:hint="eastAsia"/>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r</m:t>
                    </m:r>
                  </m:sub>
                </m:sSub>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ϕ</m:t>
                        </m:r>
                      </m:e>
                      <m:sub>
                        <m:r>
                          <w:rPr>
                            <w:rFonts w:ascii="Cambria Math" w:hAnsi="Cambria Math" w:cs="Times New Roman"/>
                          </w:rPr>
                          <m:t>i,j</m:t>
                        </m:r>
                      </m:sub>
                    </m:sSub>
                  </m:e>
                </m:d>
              </m:sub>
              <m:sup/>
              <m:e/>
            </m:nary>
          </m:den>
        </m:f>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r</m:t>
            </m:r>
            <m:d>
              <m:dPr>
                <m:ctrlPr>
                  <w:rPr>
                    <w:rFonts w:ascii="Cambria Math" w:hAnsi="Cambria Math" w:cs="Times New Roman"/>
                    <w:i/>
                  </w:rPr>
                </m:ctrlPr>
              </m:dPr>
              <m:e>
                <m:r>
                  <w:rPr>
                    <w:rFonts w:ascii="Cambria Math" w:hAnsi="Cambria Math" w:cs="Times New Roman"/>
                  </w:rPr>
                  <m:t>k</m:t>
                </m:r>
              </m:e>
            </m:d>
          </m:sub>
        </m:sSub>
        <m:r>
          <w:rPr>
            <w:rFonts w:ascii="Cambria Math" w:hAnsi="Cambria Math" w:cs="Times New Roman"/>
          </w:rPr>
          <m:t>=Top</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j</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r,j</m:t>
                    </m:r>
                  </m:sub>
                </m:sSub>
              </m:e>
            </m:d>
          </m:sub>
        </m:sSub>
      </m:oMath>
      <w:r w:rsidRPr="009960B6">
        <w:rPr>
          <w:rFonts w:ascii="Times New Roman" w:hAnsi="Times New Roman" w:cs="Times New Roman"/>
        </w:rPr>
        <w:tab/>
      </w:r>
      <w:r w:rsidR="0034462D">
        <w:rPr>
          <w:rFonts w:ascii="Times New Roman" w:hAnsi="Times New Roman" w:cs="Times New Roman"/>
        </w:rPr>
        <w:t>(10)</w:t>
      </w:r>
    </w:p>
    <w:p w14:paraId="19A45730" w14:textId="77777777"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Seven outer arms separated routing, capacity and selector effects: Global-All, Global3-All, Global-SHAP, Global-Spearman, Regime-All, Regime-SHAP and Regime-Spearman. Because the global </w:t>
      </w:r>
      <w:r w:rsidRPr="00916F49">
        <w:rPr>
          <w:rFonts w:ascii="Times New Roman" w:hAnsi="Times New Roman"/>
          <w:bCs/>
          <w:sz w:val="24"/>
          <w:szCs w:val="24"/>
        </w:rPr>
        <w:lastRenderedPageBreak/>
        <w:t>selector retained all 122 features, Global-SHAP and Global-Spearman are identity controls; the primary selector contrast is Regime-SHAP minus Regime-All. LIME was an explanation-fidelity diagnostic only: 1,800 instance-repeat explanations used an R^2 &lt; 0.70 threshold for low fidelity, failed repeats remained in the denominator and LIME did not affect training or selection.</w:t>
      </w:r>
    </w:p>
    <w:p w14:paraId="50B18FDF" w14:textId="77777777"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3.8 Metrics and statistical inference</w:t>
      </w:r>
    </w:p>
    <w:p w14:paraId="46E94A22" w14:textId="77777777"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Balanced accuracy is the primary forecasting endpoint. Direction accuracy, MCC, coverage, RMSE and MAE are secondary where applicable; AUC and Brier score are reported for probabilistic 2026 objectives. Seeds are averaged within each model-year cell before temporal inference and are not treated as independent market samples.</w:t>
      </w:r>
    </w:p>
    <w:p w14:paraId="7ECDD84F" w14:textId="77777777" w:rsidR="009960B6" w:rsidRPr="0034462D" w:rsidRDefault="0034462D" w:rsidP="0034462D">
      <w:pPr>
        <w:spacing w:line="360" w:lineRule="auto"/>
        <w:jc w:val="both"/>
        <w:rPr>
          <w:rFonts w:ascii="Times New Roman" w:hAnsi="Times New Roman" w:cs="Times New Roman"/>
          <w:color w:val="000000"/>
          <w:sz w:val="24"/>
        </w:rPr>
      </w:pPr>
      <w:r w:rsidRPr="0034462D">
        <w:rPr>
          <w:rFonts w:ascii="Times New Roman" w:hAnsi="Times New Roman" w:cs="Times New Roman"/>
          <w:color w:val="000000"/>
          <w:sz w:val="24"/>
        </w:rPr>
        <w:t xml:space="preserve">Balanced accuracy is defined in Eq. (11), giving equal weight to sensitivity and specificity and therefore avoiding inflation from the majority class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{"citationID":"eb78c28a","properties":{"unsorted":false,"formattedCitation":"(Brodersen et al., 2010)","plainCitation":"(Brodersen et al., 2010)","noteIndex":0},"citationItems":[{"id":23,"uris":["http://zotero.org/users/local/DPQnJvcs/items/MEQTKLIC"],"itemData":{"id":23,"type":"paper-conference","container-title":"2010 20th International Conference on Pattern Recognition","DOI":"10.1109/ICPR.2010.764","page":"3121–3124","title":"The Balanced Accuracy and Its Posterior Distribution","author":[{"family":"Brodersen","given":"Kay H."},{"family":"Ong","given":"Cheng Soon"},{"family":"Stephan","given":"Klaas E."},{"family":"Buhmann","given":"Joachim M."}],"issued":{"date-parts":[["2010"]]}}}],"schema":"https://github.com/citation-style-language/schema/raw/master/csl-citation.json"} </w:instrText>
      </w:r>
      <w:r>
        <w:rPr>
          <w:rFonts w:ascii="Times New Roman" w:eastAsia="Times New Roman" w:hAnsi="Times New Roman" w:cs="Times New Roman"/>
          <w:b/>
          <w:sz w:val="24"/>
          <w:szCs w:val="24"/>
        </w:rPr>
        <w:fldChar w:fldCharType="separate"/>
      </w:r>
      <w:r w:rsidRPr="0034462D">
        <w:rPr>
          <w:rFonts w:ascii="Times New Roman" w:hAnsi="Times New Roman" w:cs="Times New Roman"/>
          <w:sz w:val="24"/>
        </w:rPr>
        <w:t>(Brodersen et al., 2010)</w:t>
      </w:r>
      <w:r>
        <w:rPr>
          <w:rFonts w:ascii="Times New Roman" w:eastAsia="Times New Roman" w:hAnsi="Times New Roman" w:cs="Times New Roman"/>
          <w:b/>
          <w:sz w:val="24"/>
          <w:szCs w:val="24"/>
        </w:rPr>
        <w:fldChar w:fldCharType="end"/>
      </w:r>
      <w:r w:rsidRPr="0034462D">
        <w:rPr>
          <w:rFonts w:ascii="Times New Roman" w:hAnsi="Times New Roman" w:cs="Times New Roman"/>
          <w:color w:val="000000"/>
          <w:sz w:val="24"/>
        </w:rPr>
        <w:t>.</w:t>
      </w:r>
    </w:p>
    <w:p w14:paraId="39F0465C" w14:textId="77777777"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21"/>
        </w:rPr>
      </w:pPr>
      <w:r w:rsidRPr="009960B6">
        <w:rPr>
          <w:rFonts w:ascii="Times New Roman" w:hAnsi="Times New Roman" w:cs="Times New Roman"/>
          <w:sz w:val="21"/>
        </w:rPr>
        <w:tab/>
      </w:r>
      <m:oMath>
        <m:r>
          <w:rPr>
            <w:rFonts w:ascii="Cambria Math" w:hAnsi="Cambria Math" w:cs="Times New Roman"/>
            <w:sz w:val="21"/>
          </w:rPr>
          <m:t>BAcc=</m:t>
        </m:r>
        <m:f>
          <m:fPr>
            <m:ctrlPr>
              <w:rPr>
                <w:rFonts w:ascii="Cambria Math" w:hAnsi="Cambria Math" w:cs="Times New Roman"/>
                <w:i/>
                <w:sz w:val="21"/>
              </w:rPr>
            </m:ctrlPr>
          </m:fPr>
          <m:num>
            <m:r>
              <w:rPr>
                <w:rFonts w:ascii="Cambria Math" w:hAnsi="Cambria Math" w:cs="Times New Roman"/>
                <w:sz w:val="21"/>
              </w:rPr>
              <m:t>1</m:t>
            </m:r>
          </m:num>
          <m:den>
            <m:r>
              <w:rPr>
                <w:rFonts w:ascii="Cambria Math" w:hAnsi="Cambria Math" w:cs="Times New Roman"/>
                <w:sz w:val="21"/>
              </w:rPr>
              <m:t>2</m:t>
            </m:r>
            <m:d>
              <m:dPr>
                <m:ctrlPr>
                  <w:rPr>
                    <w:rFonts w:ascii="Cambria Math" w:hAnsi="Cambria Math" w:cs="Times New Roman"/>
                    <w:i/>
                    <w:sz w:val="21"/>
                  </w:rPr>
                </m:ctrlPr>
              </m:dPr>
              <m:e>
                <m:f>
                  <m:fPr>
                    <m:ctrlPr>
                      <w:rPr>
                        <w:rFonts w:ascii="Cambria Math" w:hAnsi="Cambria Math" w:cs="Times New Roman"/>
                        <w:i/>
                        <w:sz w:val="21"/>
                      </w:rPr>
                    </m:ctrlPr>
                  </m:fPr>
                  <m:num>
                    <m:r>
                      <w:rPr>
                        <w:rFonts w:ascii="Cambria Math" w:hAnsi="Cambria Math" w:cs="Times New Roman"/>
                        <w:sz w:val="21"/>
                      </w:rPr>
                      <m:t>TP</m:t>
                    </m:r>
                  </m:num>
                  <m:den>
                    <m:r>
                      <w:rPr>
                        <w:rFonts w:ascii="Cambria Math" w:hAnsi="Cambria Math" w:cs="Times New Roman"/>
                        <w:sz w:val="21"/>
                      </w:rPr>
                      <m:t>TP+FN</m:t>
                    </m:r>
                  </m:den>
                </m:f>
                <m:r>
                  <w:rPr>
                    <w:rFonts w:ascii="Cambria Math" w:hAnsi="Cambria Math" w:cs="Times New Roman"/>
                    <w:sz w:val="21"/>
                  </w:rPr>
                  <m:t>+</m:t>
                </m:r>
                <m:f>
                  <m:fPr>
                    <m:ctrlPr>
                      <w:rPr>
                        <w:rFonts w:ascii="Cambria Math" w:hAnsi="Cambria Math" w:cs="Times New Roman"/>
                        <w:i/>
                        <w:sz w:val="21"/>
                      </w:rPr>
                    </m:ctrlPr>
                  </m:fPr>
                  <m:num>
                    <m:r>
                      <w:rPr>
                        <w:rFonts w:ascii="Cambria Math" w:hAnsi="Cambria Math" w:cs="Times New Roman"/>
                        <w:sz w:val="21"/>
                      </w:rPr>
                      <m:t>TN</m:t>
                    </m:r>
                  </m:num>
                  <m:den>
                    <m:r>
                      <w:rPr>
                        <w:rFonts w:ascii="Cambria Math" w:hAnsi="Cambria Math" w:cs="Times New Roman"/>
                        <w:sz w:val="21"/>
                      </w:rPr>
                      <m:t>TN+FP</m:t>
                    </m:r>
                  </m:den>
                </m:f>
              </m:e>
            </m:d>
          </m:den>
        </m:f>
      </m:oMath>
      <w:r w:rsidRPr="009960B6">
        <w:rPr>
          <w:rFonts w:ascii="Times New Roman" w:hAnsi="Times New Roman" w:cs="Times New Roman"/>
          <w:sz w:val="21"/>
        </w:rPr>
        <w:tab/>
      </w:r>
      <w:r w:rsidR="0034462D">
        <w:rPr>
          <w:rFonts w:ascii="Times New Roman" w:hAnsi="Times New Roman" w:cs="Times New Roman"/>
          <w:sz w:val="21"/>
        </w:rPr>
        <w:t>(11)</w:t>
      </w:r>
    </w:p>
    <w:p w14:paraId="51C81468" w14:textId="77777777"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Historical paired contrasts use exact two-sided sign-flip tests over four outer-year effects; the minimum attainable two-sided p-value is 0.125. Descriptive t intervals communicate uncertainty but do not override the exact test and Holm adjustment controls the registered familywise error rate. A 10-day circular moving-block bootstrap provides a serial-dependence sensitivity </w:t>
      </w:r>
      <w:r w:rsidR="005F26F7">
        <w:rPr>
          <w:rFonts w:ascii="Times New Roman" w:hAnsi="Times New Roman"/>
          <w:b/>
          <w:bCs/>
          <w:sz w:val="24"/>
          <w:szCs w:val="24"/>
        </w:rPr>
        <w:fldChar w:fldCharType="begin"/>
      </w:r>
      <w:r w:rsidR="005F26F7">
        <w:rPr>
          <w:rFonts w:ascii="Times New Roman" w:hAnsi="Times New Roman"/>
          <w:b/>
          <w:bCs/>
          <w:sz w:val="24"/>
          <w:szCs w:val="24"/>
        </w:rPr>
        <w:instrText xml:space="preserve"> ADDIN ZOTERO_ITEM CSL_CITATION {"citationID":"0PYDXFyR","properties":{"unsorted":false,"formattedCitation":"(Politis &amp; Romano, 1992)","plainCitation":"(Politis &amp; Romano, 1992)","noteIndex":0},"citationItems":[{"id":43,"uris":["http://zotero.org/users/local/DPQnJvcs/items/8ZXYSTZP"],"itemData":{"id":43,"type":"chapter","container-title":"Exploring the Limits of Bootstrap","page":"263–270","publisher":"John Wiley &amp; Sons","publisher-place":"New York","title":"A Circular Block-Resampling Procedure for Stationary Data","author":[{"family":"Politis","given":"Dimitris N."},{"family":"Romano","given":"Joseph P."}],"editor":[{"family":"LePage","given":"Raoul"},{"family":"Billard","given":"Lynne"}],"issued":{"date-parts":[["1992"]]}}}],"schema":"https://github.com/citation-style-language/schema/raw/master/csl-citation.json"} </w:instrText>
      </w:r>
      <w:r w:rsidR="005F26F7">
        <w:rPr>
          <w:rFonts w:ascii="Times New Roman" w:hAnsi="Times New Roman"/>
          <w:b/>
          <w:bCs/>
          <w:sz w:val="24"/>
          <w:szCs w:val="24"/>
        </w:rPr>
        <w:fldChar w:fldCharType="separate"/>
      </w:r>
      <w:r w:rsidR="005F26F7" w:rsidRPr="005F26F7">
        <w:rPr>
          <w:rFonts w:ascii="Times New Roman" w:hAnsi="Times New Roman" w:cs="Times New Roman"/>
          <w:sz w:val="24"/>
        </w:rPr>
        <w:t>(Politis &amp; Romano, 1992)</w:t>
      </w:r>
      <w:r w:rsidR="005F26F7">
        <w:rPr>
          <w:rFonts w:ascii="Times New Roman" w:hAnsi="Times New Roman"/>
          <w:b/>
          <w:bCs/>
          <w:sz w:val="24"/>
          <w:szCs w:val="24"/>
        </w:rPr>
        <w:fldChar w:fldCharType="end"/>
      </w:r>
      <w:r w:rsidRPr="00916F49">
        <w:rPr>
          <w:rFonts w:ascii="Times New Roman" w:hAnsi="Times New Roman"/>
          <w:bCs/>
          <w:sz w:val="24"/>
          <w:szCs w:val="24"/>
        </w:rPr>
        <w:t xml:space="preserve"> Intrinsic LLM intervals use 5,000 article-cluster bootstrap replicates, article-cluster sign-flip sensitivity and Holm adjustment across the two accuracy contrasts. Economic summaries are exploratory and are not used to certify deployment.</w:t>
      </w:r>
      <w:r w:rsidR="004A3C24" w:rsidRPr="004A3C24">
        <w:rPr>
          <w:rFonts w:ascii="Times New Roman" w:hAnsi="Times New Roman" w:cs="Times New Roman"/>
          <w:bCs/>
          <w:sz w:val="24"/>
          <w:szCs w:val="24"/>
        </w:rPr>
        <w:t xml:space="preserve"> Figure 6 summarizes causal regime routing, train-only SHAP selection and the temporal inference hierarchy.</w:t>
      </w:r>
    </w:p>
    <w:p w14:paraId="03C3C396" w14:textId="77777777" w:rsidR="009960B6" w:rsidRPr="0034462D" w:rsidRDefault="0034462D" w:rsidP="0034462D">
      <w:pPr>
        <w:spacing w:line="360" w:lineRule="auto"/>
        <w:jc w:val="both"/>
        <w:rPr>
          <w:rFonts w:ascii="Times New Roman" w:hAnsi="Times New Roman" w:cs="Times New Roman"/>
          <w:color w:val="000000"/>
          <w:sz w:val="24"/>
          <w:cs/>
        </w:rPr>
      </w:pPr>
      <w:bookmarkStart w:id="0" w:name="_Hlk127275562"/>
      <w:r w:rsidRPr="0034462D">
        <w:rPr>
          <w:rFonts w:ascii="Times New Roman" w:hAnsi="Times New Roman" w:cs="Times New Roman"/>
          <w:color w:val="000000"/>
          <w:sz w:val="24"/>
        </w:rPr>
        <w:t xml:space="preserve">For paired arms A and B, Eq. (12) first averages the five seed-level balanced-accuracy differences within each architecture m and outer year </w:t>
      </w:r>
      <w:proofErr w:type="gramStart"/>
      <w:r w:rsidRPr="0034462D">
        <w:rPr>
          <w:rFonts w:ascii="Times New Roman" w:hAnsi="Times New Roman" w:cs="Times New Roman"/>
          <w:color w:val="000000"/>
          <w:sz w:val="24"/>
        </w:rPr>
        <w:t>y, and</w:t>
      </w:r>
      <w:proofErr w:type="gramEnd"/>
      <w:r w:rsidRPr="0034462D">
        <w:rPr>
          <w:rFonts w:ascii="Times New Roman" w:hAnsi="Times New Roman" w:cs="Times New Roman"/>
          <w:color w:val="000000"/>
          <w:sz w:val="24"/>
        </w:rPr>
        <w:t xml:space="preserve"> then averages the </w:t>
      </w:r>
      <w:proofErr w:type="gramStart"/>
      <w:r w:rsidRPr="0034462D">
        <w:rPr>
          <w:rFonts w:ascii="Times New Roman" w:hAnsi="Times New Roman" w:cs="Times New Roman"/>
          <w:color w:val="000000"/>
          <w:sz w:val="24"/>
        </w:rPr>
        <w:t>four year</w:t>
      </w:r>
      <w:proofErr w:type="gramEnd"/>
      <w:r w:rsidRPr="0034462D">
        <w:rPr>
          <w:rFonts w:ascii="Times New Roman" w:hAnsi="Times New Roman" w:cs="Times New Roman"/>
          <w:color w:val="000000"/>
          <w:sz w:val="24"/>
        </w:rPr>
        <w:t xml:space="preserve"> effects. Equations (13)-(14) define the 16 sign-flipped test statistics and their exact two-sided probability. The finite randomization distribution and familywise interpretation are paired with Holm adjustment, while serial dependence is checked separately using block resampling </w:t>
      </w: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ADDIN ZOTERO_ITEM CSL_CITATION {"citationID":"cf15f4f1","properties":{"unsorted":false,"formattedCitation":"(Holm, 1979; Politis \u0026 Romano, 1992)","plainCitation":"(Holm, 1979; Politis \u0026 Romano, 1992)","noteIndex":0},"citationItems":[{"id":25,"uris":["http://zotero.org/users/local/DPQnJvcs/items/YPBXTXIH"],"itemData":{"id":25,"type":"article-journal","container-title":"Scandinavian Journal of Statistics","DOI":"10.2307/4615733","issue":"2","page":"65–70","title":"A Simple Sequentially Rejective Multiple Test Procedure","volume":"6","author":[{"family":"Holm","given":"Sture"}],"issued":{"date-parts":[["1979"]]}}},{"id":43,"uris":["http://zotero.org/users/local/DPQnJvcs/items/8ZXYSTZP"],"itemData":{"id":43,"type":"chapter","container-title":"Exploring the Limits of Bootstrap","page":"263–270","publisher":"John Wiley \u0026 Sons","publisher-place":"New York","title":"A Circular Block-Resampling Procedure for Stationary Data","author":[{"family":"Politis","given":"Dimitris N."},{"family":"Romano","given":"Joseph P."}],"editor":[{"family":"LePage","given":"Raoul"},{"family":"Billard","given":"Lynne"}],"issued":{"date-parts":[["1992"]]}}}],"schema":"https://github.com/citation-style-language/schema/raw/master/csl-citation.json"} </w:instrText>
      </w:r>
      <w:r>
        <w:rPr>
          <w:rFonts w:ascii="Times New Roman" w:hAnsi="Times New Roman" w:cs="Times New Roman"/>
          <w:b/>
          <w:sz w:val="24"/>
          <w:szCs w:val="24"/>
        </w:rPr>
        <w:fldChar w:fldCharType="separate"/>
      </w:r>
      <w:r w:rsidRPr="0034462D">
        <w:rPr>
          <w:rFonts w:ascii="Times New Roman" w:hAnsi="Times New Roman" w:cs="Times New Roman"/>
          <w:sz w:val="24"/>
        </w:rPr>
        <w:t>(Holm, 1979; Politis &amp; Romano, 1992)</w:t>
      </w:r>
      <w:r>
        <w:rPr>
          <w:rFonts w:ascii="Times New Roman" w:hAnsi="Times New Roman" w:cs="Times New Roman"/>
          <w:b/>
          <w:sz w:val="24"/>
          <w:szCs w:val="24"/>
        </w:rPr>
        <w:fldChar w:fldCharType="end"/>
      </w:r>
      <w:r w:rsidRPr="0034462D">
        <w:rPr>
          <w:rFonts w:ascii="Times New Roman" w:hAnsi="Times New Roman" w:cs="Times New Roman"/>
          <w:color w:val="000000"/>
          <w:sz w:val="24"/>
        </w:rPr>
        <w:t>.</w:t>
      </w:r>
    </w:p>
    <w:p w14:paraId="0832F0E4" w14:textId="77777777"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19"/>
          <w:cs/>
        </w:rPr>
      </w:pPr>
      <w:r w:rsidRPr="009960B6">
        <w:rPr>
          <w:rFonts w:ascii="Times New Roman" w:hAnsi="Times New Roman" w:cs="Times New Roman" w:hint="eastAsia"/>
          <w:sz w:val="19"/>
          <w:cs/>
        </w:rPr>
        <w:tab/>
      </w:r>
      <m:oMath>
        <m:sSub>
          <m:sSubPr>
            <m:ctrlPr>
              <w:rPr>
                <w:rFonts w:ascii="Cambria Math" w:hAnsi="Cambria Math" w:cs="Times New Roman"/>
                <w:i/>
                <w:sz w:val="19"/>
              </w:rPr>
            </m:ctrlPr>
          </m:sSubPr>
          <m:e>
            <m:r>
              <w:rPr>
                <w:rFonts w:ascii="Cambria Math" w:hAnsi="Cambria Math" w:cs="Times New Roman" w:hint="eastAsia"/>
                <w:sz w:val="19"/>
              </w:rPr>
              <m:t>Δ</m:t>
            </m:r>
            <m:ctrlPr>
              <w:rPr>
                <w:rFonts w:ascii="Cambria Math" w:hAnsi="Cambria Math" w:cs="Times New Roman" w:hint="eastAsia"/>
                <w:i/>
                <w:sz w:val="19"/>
              </w:rPr>
            </m:ctrlPr>
          </m:e>
          <m:sub>
            <m:r>
              <w:rPr>
                <w:rFonts w:ascii="Cambria Math" w:hAnsi="Cambria Math" w:cs="Times New Roman" w:hint="eastAsia"/>
                <w:sz w:val="19"/>
              </w:rPr>
              <m:t>m,y</m:t>
            </m:r>
          </m:sub>
        </m:sSub>
        <m:r>
          <w:rPr>
            <w:rFonts w:ascii="Cambria Math" w:hAnsi="Cambria Math" w:cs="Times New Roman" w:hint="eastAsia"/>
            <w:sz w:val="19"/>
          </w:rPr>
          <m:t>=</m:t>
        </m:r>
        <m:f>
          <m:fPr>
            <m:ctrlPr>
              <w:rPr>
                <w:rFonts w:ascii="Cambria Math" w:hAnsi="Cambria Math" w:cs="Times New Roman"/>
                <w:i/>
                <w:sz w:val="19"/>
              </w:rPr>
            </m:ctrlPr>
          </m:fPr>
          <m:num>
            <m:r>
              <w:rPr>
                <w:rFonts w:ascii="Cambria Math" w:hAnsi="Cambria Math" w:cs="Times New Roman" w:hint="eastAsia"/>
                <w:sz w:val="19"/>
                <w:cs/>
              </w:rPr>
              <m:t>1</m:t>
            </m:r>
          </m:num>
          <m:den>
            <m:r>
              <w:rPr>
                <w:rFonts w:ascii="Cambria Math" w:hAnsi="Cambria Math" w:cs="Times New Roman" w:hint="eastAsia"/>
                <w:sz w:val="19"/>
                <w:cs/>
              </w:rPr>
              <m:t>5</m:t>
            </m:r>
          </m:den>
        </m:f>
        <m:nary>
          <m:naryPr>
            <m:chr m:val="∑"/>
            <m:ctrlPr>
              <w:rPr>
                <w:rFonts w:ascii="Cambria Math" w:hAnsi="Cambria Math" w:cs="Times New Roman"/>
                <w:i/>
                <w:sz w:val="19"/>
              </w:rPr>
            </m:ctrlPr>
          </m:naryPr>
          <m:sub>
            <m:r>
              <w:rPr>
                <w:rFonts w:ascii="Cambria Math" w:hAnsi="Cambria Math" w:cs="Times New Roman" w:hint="eastAsia"/>
                <w:sz w:val="19"/>
              </w:rPr>
              <m:t>s=</m:t>
            </m:r>
            <m:r>
              <w:rPr>
                <w:rFonts w:ascii="Cambria Math" w:hAnsi="Cambria Math" w:cs="Times New Roman" w:hint="eastAsia"/>
                <w:sz w:val="19"/>
                <w:cs/>
              </w:rPr>
              <m:t>1</m:t>
            </m:r>
          </m:sub>
          <m:sup>
            <m:r>
              <w:rPr>
                <w:rFonts w:ascii="Cambria Math" w:hAnsi="Cambria Math" w:cs="Times New Roman" w:hint="eastAsia"/>
                <w:sz w:val="19"/>
                <w:cs/>
              </w:rPr>
              <m:t>5</m:t>
            </m:r>
            <m:d>
              <m:dPr>
                <m:ctrlPr>
                  <w:rPr>
                    <w:rFonts w:ascii="Cambria Math" w:hAnsi="Cambria Math" w:cs="Times New Roman"/>
                    <w:i/>
                    <w:sz w:val="19"/>
                  </w:rPr>
                </m:ctrlPr>
              </m:dPr>
              <m:e>
                <m:r>
                  <w:rPr>
                    <w:rFonts w:ascii="Cambria Math" w:hAnsi="Cambria Math" w:cs="Times New Roman" w:hint="eastAsia"/>
                    <w:sz w:val="19"/>
                  </w:rPr>
                  <m:t>BAc</m:t>
                </m:r>
                <m:sSubSup>
                  <m:sSubSupPr>
                    <m:ctrlPr>
                      <w:rPr>
                        <w:rFonts w:ascii="Cambria Math" w:hAnsi="Cambria Math" w:cs="Times New Roman"/>
                        <w:i/>
                        <w:sz w:val="19"/>
                      </w:rPr>
                    </m:ctrlPr>
                  </m:sSubSupPr>
                  <m:e>
                    <m:r>
                      <w:rPr>
                        <w:rFonts w:ascii="Cambria Math" w:hAnsi="Cambria Math" w:cs="Times New Roman" w:hint="eastAsia"/>
                        <w:sz w:val="19"/>
                      </w:rPr>
                      <m:t>c</m:t>
                    </m:r>
                    <m:ctrlPr>
                      <w:rPr>
                        <w:rFonts w:ascii="Cambria Math" w:hAnsi="Cambria Math" w:cs="Times New Roman" w:hint="eastAsia"/>
                        <w:i/>
                        <w:sz w:val="19"/>
                      </w:rPr>
                    </m:ctrlPr>
                  </m:e>
                  <m:sub>
                    <m:r>
                      <w:rPr>
                        <w:rFonts w:ascii="Cambria Math" w:hAnsi="Cambria Math" w:cs="Times New Roman" w:hint="eastAsia"/>
                        <w:sz w:val="19"/>
                      </w:rPr>
                      <m:t>m,y,s</m:t>
                    </m:r>
                  </m:sub>
                  <m:sup>
                    <m:r>
                      <w:rPr>
                        <w:rFonts w:ascii="Cambria Math" w:hAnsi="Cambria Math" w:cs="Times New Roman" w:hint="eastAsia"/>
                        <w:sz w:val="19"/>
                      </w:rPr>
                      <m:t>A</m:t>
                    </m:r>
                  </m:sup>
                </m:sSubSup>
                <m:r>
                  <w:rPr>
                    <w:rFonts w:ascii="Cambria Math" w:hAnsi="Cambria Math" w:cs="Cambria Math"/>
                    <w:sz w:val="19"/>
                  </w:rPr>
                  <m:t>-</m:t>
                </m:r>
                <m:r>
                  <w:rPr>
                    <w:rFonts w:ascii="Cambria Math" w:hAnsi="Cambria Math" w:cs="Times New Roman" w:hint="eastAsia"/>
                    <w:sz w:val="19"/>
                  </w:rPr>
                  <m:t>BAc</m:t>
                </m:r>
                <m:sSubSup>
                  <m:sSubSupPr>
                    <m:ctrlPr>
                      <w:rPr>
                        <w:rFonts w:ascii="Cambria Math" w:hAnsi="Cambria Math" w:cs="Times New Roman"/>
                        <w:i/>
                        <w:sz w:val="19"/>
                      </w:rPr>
                    </m:ctrlPr>
                  </m:sSubSupPr>
                  <m:e>
                    <m:r>
                      <w:rPr>
                        <w:rFonts w:ascii="Cambria Math" w:hAnsi="Cambria Math" w:cs="Times New Roman" w:hint="eastAsia"/>
                        <w:sz w:val="19"/>
                      </w:rPr>
                      <m:t>c</m:t>
                    </m:r>
                    <m:ctrlPr>
                      <w:rPr>
                        <w:rFonts w:ascii="Cambria Math" w:hAnsi="Cambria Math" w:cs="Times New Roman" w:hint="eastAsia"/>
                        <w:i/>
                        <w:sz w:val="19"/>
                      </w:rPr>
                    </m:ctrlPr>
                  </m:e>
                  <m:sub>
                    <m:r>
                      <w:rPr>
                        <w:rFonts w:ascii="Cambria Math" w:hAnsi="Cambria Math" w:cs="Times New Roman" w:hint="eastAsia"/>
                        <w:sz w:val="19"/>
                      </w:rPr>
                      <m:t>m,y,s</m:t>
                    </m:r>
                  </m:sub>
                  <m:sup>
                    <m:r>
                      <w:rPr>
                        <w:rFonts w:ascii="Cambria Math" w:hAnsi="Cambria Math" w:cs="Times New Roman" w:hint="eastAsia"/>
                        <w:sz w:val="19"/>
                      </w:rPr>
                      <m:t>B</m:t>
                    </m:r>
                  </m:sup>
                </m:sSubSup>
              </m:e>
            </m:d>
          </m:sup>
          <m:e/>
        </m:nary>
        <m:r>
          <w:rPr>
            <w:rFonts w:ascii="Cambria Math" w:hAnsi="Cambria Math" w:cs="Times New Roman" w:hint="eastAsia"/>
            <w:sz w:val="19"/>
          </w:rPr>
          <m:t>, Δmea</m:t>
        </m:r>
        <m:sSub>
          <m:sSubPr>
            <m:ctrlPr>
              <w:rPr>
                <w:rFonts w:ascii="Cambria Math" w:hAnsi="Cambria Math" w:cs="Times New Roman"/>
                <w:i/>
                <w:sz w:val="19"/>
              </w:rPr>
            </m:ctrlPr>
          </m:sSubPr>
          <m:e>
            <m:r>
              <w:rPr>
                <w:rFonts w:ascii="Cambria Math" w:hAnsi="Cambria Math" w:cs="Times New Roman" w:hint="eastAsia"/>
                <w:sz w:val="19"/>
              </w:rPr>
              <m:t>n</m:t>
            </m:r>
            <m:ctrlPr>
              <w:rPr>
                <w:rFonts w:ascii="Cambria Math" w:hAnsi="Cambria Math" w:cs="Times New Roman" w:hint="eastAsia"/>
                <w:i/>
                <w:sz w:val="19"/>
              </w:rPr>
            </m:ctrlPr>
          </m:e>
          <m:sub>
            <m:r>
              <w:rPr>
                <w:rFonts w:ascii="Cambria Math" w:hAnsi="Cambria Math" w:cs="Times New Roman" w:hint="eastAsia"/>
                <w:sz w:val="19"/>
              </w:rPr>
              <m:t>m</m:t>
            </m:r>
          </m:sub>
        </m:sSub>
        <m:r>
          <w:rPr>
            <w:rFonts w:ascii="Cambria Math" w:hAnsi="Cambria Math" w:cs="Times New Roman" w:hint="eastAsia"/>
            <w:sz w:val="19"/>
          </w:rPr>
          <m:t>=</m:t>
        </m:r>
        <m:f>
          <m:fPr>
            <m:ctrlPr>
              <w:rPr>
                <w:rFonts w:ascii="Cambria Math" w:hAnsi="Cambria Math" w:cs="Times New Roman"/>
                <w:i/>
                <w:sz w:val="19"/>
              </w:rPr>
            </m:ctrlPr>
          </m:fPr>
          <m:num>
            <m:r>
              <w:rPr>
                <w:rFonts w:ascii="Cambria Math" w:hAnsi="Cambria Math" w:cs="Times New Roman" w:hint="eastAsia"/>
                <w:sz w:val="19"/>
                <w:cs/>
              </w:rPr>
              <m:t>1</m:t>
            </m:r>
          </m:num>
          <m:den>
            <m:r>
              <w:rPr>
                <w:rFonts w:ascii="Cambria Math" w:hAnsi="Cambria Math" w:cs="Times New Roman" w:hint="eastAsia"/>
                <w:sz w:val="19"/>
                <w:cs/>
              </w:rPr>
              <m:t>4</m:t>
            </m:r>
          </m:den>
        </m:f>
        <m:nary>
          <m:naryPr>
            <m:chr m:val="∑"/>
            <m:ctrlPr>
              <w:rPr>
                <w:rFonts w:ascii="Cambria Math" w:hAnsi="Cambria Math" w:cs="Times New Roman"/>
                <w:i/>
                <w:sz w:val="19"/>
              </w:rPr>
            </m:ctrlPr>
          </m:naryPr>
          <m:sub>
            <m:r>
              <w:rPr>
                <w:rFonts w:ascii="Cambria Math" w:hAnsi="Cambria Math" w:cs="Times New Roman" w:hint="eastAsia"/>
                <w:sz w:val="19"/>
              </w:rPr>
              <m:t>y=</m:t>
            </m:r>
            <m:r>
              <w:rPr>
                <w:rFonts w:ascii="Cambria Math" w:hAnsi="Cambria Math" w:cs="Times New Roman" w:hint="eastAsia"/>
                <w:sz w:val="19"/>
                <w:cs/>
              </w:rPr>
              <m:t>2022</m:t>
            </m:r>
          </m:sub>
          <m:sup>
            <m:r>
              <w:rPr>
                <w:rFonts w:ascii="Cambria Math" w:hAnsi="Cambria Math" w:cs="Times New Roman" w:hint="eastAsia"/>
                <w:sz w:val="19"/>
                <w:cs/>
              </w:rPr>
              <m:t>2025</m:t>
            </m:r>
          </m:sup>
          <m:e>
            <m:sSub>
              <m:sSubPr>
                <m:ctrlPr>
                  <w:rPr>
                    <w:rFonts w:ascii="Cambria Math" w:hAnsi="Cambria Math" w:cs="Times New Roman"/>
                    <w:i/>
                    <w:sz w:val="19"/>
                  </w:rPr>
                </m:ctrlPr>
              </m:sSubPr>
              <m:e>
                <m:r>
                  <w:rPr>
                    <w:rFonts w:ascii="Cambria Math" w:hAnsi="Cambria Math" w:cs="Times New Roman" w:hint="eastAsia"/>
                    <w:sz w:val="19"/>
                  </w:rPr>
                  <m:t>Δ</m:t>
                </m:r>
              </m:e>
              <m:sub>
                <m:r>
                  <w:rPr>
                    <w:rFonts w:ascii="Cambria Math" w:hAnsi="Cambria Math" w:cs="Times New Roman" w:hint="eastAsia"/>
                    <w:sz w:val="19"/>
                  </w:rPr>
                  <m:t>m,y</m:t>
                </m:r>
              </m:sub>
            </m:sSub>
          </m:e>
        </m:nary>
      </m:oMath>
      <w:r w:rsidRPr="009960B6">
        <w:rPr>
          <w:rFonts w:ascii="Times New Roman" w:hAnsi="Times New Roman" w:cs="Times New Roman" w:hint="eastAsia"/>
          <w:sz w:val="19"/>
        </w:rPr>
        <w:tab/>
      </w:r>
      <w:r w:rsidR="0034462D">
        <w:rPr>
          <w:rFonts w:ascii="Times New Roman" w:hAnsi="Times New Roman" w:cs="Times New Roman"/>
          <w:sz w:val="19"/>
        </w:rPr>
        <w:t>(12)</w:t>
      </w:r>
    </w:p>
    <w:p w14:paraId="2550126D" w14:textId="77777777"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19"/>
          <w:cs/>
        </w:rPr>
      </w:pPr>
      <w:r w:rsidRPr="009960B6">
        <w:rPr>
          <w:rFonts w:ascii="Times New Roman" w:hAnsi="Times New Roman" w:cs="Times New Roman" w:hint="eastAsia"/>
          <w:sz w:val="19"/>
          <w:cs/>
        </w:rPr>
        <w:tab/>
      </w:r>
      <m:oMath>
        <m:sSub>
          <m:sSubPr>
            <m:ctrlPr>
              <w:rPr>
                <w:rFonts w:ascii="Cambria Math" w:hAnsi="Cambria Math" w:cs="Times New Roman"/>
                <w:i/>
                <w:sz w:val="19"/>
              </w:rPr>
            </m:ctrlPr>
          </m:sSubPr>
          <m:e>
            <m:r>
              <w:rPr>
                <w:rFonts w:ascii="Cambria Math" w:hAnsi="Cambria Math" w:cs="Times New Roman" w:hint="eastAsia"/>
                <w:sz w:val="19"/>
              </w:rPr>
              <m:t>T</m:t>
            </m:r>
            <m:ctrlPr>
              <w:rPr>
                <w:rFonts w:ascii="Cambria Math" w:hAnsi="Cambria Math" w:cs="Times New Roman" w:hint="eastAsia"/>
                <w:i/>
                <w:sz w:val="19"/>
              </w:rPr>
            </m:ctrlPr>
          </m:e>
          <m:sub>
            <m:r>
              <w:rPr>
                <w:rFonts w:ascii="Cambria Math" w:hAnsi="Cambria Math" w:cs="Times New Roman" w:hint="eastAsia"/>
                <w:sz w:val="19"/>
              </w:rPr>
              <m:t>j</m:t>
            </m:r>
          </m:sub>
        </m:sSub>
        <m:r>
          <w:rPr>
            <w:rFonts w:ascii="Cambria Math" w:hAnsi="Cambria Math" w:cs="Times New Roman" w:hint="eastAsia"/>
            <w:sz w:val="19"/>
          </w:rPr>
          <m:t>=</m:t>
        </m:r>
        <m:f>
          <m:fPr>
            <m:ctrlPr>
              <w:rPr>
                <w:rFonts w:ascii="Cambria Math" w:hAnsi="Cambria Math" w:cs="Times New Roman"/>
                <w:i/>
                <w:sz w:val="19"/>
              </w:rPr>
            </m:ctrlPr>
          </m:fPr>
          <m:num>
            <m:r>
              <w:rPr>
                <w:rFonts w:ascii="Cambria Math" w:hAnsi="Cambria Math" w:cs="Times New Roman" w:hint="eastAsia"/>
                <w:sz w:val="19"/>
                <w:cs/>
              </w:rPr>
              <m:t>1</m:t>
            </m:r>
          </m:num>
          <m:den>
            <m:r>
              <w:rPr>
                <w:rFonts w:ascii="Cambria Math" w:hAnsi="Cambria Math" w:cs="Times New Roman" w:hint="eastAsia"/>
                <w:sz w:val="19"/>
                <w:cs/>
              </w:rPr>
              <m:t>4</m:t>
            </m:r>
          </m:den>
        </m:f>
        <m:nary>
          <m:naryPr>
            <m:chr m:val="∑"/>
            <m:ctrlPr>
              <w:rPr>
                <w:rFonts w:ascii="Cambria Math" w:hAnsi="Cambria Math" w:cs="Times New Roman"/>
                <w:i/>
                <w:sz w:val="19"/>
              </w:rPr>
            </m:ctrlPr>
          </m:naryPr>
          <m:sub>
            <m:r>
              <w:rPr>
                <w:rFonts w:ascii="Cambria Math" w:hAnsi="Cambria Math" w:cs="Times New Roman" w:hint="eastAsia"/>
                <w:sz w:val="19"/>
              </w:rPr>
              <m:t>y=</m:t>
            </m:r>
            <m:r>
              <w:rPr>
                <w:rFonts w:ascii="Cambria Math" w:hAnsi="Cambria Math" w:cs="Times New Roman" w:hint="eastAsia"/>
                <w:sz w:val="19"/>
                <w:cs/>
              </w:rPr>
              <m:t>1</m:t>
            </m:r>
          </m:sub>
          <m:sup>
            <m:r>
              <w:rPr>
                <w:rFonts w:ascii="Cambria Math" w:hAnsi="Cambria Math" w:cs="Times New Roman" w:hint="eastAsia"/>
                <w:sz w:val="19"/>
                <w:cs/>
              </w:rPr>
              <m:t>4</m:t>
            </m:r>
          </m:sup>
          <m:e>
            <m:sSub>
              <m:sSubPr>
                <m:ctrlPr>
                  <w:rPr>
                    <w:rFonts w:ascii="Cambria Math" w:hAnsi="Cambria Math" w:cs="Times New Roman"/>
                    <w:i/>
                    <w:sz w:val="19"/>
                  </w:rPr>
                </m:ctrlPr>
              </m:sSubPr>
              <m:e>
                <m:r>
                  <w:rPr>
                    <w:rFonts w:ascii="Cambria Math" w:hAnsi="Cambria Math" w:cs="Times New Roman" w:hint="eastAsia"/>
                    <w:sz w:val="19"/>
                  </w:rPr>
                  <m:t>ε</m:t>
                </m:r>
              </m:e>
              <m:sub>
                <m:d>
                  <m:dPr>
                    <m:ctrlPr>
                      <w:rPr>
                        <w:rFonts w:ascii="Cambria Math" w:hAnsi="Cambria Math" w:cs="Times New Roman"/>
                        <w:i/>
                        <w:sz w:val="19"/>
                      </w:rPr>
                    </m:ctrlPr>
                  </m:dPr>
                  <m:e>
                    <m:r>
                      <w:rPr>
                        <w:rFonts w:ascii="Cambria Math" w:hAnsi="Cambria Math" w:cs="Times New Roman" w:hint="eastAsia"/>
                        <w:sz w:val="19"/>
                      </w:rPr>
                      <m:t>j,y</m:t>
                    </m:r>
                  </m:e>
                </m:d>
                <m:sSub>
                  <m:sSubPr>
                    <m:ctrlPr>
                      <w:rPr>
                        <w:rFonts w:ascii="Cambria Math" w:hAnsi="Cambria Math" w:cs="Times New Roman"/>
                        <w:i/>
                        <w:sz w:val="19"/>
                      </w:rPr>
                    </m:ctrlPr>
                  </m:sSubPr>
                  <m:e>
                    <m:r>
                      <w:rPr>
                        <w:rFonts w:ascii="Cambria Math" w:hAnsi="Cambria Math" w:cs="Times New Roman" w:hint="eastAsia"/>
                        <w:sz w:val="19"/>
                      </w:rPr>
                      <m:t>Δ</m:t>
                    </m:r>
                    <m:ctrlPr>
                      <w:rPr>
                        <w:rFonts w:ascii="Cambria Math" w:hAnsi="Cambria Math" w:cs="Times New Roman" w:hint="eastAsia"/>
                        <w:i/>
                        <w:sz w:val="19"/>
                      </w:rPr>
                    </m:ctrlPr>
                  </m:e>
                  <m:sub>
                    <m:r>
                      <w:rPr>
                        <w:rFonts w:ascii="Cambria Math" w:hAnsi="Cambria Math" w:cs="Times New Roman" w:hint="eastAsia"/>
                        <w:sz w:val="19"/>
                      </w:rPr>
                      <m:t>m,y</m:t>
                    </m:r>
                  </m:sub>
                </m:sSub>
              </m:sub>
            </m:sSub>
          </m:e>
        </m:nary>
        <m:r>
          <w:rPr>
            <w:rFonts w:ascii="Cambria Math" w:hAnsi="Cambria Math" w:cs="Times New Roman" w:hint="eastAsia"/>
            <w:sz w:val="19"/>
          </w:rPr>
          <m:t xml:space="preserve">, </m:t>
        </m:r>
        <m:sSub>
          <m:sSubPr>
            <m:ctrlPr>
              <w:rPr>
                <w:rFonts w:ascii="Cambria Math" w:hAnsi="Cambria Math" w:cs="Times New Roman"/>
                <w:i/>
                <w:sz w:val="19"/>
              </w:rPr>
            </m:ctrlPr>
          </m:sSubPr>
          <m:e>
            <m:r>
              <w:rPr>
                <w:rFonts w:ascii="Cambria Math" w:hAnsi="Cambria Math" w:cs="Times New Roman" w:hint="eastAsia"/>
                <w:sz w:val="19"/>
              </w:rPr>
              <m:t>ε</m:t>
            </m:r>
          </m:e>
          <m:sub>
            <m:r>
              <w:rPr>
                <w:rFonts w:ascii="Cambria Math" w:hAnsi="Cambria Math" w:cs="Times New Roman" w:hint="eastAsia"/>
                <w:sz w:val="19"/>
              </w:rPr>
              <m:t>j,y</m:t>
            </m:r>
          </m:sub>
        </m:sSub>
        <m:r>
          <w:rPr>
            <w:rFonts w:ascii="Cambria Math" w:hAnsi="Cambria Math" w:cs="Times New Roman" w:hint="eastAsia"/>
            <w:sz w:val="19"/>
          </w:rPr>
          <m:t>∈</m:t>
        </m:r>
        <m:d>
          <m:dPr>
            <m:begChr m:val="{"/>
            <m:endChr m:val="}"/>
            <m:ctrlPr>
              <w:rPr>
                <w:rFonts w:ascii="Cambria Math" w:hAnsi="Cambria Math" w:cs="Times New Roman"/>
                <w:i/>
                <w:sz w:val="19"/>
              </w:rPr>
            </m:ctrlPr>
          </m:dPr>
          <m:e>
            <m:r>
              <w:rPr>
                <w:rFonts w:ascii="Cambria Math" w:hAnsi="Cambria Math" w:cs="Cambria Math"/>
                <w:sz w:val="19"/>
              </w:rPr>
              <m:t>-</m:t>
            </m:r>
            <m:r>
              <w:rPr>
                <w:rFonts w:ascii="Cambria Math" w:hAnsi="Cambria Math" w:cs="Times New Roman" w:hint="eastAsia"/>
                <w:sz w:val="19"/>
                <w:cs/>
              </w:rPr>
              <m:t>1</m:t>
            </m:r>
            <m:r>
              <w:rPr>
                <w:rFonts w:ascii="Cambria Math" w:hAnsi="Cambria Math" w:cs="Times New Roman" w:hint="eastAsia"/>
                <w:sz w:val="19"/>
              </w:rPr>
              <m:t>,+</m:t>
            </m:r>
            <m:r>
              <w:rPr>
                <w:rFonts w:ascii="Cambria Math" w:hAnsi="Cambria Math" w:cs="Times New Roman" w:hint="eastAsia"/>
                <w:sz w:val="19"/>
                <w:cs/>
              </w:rPr>
              <m:t>1</m:t>
            </m:r>
          </m:e>
        </m:d>
        <m:r>
          <w:rPr>
            <w:rFonts w:ascii="Cambria Math" w:hAnsi="Cambria Math" w:cs="Times New Roman" w:hint="eastAsia"/>
            <w:sz w:val="19"/>
          </w:rPr>
          <m:t>, j=</m:t>
        </m:r>
        <m:r>
          <w:rPr>
            <w:rFonts w:ascii="Cambria Math" w:hAnsi="Cambria Math" w:cs="Times New Roman" w:hint="eastAsia"/>
            <w:sz w:val="19"/>
            <w:cs/>
          </w:rPr>
          <m:t>1</m:t>
        </m:r>
        <m:r>
          <w:rPr>
            <w:rFonts w:ascii="Cambria Math" w:hAnsi="Cambria Math" w:cs="Times New Roman" w:hint="eastAsia"/>
            <w:sz w:val="19"/>
          </w:rPr>
          <m:t>,</m:t>
        </m:r>
        <m:r>
          <w:rPr>
            <w:rFonts w:ascii="Cambria Math" w:hAnsi="Cambria Math" w:cs="Times New Roman" w:hint="eastAsia"/>
            <w:sz w:val="19"/>
          </w:rPr>
          <m:t>…</m:t>
        </m:r>
        <m:r>
          <w:rPr>
            <w:rFonts w:ascii="Cambria Math" w:hAnsi="Cambria Math" w:cs="Times New Roman" w:hint="eastAsia"/>
            <w:sz w:val="19"/>
          </w:rPr>
          <m:t>,</m:t>
        </m:r>
        <m:r>
          <w:rPr>
            <w:rFonts w:ascii="Cambria Math" w:hAnsi="Cambria Math" w:cs="Times New Roman" w:hint="eastAsia"/>
            <w:sz w:val="19"/>
            <w:cs/>
          </w:rPr>
          <m:t>16</m:t>
        </m:r>
      </m:oMath>
      <w:r w:rsidRPr="009960B6">
        <w:rPr>
          <w:rFonts w:ascii="Times New Roman" w:hAnsi="Times New Roman" w:cs="Times New Roman" w:hint="eastAsia"/>
          <w:sz w:val="19"/>
          <w:cs/>
        </w:rPr>
        <w:tab/>
      </w:r>
      <w:r w:rsidR="0034462D">
        <w:rPr>
          <w:rFonts w:ascii="Times New Roman" w:hAnsi="Times New Roman" w:cs="Angsana New"/>
          <w:sz w:val="19"/>
          <w:cs/>
        </w:rPr>
        <w:t>(13)</w:t>
      </w:r>
    </w:p>
    <w:p w14:paraId="0BDFB0E6" w14:textId="77777777" w:rsidR="009960B6" w:rsidRPr="009960B6" w:rsidRDefault="009960B6" w:rsidP="009960B6">
      <w:pPr>
        <w:keepNext/>
        <w:keepLines/>
        <w:tabs>
          <w:tab w:val="center" w:pos="4680"/>
          <w:tab w:val="right" w:pos="9360"/>
        </w:tabs>
        <w:spacing w:before="80" w:after="80" w:line="240" w:lineRule="auto"/>
        <w:rPr>
          <w:rFonts w:ascii="Times New Roman" w:hAnsi="Times New Roman" w:cs="Times New Roman"/>
          <w:sz w:val="19"/>
          <w:cs/>
        </w:rPr>
      </w:pPr>
      <w:r w:rsidRPr="009960B6">
        <w:rPr>
          <w:rFonts w:ascii="Times New Roman" w:hAnsi="Times New Roman" w:cs="Times New Roman" w:hint="eastAsia"/>
          <w:sz w:val="19"/>
          <w:cs/>
        </w:rPr>
        <w:lastRenderedPageBreak/>
        <w:tab/>
      </w:r>
      <m:oMath>
        <m:sSub>
          <m:sSubPr>
            <m:ctrlPr>
              <w:rPr>
                <w:rFonts w:ascii="Cambria Math" w:hAnsi="Cambria Math" w:cs="Times New Roman"/>
                <w:i/>
                <w:sz w:val="19"/>
              </w:rPr>
            </m:ctrlPr>
          </m:sSubPr>
          <m:e>
            <m:r>
              <w:rPr>
                <w:rFonts w:ascii="Cambria Math" w:hAnsi="Cambria Math" w:cs="Times New Roman" w:hint="eastAsia"/>
                <w:sz w:val="19"/>
              </w:rPr>
              <m:t>p</m:t>
            </m:r>
            <m:ctrlPr>
              <w:rPr>
                <w:rFonts w:ascii="Cambria Math" w:hAnsi="Cambria Math" w:cs="Times New Roman" w:hint="eastAsia"/>
                <w:i/>
                <w:sz w:val="19"/>
              </w:rPr>
            </m:ctrlPr>
          </m:e>
          <m:sub>
            <m:r>
              <w:rPr>
                <w:rFonts w:ascii="Cambria Math" w:hAnsi="Cambria Math" w:cs="Times New Roman" w:hint="eastAsia"/>
                <w:sz w:val="19"/>
              </w:rPr>
              <m:t>exact</m:t>
            </m:r>
          </m:sub>
        </m:sSub>
        <m:r>
          <w:rPr>
            <w:rFonts w:ascii="Cambria Math" w:hAnsi="Cambria Math" w:cs="Times New Roman" w:hint="eastAsia"/>
            <w:sz w:val="19"/>
          </w:rPr>
          <m:t>=</m:t>
        </m:r>
        <m:f>
          <m:fPr>
            <m:ctrlPr>
              <w:rPr>
                <w:rFonts w:ascii="Cambria Math" w:hAnsi="Cambria Math" w:cs="Times New Roman"/>
                <w:i/>
                <w:sz w:val="19"/>
              </w:rPr>
            </m:ctrlPr>
          </m:fPr>
          <m:num>
            <m:r>
              <w:rPr>
                <w:rFonts w:ascii="Cambria Math" w:hAnsi="Cambria Math" w:cs="Times New Roman" w:hint="eastAsia"/>
                <w:sz w:val="19"/>
                <w:cs/>
              </w:rPr>
              <m:t>1</m:t>
            </m:r>
          </m:num>
          <m:den>
            <m:r>
              <w:rPr>
                <w:rFonts w:ascii="Cambria Math" w:hAnsi="Cambria Math" w:cs="Times New Roman" w:hint="eastAsia"/>
                <w:sz w:val="19"/>
                <w:cs/>
              </w:rPr>
              <m:t>16</m:t>
            </m:r>
          </m:den>
        </m:f>
        <m:nary>
          <m:naryPr>
            <m:chr m:val="∑"/>
            <m:ctrlPr>
              <w:rPr>
                <w:rFonts w:ascii="Cambria Math" w:hAnsi="Cambria Math" w:cs="Times New Roman"/>
                <w:i/>
                <w:sz w:val="19"/>
              </w:rPr>
            </m:ctrlPr>
          </m:naryPr>
          <m:sub>
            <m:r>
              <w:rPr>
                <w:rFonts w:ascii="Cambria Math" w:hAnsi="Cambria Math" w:cs="Times New Roman" w:hint="eastAsia"/>
                <w:sz w:val="19"/>
              </w:rPr>
              <m:t>j=</m:t>
            </m:r>
            <m:r>
              <w:rPr>
                <w:rFonts w:ascii="Cambria Math" w:hAnsi="Cambria Math" w:cs="Times New Roman" w:hint="eastAsia"/>
                <w:sz w:val="19"/>
                <w:cs/>
              </w:rPr>
              <m:t>1</m:t>
            </m:r>
          </m:sub>
          <m:sup>
            <m:r>
              <w:rPr>
                <w:rFonts w:ascii="Cambria Math" w:hAnsi="Cambria Math" w:cs="Times New Roman" w:hint="eastAsia"/>
                <w:sz w:val="19"/>
                <w:cs/>
              </w:rPr>
              <m:t>16</m:t>
            </m:r>
          </m:sup>
          <m:e>
            <m:r>
              <w:rPr>
                <w:rFonts w:ascii="Cambria Math" w:hAnsi="Cambria Math" w:cs="Times New Roman" w:hint="eastAsia"/>
                <w:sz w:val="19"/>
              </w:rPr>
              <m:t>I</m:t>
            </m:r>
            <m:d>
              <m:dPr>
                <m:ctrlPr>
                  <w:rPr>
                    <w:rFonts w:ascii="Cambria Math" w:hAnsi="Cambria Math" w:cs="Times New Roman"/>
                    <w:i/>
                    <w:sz w:val="19"/>
                  </w:rPr>
                </m:ctrlPr>
              </m:dPr>
              <m:e>
                <m:d>
                  <m:dPr>
                    <m:begChr m:val="|"/>
                    <m:endChr m:val="|"/>
                    <m:ctrlPr>
                      <w:rPr>
                        <w:rFonts w:ascii="Cambria Math" w:hAnsi="Cambria Math" w:cs="Times New Roman"/>
                        <w:i/>
                        <w:sz w:val="19"/>
                      </w:rPr>
                    </m:ctrlPr>
                  </m:dPr>
                  <m:e>
                    <m:sSub>
                      <m:sSubPr>
                        <m:ctrlPr>
                          <w:rPr>
                            <w:rFonts w:ascii="Cambria Math" w:hAnsi="Cambria Math" w:cs="Times New Roman"/>
                            <w:i/>
                            <w:sz w:val="19"/>
                          </w:rPr>
                        </m:ctrlPr>
                      </m:sSubPr>
                      <m:e>
                        <m:r>
                          <w:rPr>
                            <w:rFonts w:ascii="Cambria Math" w:hAnsi="Cambria Math" w:cs="Times New Roman" w:hint="eastAsia"/>
                            <w:sz w:val="19"/>
                          </w:rPr>
                          <m:t>T</m:t>
                        </m:r>
                      </m:e>
                      <m:sub>
                        <m:r>
                          <w:rPr>
                            <w:rFonts w:ascii="Cambria Math" w:hAnsi="Cambria Math" w:cs="Times New Roman" w:hint="eastAsia"/>
                            <w:sz w:val="19"/>
                          </w:rPr>
                          <m:t>j</m:t>
                        </m:r>
                      </m:sub>
                    </m:sSub>
                  </m:e>
                </m:d>
                <m:r>
                  <w:rPr>
                    <w:rFonts w:ascii="Cambria Math" w:hAnsi="Cambria Math" w:cs="Times New Roman" w:hint="eastAsia"/>
                    <w:sz w:val="19"/>
                  </w:rPr>
                  <m:t>≥</m:t>
                </m:r>
                <m:d>
                  <m:dPr>
                    <m:begChr m:val="|"/>
                    <m:endChr m:val="|"/>
                    <m:ctrlPr>
                      <w:rPr>
                        <w:rFonts w:ascii="Cambria Math" w:hAnsi="Cambria Math" w:cs="Times New Roman"/>
                        <w:i/>
                        <w:sz w:val="19"/>
                      </w:rPr>
                    </m:ctrlPr>
                  </m:dPr>
                  <m:e>
                    <m:r>
                      <w:rPr>
                        <w:rFonts w:ascii="Cambria Math" w:hAnsi="Cambria Math" w:cs="Times New Roman" w:hint="eastAsia"/>
                        <w:sz w:val="19"/>
                      </w:rPr>
                      <m:t>Δmea</m:t>
                    </m:r>
                    <m:sSub>
                      <m:sSubPr>
                        <m:ctrlPr>
                          <w:rPr>
                            <w:rFonts w:ascii="Cambria Math" w:hAnsi="Cambria Math" w:cs="Times New Roman"/>
                            <w:i/>
                            <w:sz w:val="19"/>
                          </w:rPr>
                        </m:ctrlPr>
                      </m:sSubPr>
                      <m:e>
                        <m:r>
                          <w:rPr>
                            <w:rFonts w:ascii="Cambria Math" w:hAnsi="Cambria Math" w:cs="Times New Roman" w:hint="eastAsia"/>
                            <w:sz w:val="19"/>
                          </w:rPr>
                          <m:t>n</m:t>
                        </m:r>
                        <m:ctrlPr>
                          <w:rPr>
                            <w:rFonts w:ascii="Cambria Math" w:hAnsi="Cambria Math" w:cs="Times New Roman" w:hint="eastAsia"/>
                            <w:i/>
                            <w:sz w:val="19"/>
                          </w:rPr>
                        </m:ctrlPr>
                      </m:e>
                      <m:sub>
                        <m:r>
                          <w:rPr>
                            <w:rFonts w:ascii="Cambria Math" w:hAnsi="Cambria Math" w:cs="Times New Roman" w:hint="eastAsia"/>
                            <w:sz w:val="19"/>
                          </w:rPr>
                          <m:t>m</m:t>
                        </m:r>
                      </m:sub>
                    </m:sSub>
                  </m:e>
                </m:d>
              </m:e>
            </m:d>
          </m:e>
        </m:nary>
      </m:oMath>
      <w:r w:rsidRPr="009960B6">
        <w:rPr>
          <w:rFonts w:ascii="Times New Roman" w:hAnsi="Times New Roman" w:cs="Times New Roman" w:hint="eastAsia"/>
          <w:sz w:val="19"/>
        </w:rPr>
        <w:tab/>
      </w:r>
      <w:r w:rsidR="0034462D">
        <w:rPr>
          <w:rFonts w:ascii="Times New Roman" w:hAnsi="Times New Roman" w:cs="Times New Roman"/>
          <w:sz w:val="19"/>
        </w:rPr>
        <w:t>(14)</w:t>
      </w:r>
    </w:p>
    <w:p w14:paraId="1F921E1B" w14:textId="77777777" w:rsidR="0000017E" w:rsidRDefault="0000017E" w:rsidP="009960B6">
      <w:pPr>
        <w:keepNext/>
        <w:spacing w:after="0" w:line="240" w:lineRule="auto"/>
        <w:rPr>
          <w:rFonts w:ascii="Times New Roman" w:eastAsia="Times New Roman" w:hAnsi="Times New Roman" w:cs="Times New Roman"/>
          <w:b/>
          <w:sz w:val="24"/>
          <w:szCs w:val="24"/>
        </w:rPr>
      </w:pPr>
    </w:p>
    <w:p w14:paraId="4399AE47" w14:textId="77777777" w:rsidR="009960B6" w:rsidRDefault="0000017E" w:rsidP="009960B6">
      <w:pPr>
        <w:keepNext/>
        <w:spacing w:before="120" w:after="60" w:line="240" w:lineRule="auto"/>
        <w:jc w:val="center"/>
        <w:rPr>
          <w:rFonts w:ascii="Times New Roman" w:eastAsia="Times New Roman" w:hAnsi="Times New Roman" w:cs="Times New Roman"/>
          <w:b/>
          <w:sz w:val="24"/>
          <w:szCs w:val="24"/>
        </w:rPr>
      </w:pPr>
      <w:r w:rsidRPr="0000017E">
        <w:rPr>
          <w:rFonts w:ascii="Times New Roman" w:eastAsia="Times New Roman" w:hAnsi="Times New Roman" w:cs="Times New Roman"/>
          <w:b/>
          <w:noProof/>
          <w:sz w:val="24"/>
          <w:szCs w:val="24"/>
        </w:rPr>
        <w:drawing>
          <wp:inline distT="0" distB="0" distL="0" distR="0" wp14:anchorId="00678C03" wp14:editId="32452A7F">
            <wp:extent cx="5384800" cy="3454400"/>
            <wp:effectExtent l="0" t="0" r="6350" b="0"/>
            <wp:docPr id="1068099523" name="Figure 6" descr="Causal Bull-Sideway-Bear routing, training-only SHAP selection and paired temporal inferenc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84800" cy="3454400"/>
                    </a:xfrm>
                    <a:prstGeom prst="rect">
                      <a:avLst/>
                    </a:prstGeom>
                    <a:noFill/>
                    <a:ln>
                      <a:noFill/>
                    </a:ln>
                  </pic:spPr>
                </pic:pic>
              </a:graphicData>
            </a:graphic>
          </wp:inline>
        </w:drawing>
      </w:r>
      <w:r>
        <w:rPr>
          <w:rFonts w:ascii="Times New Roman" w:eastAsia="Times New Roman" w:hAnsi="Times New Roman" w:cs="Times New Roman"/>
          <w:b/>
          <w:sz w:val="24"/>
          <w:szCs w:val="24"/>
        </w:rPr>
        <w:br/>
      </w:r>
    </w:p>
    <w:p w14:paraId="79BFA3AB" w14:textId="77777777" w:rsidR="004A3C24" w:rsidRPr="004A3C24" w:rsidRDefault="004A3C24" w:rsidP="009960B6">
      <w:pPr>
        <w:keepLines/>
        <w:spacing w:before="60" w:after="180" w:line="240" w:lineRule="auto"/>
        <w:jc w:val="center"/>
        <w:rPr>
          <w:rFonts w:ascii="Times New Roman" w:eastAsia="Times New Roman" w:hAnsi="Times New Roman" w:cs="Times New Roman"/>
          <w:sz w:val="24"/>
          <w:szCs w:val="24"/>
        </w:rPr>
      </w:pPr>
      <w:r w:rsidRPr="004A3C24">
        <w:rPr>
          <w:rFonts w:ascii="Times New Roman" w:eastAsia="Times New Roman" w:hAnsi="Times New Roman" w:cs="Times New Roman"/>
          <w:b/>
          <w:sz w:val="24"/>
          <w:szCs w:val="24"/>
        </w:rPr>
        <w:t>Figure 6.</w:t>
      </w:r>
      <w:r w:rsidRPr="004A3C24">
        <w:rPr>
          <w:rFonts w:ascii="Times New Roman" w:eastAsia="Times New Roman" w:hAnsi="Times New Roman" w:cs="Times New Roman"/>
          <w:sz w:val="24"/>
          <w:szCs w:val="24"/>
        </w:rPr>
        <w:t xml:space="preserve"> Causal regime-aware SHAP selection and inference. Past returns and volatility define daily Bull, Sideway and Bear states. The reference model, SHAP values and regime-specific feature subsets are fitted within each training fold, frozen and applied to the held-out year. Paired effects are aggregated across seeds and years before Holm adjustment.</w:t>
      </w:r>
    </w:p>
    <w:p w14:paraId="47F6DB12" w14:textId="77777777" w:rsidR="00F06F20" w:rsidRPr="004B02B2" w:rsidRDefault="004B02B2" w:rsidP="004B02B2">
      <w:pPr>
        <w:keepNext/>
        <w:keepLines/>
        <w:spacing w:before="240" w:line="360" w:lineRule="auto"/>
        <w:rPr>
          <w:rFonts w:ascii="Times New Roman" w:hAnsi="Times New Roman" w:cs="Times New Roman"/>
          <w:b/>
          <w:bCs/>
          <w:color w:val="000000"/>
          <w:sz w:val="24"/>
          <w:szCs w:val="24"/>
        </w:rPr>
      </w:pPr>
      <w:r w:rsidRPr="004B02B2">
        <w:rPr>
          <w:rFonts w:ascii="Times New Roman" w:eastAsia="Times New Roman" w:hAnsi="Times New Roman" w:cs="Times New Roman"/>
          <w:b/>
          <w:color w:val="000000"/>
          <w:sz w:val="24"/>
          <w:szCs w:val="24"/>
        </w:rPr>
        <w:t>4. Results</w:t>
      </w:r>
    </w:p>
    <w:p w14:paraId="643F166E" w14:textId="77777777" w:rsidR="00FC4CF6" w:rsidRDefault="00F06F20" w:rsidP="009960B6">
      <w:pPr>
        <w:keepNext/>
        <w:keepLines/>
        <w:spacing w:before="180" w:after="80" w:line="360" w:lineRule="auto"/>
        <w:rPr>
          <w:rFonts w:ascii="Times New Roman" w:hAnsi="Times New Roman" w:cs="Times New Roman"/>
          <w:sz w:val="24"/>
          <w:szCs w:val="24"/>
        </w:rPr>
      </w:pPr>
      <w:r w:rsidRPr="00D0143A">
        <w:rPr>
          <w:rFonts w:ascii="Times New Roman" w:hAnsi="Times New Roman"/>
          <w:b/>
          <w:bCs/>
          <w:sz w:val="24"/>
          <w:szCs w:val="24"/>
        </w:rPr>
        <w:t xml:space="preserve">4.1 </w:t>
      </w:r>
      <w:r w:rsidRPr="00D0143A">
        <w:rPr>
          <w:rFonts w:ascii="Times New Roman" w:eastAsia="Times New Roman" w:hAnsi="Times New Roman"/>
          <w:b/>
          <w:sz w:val="24"/>
          <w:szCs w:val="24"/>
        </w:rPr>
        <w:t>Numerical denoising was architecture dependent</w:t>
      </w:r>
    </w:p>
    <w:p w14:paraId="634C7272" w14:textId="77777777" w:rsidR="00FC4CF6" w:rsidRDefault="00FC4CF6"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Table 2 reports the corrected point-in-time numerical ablation. VMD increased mean balanced accuracy only for LSTM–CNN (+0.35 percentage points) and reduced it for the other four architectures (−0.30 to −0.60 points). Every interval crossed zero and the smallest exact p-value was 0.375. VMD therefore cannot be described as a generally beneficial denoiser for next-day direction</w:t>
      </w:r>
      <w:r>
        <w:rPr>
          <w:rFonts w:ascii="Times New Roman" w:eastAsia="Times New Roman" w:hAnsi="Times New Roman" w:cs="Times New Roman"/>
          <w:b/>
          <w:sz w:val="24"/>
          <w:szCs w:val="24"/>
        </w:rPr>
        <w:t>.</w:t>
      </w:r>
    </w:p>
    <w:p w14:paraId="06CF5C41" w14:textId="77777777" w:rsidR="004A3C24" w:rsidRPr="004A3C24" w:rsidRDefault="004A3C24" w:rsidP="009960B6">
      <w:pPr>
        <w:keepNext/>
        <w:keepLines/>
        <w:spacing w:before="180" w:after="80" w:line="240" w:lineRule="auto"/>
        <w:rPr>
          <w:rFonts w:ascii="Times New Roman" w:hAnsi="Times New Roman" w:cs="Times New Roman"/>
          <w:iCs/>
          <w:sz w:val="24"/>
          <w:szCs w:val="24"/>
        </w:rPr>
      </w:pPr>
      <w:r w:rsidRPr="004A3C24">
        <w:rPr>
          <w:rFonts w:ascii="Times New Roman" w:hAnsi="Times New Roman" w:cs="Times New Roman"/>
          <w:b/>
          <w:iCs/>
          <w:sz w:val="24"/>
          <w:szCs w:val="24"/>
        </w:rPr>
        <w:t>Table 2.</w:t>
      </w:r>
      <w:r w:rsidRPr="004A3C24">
        <w:rPr>
          <w:rFonts w:ascii="Times New Roman" w:hAnsi="Times New Roman" w:cs="Times New Roman"/>
          <w:iCs/>
          <w:sz w:val="24"/>
          <w:szCs w:val="24"/>
        </w:rPr>
        <w:t xml:space="preserve"> Corrected point-in-time numerical ablation for Full-TA versus Full-TA plus causal rolling VMD, 2022-2025. Balanced accuracy effects are based on four outer years after within-fold seed aggregation; runtime is reported per seed-fold cell.</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873"/>
        <w:gridCol w:w="562"/>
        <w:gridCol w:w="1123"/>
        <w:gridCol w:w="1123"/>
        <w:gridCol w:w="2527"/>
        <w:gridCol w:w="842"/>
        <w:gridCol w:w="1310"/>
      </w:tblGrid>
      <w:tr w:rsidR="000959B0" w14:paraId="5EE08616" w14:textId="77777777" w:rsidTr="000959B0">
        <w:trPr>
          <w:cantSplit/>
          <w:tblHeader/>
        </w:trPr>
        <w:tc>
          <w:tcPr>
            <w:tcW w:w="1872" w:type="dxa"/>
            <w:shd w:val="clear" w:color="auto" w:fill="E6E6E6"/>
            <w:vAlign w:val="center"/>
          </w:tcPr>
          <w:p w14:paraId="5C12DF1C" w14:textId="77777777"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Architecture</w:t>
            </w:r>
          </w:p>
        </w:tc>
        <w:tc>
          <w:tcPr>
            <w:tcW w:w="562" w:type="dxa"/>
            <w:shd w:val="clear" w:color="auto" w:fill="E6E6E6"/>
            <w:vAlign w:val="center"/>
          </w:tcPr>
          <w:p w14:paraId="5B062989" w14:textId="77777777"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W</w:t>
            </w:r>
          </w:p>
        </w:tc>
        <w:tc>
          <w:tcPr>
            <w:tcW w:w="1123" w:type="dxa"/>
            <w:shd w:val="clear" w:color="auto" w:fill="E6E6E6"/>
            <w:vAlign w:val="center"/>
          </w:tcPr>
          <w:p w14:paraId="167449FC" w14:textId="77777777"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 xml:space="preserve">Full-TA </w:t>
            </w:r>
            <w:proofErr w:type="spellStart"/>
            <w:r w:rsidRPr="000959B0">
              <w:rPr>
                <w:rFonts w:ascii="Times New Roman" w:hAnsi="Times New Roman" w:cs="Times New Roman"/>
                <w:b/>
                <w:iCs/>
                <w:sz w:val="15"/>
                <w:szCs w:val="24"/>
              </w:rPr>
              <w:t>BAcc</w:t>
            </w:r>
            <w:proofErr w:type="spellEnd"/>
            <w:r w:rsidRPr="000959B0">
              <w:rPr>
                <w:rFonts w:ascii="Times New Roman" w:hAnsi="Times New Roman" w:cs="Times New Roman"/>
                <w:b/>
                <w:iCs/>
                <w:sz w:val="15"/>
                <w:szCs w:val="24"/>
              </w:rPr>
              <w:t xml:space="preserve"> (%)</w:t>
            </w:r>
          </w:p>
        </w:tc>
        <w:tc>
          <w:tcPr>
            <w:tcW w:w="1123" w:type="dxa"/>
            <w:shd w:val="clear" w:color="auto" w:fill="E6E6E6"/>
            <w:vAlign w:val="center"/>
          </w:tcPr>
          <w:p w14:paraId="0646FA87" w14:textId="77777777"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 xml:space="preserve">+VMD </w:t>
            </w:r>
            <w:proofErr w:type="spellStart"/>
            <w:r w:rsidRPr="000959B0">
              <w:rPr>
                <w:rFonts w:ascii="Times New Roman" w:hAnsi="Times New Roman" w:cs="Times New Roman"/>
                <w:b/>
                <w:iCs/>
                <w:sz w:val="15"/>
                <w:szCs w:val="24"/>
              </w:rPr>
              <w:t>BAcc</w:t>
            </w:r>
            <w:proofErr w:type="spellEnd"/>
            <w:r w:rsidRPr="000959B0">
              <w:rPr>
                <w:rFonts w:ascii="Times New Roman" w:hAnsi="Times New Roman" w:cs="Times New Roman"/>
                <w:b/>
                <w:iCs/>
                <w:sz w:val="15"/>
                <w:szCs w:val="24"/>
              </w:rPr>
              <w:t xml:space="preserve"> (%)</w:t>
            </w:r>
          </w:p>
        </w:tc>
        <w:tc>
          <w:tcPr>
            <w:tcW w:w="2527" w:type="dxa"/>
            <w:shd w:val="clear" w:color="auto" w:fill="E6E6E6"/>
            <w:vAlign w:val="center"/>
          </w:tcPr>
          <w:p w14:paraId="6C05C670" w14:textId="77777777"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Delta pp [95% CI]</w:t>
            </w:r>
          </w:p>
        </w:tc>
        <w:tc>
          <w:tcPr>
            <w:tcW w:w="842" w:type="dxa"/>
            <w:shd w:val="clear" w:color="auto" w:fill="E6E6E6"/>
            <w:vAlign w:val="center"/>
          </w:tcPr>
          <w:p w14:paraId="349A95C6" w14:textId="77777777"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Exact p</w:t>
            </w:r>
          </w:p>
        </w:tc>
        <w:tc>
          <w:tcPr>
            <w:tcW w:w="1310" w:type="dxa"/>
            <w:shd w:val="clear" w:color="auto" w:fill="E6E6E6"/>
            <w:vAlign w:val="center"/>
          </w:tcPr>
          <w:p w14:paraId="297093BD" w14:textId="77777777"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Runtime s Full / VMD</w:t>
            </w:r>
          </w:p>
        </w:tc>
      </w:tr>
      <w:tr w:rsidR="000959B0" w14:paraId="428D4427" w14:textId="77777777" w:rsidTr="000959B0">
        <w:trPr>
          <w:cantSplit/>
        </w:trPr>
        <w:tc>
          <w:tcPr>
            <w:tcW w:w="1872" w:type="dxa"/>
            <w:vAlign w:val="center"/>
          </w:tcPr>
          <w:p w14:paraId="6684DE52" w14:textId="77777777"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w:t>
            </w:r>
          </w:p>
        </w:tc>
        <w:tc>
          <w:tcPr>
            <w:tcW w:w="562" w:type="dxa"/>
            <w:vAlign w:val="center"/>
          </w:tcPr>
          <w:p w14:paraId="1251D1F3" w14:textId="777777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w:t>
            </w:r>
          </w:p>
        </w:tc>
        <w:tc>
          <w:tcPr>
            <w:tcW w:w="1123" w:type="dxa"/>
            <w:vAlign w:val="center"/>
          </w:tcPr>
          <w:p w14:paraId="67F008CE" w14:textId="777777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53.49</w:t>
            </w:r>
          </w:p>
        </w:tc>
        <w:tc>
          <w:tcPr>
            <w:tcW w:w="1123" w:type="dxa"/>
            <w:vAlign w:val="center"/>
          </w:tcPr>
          <w:p w14:paraId="7E8EA325" w14:textId="777777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53.16</w:t>
            </w:r>
          </w:p>
        </w:tc>
        <w:tc>
          <w:tcPr>
            <w:tcW w:w="2527" w:type="dxa"/>
            <w:vAlign w:val="center"/>
          </w:tcPr>
          <w:p w14:paraId="4115BA41" w14:textId="777777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-0.33 [-1.74, +1.07]</w:t>
            </w:r>
          </w:p>
        </w:tc>
        <w:tc>
          <w:tcPr>
            <w:tcW w:w="842" w:type="dxa"/>
            <w:vAlign w:val="center"/>
          </w:tcPr>
          <w:p w14:paraId="7997142B" w14:textId="777777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0.500</w:t>
            </w:r>
          </w:p>
        </w:tc>
        <w:tc>
          <w:tcPr>
            <w:tcW w:w="1310" w:type="dxa"/>
            <w:vAlign w:val="center"/>
          </w:tcPr>
          <w:p w14:paraId="33EDBD8B" w14:textId="777777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7.84 / 7.71</w:t>
            </w:r>
          </w:p>
        </w:tc>
      </w:tr>
      <w:tr w:rsidR="000959B0" w14:paraId="6D3B6449" w14:textId="77777777" w:rsidTr="000959B0">
        <w:trPr>
          <w:cantSplit/>
        </w:trPr>
        <w:tc>
          <w:tcPr>
            <w:tcW w:w="1872" w:type="dxa"/>
            <w:vAlign w:val="center"/>
          </w:tcPr>
          <w:p w14:paraId="407C7106" w14:textId="77777777"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lastRenderedPageBreak/>
              <w:t>CNN</w:t>
            </w:r>
          </w:p>
        </w:tc>
        <w:tc>
          <w:tcPr>
            <w:tcW w:w="562" w:type="dxa"/>
            <w:vAlign w:val="center"/>
          </w:tcPr>
          <w:p w14:paraId="0108B964" w14:textId="777777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123" w:type="dxa"/>
            <w:vAlign w:val="center"/>
          </w:tcPr>
          <w:p w14:paraId="46BCEC5F" w14:textId="777777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52.14</w:t>
            </w:r>
          </w:p>
        </w:tc>
        <w:tc>
          <w:tcPr>
            <w:tcW w:w="1123" w:type="dxa"/>
            <w:vAlign w:val="center"/>
          </w:tcPr>
          <w:p w14:paraId="58C4D772" w14:textId="777777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51.84</w:t>
            </w:r>
          </w:p>
        </w:tc>
        <w:tc>
          <w:tcPr>
            <w:tcW w:w="2527" w:type="dxa"/>
            <w:vAlign w:val="center"/>
          </w:tcPr>
          <w:p w14:paraId="128A1B0A" w14:textId="777777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-0.30 [-1.38, +0.79]</w:t>
            </w:r>
          </w:p>
        </w:tc>
        <w:tc>
          <w:tcPr>
            <w:tcW w:w="842" w:type="dxa"/>
            <w:vAlign w:val="center"/>
          </w:tcPr>
          <w:p w14:paraId="573C1451" w14:textId="777777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0.625</w:t>
            </w:r>
          </w:p>
        </w:tc>
        <w:tc>
          <w:tcPr>
            <w:tcW w:w="1310" w:type="dxa"/>
            <w:vAlign w:val="center"/>
          </w:tcPr>
          <w:p w14:paraId="36E43E6B" w14:textId="777777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6.55 / 6.57</w:t>
            </w:r>
          </w:p>
        </w:tc>
      </w:tr>
      <w:tr w:rsidR="000959B0" w14:paraId="12FF492C" w14:textId="77777777" w:rsidTr="000959B0">
        <w:trPr>
          <w:cantSplit/>
        </w:trPr>
        <w:tc>
          <w:tcPr>
            <w:tcW w:w="1872" w:type="dxa"/>
            <w:vAlign w:val="center"/>
          </w:tcPr>
          <w:p w14:paraId="1A83476C" w14:textId="77777777"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LSTM-CNN</w:t>
            </w:r>
          </w:p>
        </w:tc>
        <w:tc>
          <w:tcPr>
            <w:tcW w:w="562" w:type="dxa"/>
            <w:vAlign w:val="center"/>
          </w:tcPr>
          <w:p w14:paraId="3957BA4C" w14:textId="777777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123" w:type="dxa"/>
            <w:vAlign w:val="center"/>
          </w:tcPr>
          <w:p w14:paraId="7592DB0F" w14:textId="777777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52.08</w:t>
            </w:r>
          </w:p>
        </w:tc>
        <w:tc>
          <w:tcPr>
            <w:tcW w:w="1123" w:type="dxa"/>
            <w:vAlign w:val="center"/>
          </w:tcPr>
          <w:p w14:paraId="1DEACC68" w14:textId="777777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52.43</w:t>
            </w:r>
          </w:p>
        </w:tc>
        <w:tc>
          <w:tcPr>
            <w:tcW w:w="2527" w:type="dxa"/>
            <w:vAlign w:val="center"/>
          </w:tcPr>
          <w:p w14:paraId="53B0724B" w14:textId="777777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+0.35 [-1.61, +2.32]</w:t>
            </w:r>
          </w:p>
        </w:tc>
        <w:tc>
          <w:tcPr>
            <w:tcW w:w="842" w:type="dxa"/>
            <w:vAlign w:val="center"/>
          </w:tcPr>
          <w:p w14:paraId="331D9026" w14:textId="777777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0.625</w:t>
            </w:r>
          </w:p>
        </w:tc>
        <w:tc>
          <w:tcPr>
            <w:tcW w:w="1310" w:type="dxa"/>
            <w:vAlign w:val="center"/>
          </w:tcPr>
          <w:p w14:paraId="102FC0AC" w14:textId="777777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14.26 / 14.55</w:t>
            </w:r>
          </w:p>
        </w:tc>
      </w:tr>
      <w:tr w:rsidR="000959B0" w14:paraId="7BA60117" w14:textId="77777777" w:rsidTr="000959B0">
        <w:trPr>
          <w:cantSplit/>
        </w:trPr>
        <w:tc>
          <w:tcPr>
            <w:tcW w:w="1872" w:type="dxa"/>
            <w:vAlign w:val="center"/>
          </w:tcPr>
          <w:p w14:paraId="66A6E9C9" w14:textId="77777777"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LSTM-Attention</w:t>
            </w:r>
          </w:p>
        </w:tc>
        <w:tc>
          <w:tcPr>
            <w:tcW w:w="562" w:type="dxa"/>
            <w:vAlign w:val="center"/>
          </w:tcPr>
          <w:p w14:paraId="2C63A4D4" w14:textId="777777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w:t>
            </w:r>
          </w:p>
        </w:tc>
        <w:tc>
          <w:tcPr>
            <w:tcW w:w="1123" w:type="dxa"/>
            <w:vAlign w:val="center"/>
          </w:tcPr>
          <w:p w14:paraId="05B72692" w14:textId="777777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52.51</w:t>
            </w:r>
          </w:p>
        </w:tc>
        <w:tc>
          <w:tcPr>
            <w:tcW w:w="1123" w:type="dxa"/>
            <w:vAlign w:val="center"/>
          </w:tcPr>
          <w:p w14:paraId="5E4F6270" w14:textId="777777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52.01</w:t>
            </w:r>
          </w:p>
        </w:tc>
        <w:tc>
          <w:tcPr>
            <w:tcW w:w="2527" w:type="dxa"/>
            <w:vAlign w:val="center"/>
          </w:tcPr>
          <w:p w14:paraId="268053C2" w14:textId="777777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-0.50 [-3.48, +2.49]</w:t>
            </w:r>
          </w:p>
        </w:tc>
        <w:tc>
          <w:tcPr>
            <w:tcW w:w="842" w:type="dxa"/>
            <w:vAlign w:val="center"/>
          </w:tcPr>
          <w:p w14:paraId="2419F0A0" w14:textId="777777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0.750</w:t>
            </w:r>
          </w:p>
        </w:tc>
        <w:tc>
          <w:tcPr>
            <w:tcW w:w="1310" w:type="dxa"/>
            <w:vAlign w:val="center"/>
          </w:tcPr>
          <w:p w14:paraId="1230F7FB" w14:textId="777777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14.21 / 15.55</w:t>
            </w:r>
          </w:p>
        </w:tc>
      </w:tr>
      <w:tr w:rsidR="000959B0" w14:paraId="5FF9E05E" w14:textId="77777777" w:rsidTr="000959B0">
        <w:trPr>
          <w:cantSplit/>
        </w:trPr>
        <w:tc>
          <w:tcPr>
            <w:tcW w:w="1872" w:type="dxa"/>
            <w:vAlign w:val="center"/>
          </w:tcPr>
          <w:p w14:paraId="2A84D64E" w14:textId="77777777"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LSTM-CNN-Attention</w:t>
            </w:r>
          </w:p>
        </w:tc>
        <w:tc>
          <w:tcPr>
            <w:tcW w:w="562" w:type="dxa"/>
            <w:vAlign w:val="center"/>
          </w:tcPr>
          <w:p w14:paraId="451E270F" w14:textId="777777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123" w:type="dxa"/>
            <w:vAlign w:val="center"/>
          </w:tcPr>
          <w:p w14:paraId="30CD312F" w14:textId="777777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51.58</w:t>
            </w:r>
          </w:p>
        </w:tc>
        <w:tc>
          <w:tcPr>
            <w:tcW w:w="1123" w:type="dxa"/>
            <w:vAlign w:val="center"/>
          </w:tcPr>
          <w:p w14:paraId="4AE49D88" w14:textId="777777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50.98</w:t>
            </w:r>
          </w:p>
        </w:tc>
        <w:tc>
          <w:tcPr>
            <w:tcW w:w="2527" w:type="dxa"/>
            <w:vAlign w:val="center"/>
          </w:tcPr>
          <w:p w14:paraId="3F7C52DB" w14:textId="777777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-0.60 [-1.98, +0.78]</w:t>
            </w:r>
          </w:p>
        </w:tc>
        <w:tc>
          <w:tcPr>
            <w:tcW w:w="842" w:type="dxa"/>
            <w:vAlign w:val="center"/>
          </w:tcPr>
          <w:p w14:paraId="1F837D58" w14:textId="777777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0.375</w:t>
            </w:r>
          </w:p>
        </w:tc>
        <w:tc>
          <w:tcPr>
            <w:tcW w:w="1310" w:type="dxa"/>
            <w:vAlign w:val="center"/>
          </w:tcPr>
          <w:p w14:paraId="126C4E05" w14:textId="777777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20.38 / 19.64</w:t>
            </w:r>
          </w:p>
        </w:tc>
      </w:tr>
    </w:tbl>
    <w:p w14:paraId="10216C17" w14:textId="77777777" w:rsidR="004B07BD" w:rsidRDefault="006D6F65" w:rsidP="009960B6">
      <w:pPr>
        <w:spacing w:before="60" w:line="240" w:lineRule="auto"/>
        <w:rPr>
          <w:rFonts w:ascii="Times New Roman" w:hAnsi="Times New Roman"/>
          <w:b/>
          <w:bCs/>
          <w:sz w:val="24"/>
          <w:szCs w:val="24"/>
        </w:rPr>
      </w:pPr>
      <w:r w:rsidRPr="000829A5">
        <w:rPr>
          <w:rFonts w:ascii="Times New Roman" w:hAnsi="Times New Roman" w:cs="Times New Roman"/>
          <w:i/>
          <w:iCs/>
          <w:sz w:val="24"/>
          <w:szCs w:val="24"/>
        </w:rPr>
        <w:t>Note:</w:t>
      </w:r>
      <w:r w:rsidRPr="000829A5">
        <w:rPr>
          <w:rFonts w:ascii="Times New Roman" w:hAnsi="Times New Roman" w:cs="Times New Roman"/>
          <w:sz w:val="24"/>
          <w:szCs w:val="24"/>
        </w:rPr>
        <w:t xml:space="preserve"> </w:t>
      </w:r>
      <w:proofErr w:type="spellStart"/>
      <w:r w:rsidRPr="000829A5">
        <w:rPr>
          <w:rFonts w:ascii="Times New Roman" w:hAnsi="Times New Roman" w:cs="Times New Roman"/>
          <w:sz w:val="24"/>
          <w:szCs w:val="24"/>
        </w:rPr>
        <w:t>BAcc</w:t>
      </w:r>
      <w:proofErr w:type="spellEnd"/>
      <w:r w:rsidRPr="000829A5">
        <w:rPr>
          <w:rFonts w:ascii="Times New Roman" w:hAnsi="Times New Roman" w:cs="Times New Roman"/>
          <w:sz w:val="24"/>
          <w:szCs w:val="24"/>
        </w:rPr>
        <w:t xml:space="preserve"> is balanced accuracy. Values are means over four outer years after within-fold seed aggregation. Runtime is mean model build, fit and evaluation inference time per seed–fold cell; VMD feature generation is not included. The complete selection plus outer numerical protocol recorded 4,158.40 seconds of model fit/inference time</w:t>
      </w:r>
    </w:p>
    <w:p w14:paraId="6D3C5E15" w14:textId="77777777" w:rsidR="00F6088D" w:rsidRDefault="00F6088D"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error and direction endpoints also diverged. In the corrected numerical run, VMD reduced RMSE for LSTM and CNN but reduced their balanced accuracy. Conversely, the small LSTM–CNN balanced-accuracy gain did not imply a universal price-error gain. This is exactly the distinction that a direction-focused audit must preserve</w:t>
      </w:r>
      <w:r>
        <w:rPr>
          <w:rFonts w:ascii="Times New Roman" w:hAnsi="Times New Roman"/>
          <w:b/>
          <w:bCs/>
          <w:sz w:val="24"/>
          <w:szCs w:val="24"/>
        </w:rPr>
        <w:t>.</w:t>
      </w:r>
    </w:p>
    <w:p w14:paraId="3FF24084" w14:textId="77777777" w:rsidR="0034462D" w:rsidRPr="0034462D" w:rsidRDefault="0034462D" w:rsidP="0034462D">
      <w:pPr>
        <w:keepNext/>
        <w:keepLines/>
        <w:spacing w:line="360" w:lineRule="auto"/>
        <w:jc w:val="both"/>
        <w:rPr>
          <w:rFonts w:ascii="Times New Roman" w:hAnsi="Times New Roman" w:cs="Times New Roman"/>
          <w:bCs/>
          <w:color w:val="000000"/>
          <w:sz w:val="24"/>
          <w:szCs w:val="24"/>
        </w:rPr>
      </w:pPr>
      <w:r w:rsidRPr="0034462D">
        <w:rPr>
          <w:rFonts w:ascii="Times New Roman" w:hAnsi="Times New Roman" w:cs="Times New Roman"/>
          <w:bCs/>
          <w:color w:val="000000"/>
          <w:sz w:val="24"/>
          <w:szCs w:val="24"/>
        </w:rPr>
        <w:t xml:space="preserve">Unlike decomposition studies that report lower continuous-price errors, the present result does not imply that VMD is ineffective in every forecasting setting. Liu et al. decomposed causal sliding windows and predicted and recombined multiple modal subseries with a meta-learned LSTM, whereas later work paired VMD with a dual-channel attention network for stock-series regression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{"citationID":"bac1effe","properties":{"unsorted":false,"formattedCitation":"(Dragomiretskiy \u0026 Zosso, 2014; T. Liu et al., 2022; Y. Liu et al., 2024)","plainCitation":"(Dragomiretskiy \u0026 Zosso, 2014; T. Liu et al., 2022; Y. Liu et al., 2024)","noteIndex":0},"citationItems":[{"id":8,"uris":["http://zotero.org/users/local/DPQnJvcs/items/B5YAFXST"],"itemData":{"id":8,"type":"article-journal","container-title":"IEEE Transactions on Signal Processing","DOI":"10.1109/TSP.2013.2288675","issue":"3","page":"531–544","title":"Variational Mode Decomposition","volume":"62","author":[{"family":"Dragomiretskiy","given":"Konstantin"},{"family":"Zosso","given":"Dominique"}],"issued":{"date-parts":[["2014"]]}}},{"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id":36,"uris":["http://zotero.org/users/local/DPQnJvcs/items/JPXM8FAB"],"itemData":{"id":36,"type":"article-journal","container-title":"Expert Systems with Applications","DOI":"10.1016/j.eswa.2023.121708","page":"121708","title":"A Stock Series Prediction Model Based on Variational Mode Decomposition and Dual-Channel Attention Network","volume":"238","author":[{"family":"Liu","given":"Yepeng"},{"family":"Huang","given":"Siyuan"},{"family":"Tian","given":"Xiaoyi"},{"family":"Zhang","given":"Fan"},{"family":"Zhao","given":"Feng"},{"family":"Zhang","given":"Caiming"}],"issued":{"date-parts":[["2024"]]}}}],"schema":"https://github.com/citation-style-language/schema/raw/master/csl-citation.json"} </w:instrText>
      </w:r>
      <w:r>
        <w:rPr>
          <w:rFonts w:ascii="Times New Roman" w:eastAsia="Times New Roman" w:hAnsi="Times New Roman" w:cs="Times New Roman"/>
          <w:b/>
          <w:sz w:val="24"/>
          <w:szCs w:val="24"/>
        </w:rPr>
        <w:fldChar w:fldCharType="separate"/>
      </w:r>
      <w:r w:rsidRPr="0034462D">
        <w:rPr>
          <w:rFonts w:ascii="Times New Roman" w:hAnsi="Times New Roman" w:cs="Times New Roman"/>
          <w:sz w:val="24"/>
        </w:rPr>
        <w:t>(Dragomiretskiy &amp; Zosso, 2014; T. Liu et al., 2022; Y. Liu et al., 2024)</w:t>
      </w:r>
      <w:r>
        <w:rPr>
          <w:rFonts w:ascii="Times New Roman" w:eastAsia="Times New Roman" w:hAnsi="Times New Roman" w:cs="Times New Roman"/>
          <w:b/>
          <w:sz w:val="24"/>
          <w:szCs w:val="24"/>
        </w:rPr>
        <w:fldChar w:fldCharType="end"/>
      </w:r>
      <w:r w:rsidRPr="0034462D">
        <w:rPr>
          <w:rFonts w:ascii="Times New Roman" w:hAnsi="Times New Roman" w:cs="Times New Roman"/>
          <w:bCs/>
          <w:color w:val="000000"/>
          <w:sz w:val="24"/>
          <w:szCs w:val="24"/>
        </w:rPr>
        <w:t>. Our ablation instead removes only the highest-frequency mode, keeps architectures and training budgets fixed, and evaluates the sign of a one-day movement. Smoothing can therefore reduce squared price error by shrinking deviations while erasing small sign-bearing movements around zero. The isolated +0.35-point LSTM-CNN effect is plausibly an architecture interaction: convolutional filters may exploit local residual patterns left after decomposition, whereas the recurrent and attention models may lose useful short-horizon variation. Because its interval crosses zero, this mechanism explains the observed pattern but does not establish a general denoising advantage.</w:t>
      </w:r>
    </w:p>
    <w:p w14:paraId="4BA1EF94" w14:textId="77777777" w:rsidR="00F6088D" w:rsidRDefault="00F6088D" w:rsidP="009960B6">
      <w:pPr>
        <w:keepNext/>
        <w:keepLines/>
        <w:spacing w:before="180" w:after="80" w:line="360" w:lineRule="auto"/>
        <w:rPr>
          <w:rFonts w:ascii="Times New Roman" w:hAnsi="Times New Roman" w:cs="Times New Roman"/>
          <w:sz w:val="24"/>
          <w:szCs w:val="24"/>
        </w:rPr>
      </w:pPr>
      <w:r w:rsidRPr="00D0143A">
        <w:rPr>
          <w:rFonts w:ascii="Times New Roman" w:hAnsi="Times New Roman"/>
          <w:b/>
          <w:bCs/>
          <w:sz w:val="24"/>
          <w:szCs w:val="24"/>
        </w:rPr>
        <w:t xml:space="preserve">4.2 </w:t>
      </w:r>
      <w:r w:rsidRPr="00D0143A">
        <w:rPr>
          <w:rFonts w:ascii="Times New Roman" w:eastAsia="Times New Roman" w:hAnsi="Times New Roman"/>
          <w:b/>
          <w:sz w:val="24"/>
          <w:szCs w:val="24"/>
        </w:rPr>
        <w:t>Predicted news did not add reliable directional information</w:t>
      </w:r>
    </w:p>
    <w:bookmarkEnd w:id="0"/>
    <w:p w14:paraId="1E70E2A0" w14:textId="77777777" w:rsidR="00FF27E4" w:rsidRDefault="00A76394"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observed-news effect relative to the market-only arm was negative for all five architectures in the serial-dependence sensitivity, ranging from −0.009 points for CNN to −1.895 points for LSTM–Attention (Table 3A). None survived Holm adjustment. Observed news also failed to beat the shuffled-news control after adjustment. Although the unadjusted moving-block intervals for LSTM and LSTM–CNN–Attention versus shuffled news excluded zero in the negative direction, both Holm-adjusted p-values were 0.098. The news-only, five-row lagged-news and random-</w:t>
      </w:r>
      <w:r w:rsidRPr="000829A5">
        <w:rPr>
          <w:rFonts w:ascii="Times New Roman" w:hAnsi="Times New Roman" w:cs="Times New Roman"/>
          <w:sz w:val="24"/>
          <w:szCs w:val="24"/>
        </w:rPr>
        <w:lastRenderedPageBreak/>
        <w:t>feature controls likewise produced no adjusted balanced-accuracy superiority. Across the registered exact fold-level families, zero of 30 primary balanced-accuracy contrasts survived Holm correction</w:t>
      </w:r>
      <w:r>
        <w:rPr>
          <w:rFonts w:ascii="Times New Roman" w:hAnsi="Times New Roman"/>
          <w:b/>
          <w:bCs/>
          <w:sz w:val="24"/>
          <w:szCs w:val="24"/>
        </w:rPr>
        <w:t>.</w:t>
      </w:r>
    </w:p>
    <w:p w14:paraId="6BB2D024" w14:textId="77777777" w:rsidR="004A3C24" w:rsidRPr="004A3C24" w:rsidRDefault="004A3C24" w:rsidP="009960B6">
      <w:pPr>
        <w:pStyle w:val="BodyText"/>
        <w:keepNext/>
        <w:keepLines/>
        <w:spacing w:after="80"/>
        <w:rPr>
          <w:rFonts w:ascii="Times New Roman" w:hAnsi="Times New Roman" w:cs="Times New Roman"/>
          <w:iCs/>
        </w:rPr>
      </w:pPr>
      <w:r w:rsidRPr="004A3C24">
        <w:rPr>
          <w:rFonts w:ascii="Times New Roman" w:hAnsi="Times New Roman" w:cs="Times New Roman"/>
          <w:b/>
          <w:iCs/>
        </w:rPr>
        <w:t>Table 3A.</w:t>
      </w:r>
      <w:r w:rsidRPr="004A3C24">
        <w:rPr>
          <w:rFonts w:ascii="Times New Roman" w:hAnsi="Times New Roman" w:cs="Times New Roman"/>
          <w:iCs/>
        </w:rPr>
        <w:t xml:space="preserve"> Moving-block bootstrap sensitivity for observed-news effects relative to Market-Only and Shuffled-News controls. Contrasts use the same eligible dates, frozen windows, architectures, seeds and training budgets.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779"/>
        <w:gridCol w:w="2340"/>
        <w:gridCol w:w="2808"/>
        <w:gridCol w:w="842"/>
        <w:gridCol w:w="842"/>
        <w:gridCol w:w="749"/>
      </w:tblGrid>
      <w:tr w:rsidR="000959B0" w14:paraId="45C6B4AE" w14:textId="77777777" w:rsidTr="000959B0">
        <w:trPr>
          <w:cantSplit/>
          <w:tblHeader/>
        </w:trPr>
        <w:tc>
          <w:tcPr>
            <w:tcW w:w="1778" w:type="dxa"/>
            <w:shd w:val="clear" w:color="auto" w:fill="E6E6E6"/>
            <w:vAlign w:val="center"/>
          </w:tcPr>
          <w:p w14:paraId="45E7E1E0" w14:textId="77777777"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Architecture</w:t>
            </w:r>
          </w:p>
        </w:tc>
        <w:tc>
          <w:tcPr>
            <w:tcW w:w="2340" w:type="dxa"/>
            <w:shd w:val="clear" w:color="auto" w:fill="E6E6E6"/>
            <w:vAlign w:val="center"/>
          </w:tcPr>
          <w:p w14:paraId="6BD11E52" w14:textId="77777777"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Contrast</w:t>
            </w:r>
          </w:p>
        </w:tc>
        <w:tc>
          <w:tcPr>
            <w:tcW w:w="2808" w:type="dxa"/>
            <w:shd w:val="clear" w:color="auto" w:fill="E6E6E6"/>
            <w:vAlign w:val="center"/>
          </w:tcPr>
          <w:p w14:paraId="508528B9" w14:textId="77777777"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 xml:space="preserve">Delta </w:t>
            </w:r>
            <w:proofErr w:type="spellStart"/>
            <w:r w:rsidRPr="000959B0">
              <w:rPr>
                <w:rFonts w:ascii="Times New Roman" w:hAnsi="Times New Roman" w:cs="Times New Roman"/>
                <w:b/>
                <w:iCs/>
                <w:sz w:val="14"/>
              </w:rPr>
              <w:t>BAcc</w:t>
            </w:r>
            <w:proofErr w:type="spellEnd"/>
            <w:r w:rsidRPr="000959B0">
              <w:rPr>
                <w:rFonts w:ascii="Times New Roman" w:hAnsi="Times New Roman" w:cs="Times New Roman"/>
                <w:b/>
                <w:iCs/>
                <w:sz w:val="14"/>
              </w:rPr>
              <w:t xml:space="preserve"> pp [95% CI]</w:t>
            </w:r>
          </w:p>
        </w:tc>
        <w:tc>
          <w:tcPr>
            <w:tcW w:w="842" w:type="dxa"/>
            <w:shd w:val="clear" w:color="auto" w:fill="E6E6E6"/>
            <w:vAlign w:val="center"/>
          </w:tcPr>
          <w:p w14:paraId="1F7821A4" w14:textId="77777777"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Raw p</w:t>
            </w:r>
          </w:p>
        </w:tc>
        <w:tc>
          <w:tcPr>
            <w:tcW w:w="842" w:type="dxa"/>
            <w:shd w:val="clear" w:color="auto" w:fill="E6E6E6"/>
            <w:vAlign w:val="center"/>
          </w:tcPr>
          <w:p w14:paraId="5EAF61A6" w14:textId="77777777"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Holm p</w:t>
            </w:r>
          </w:p>
        </w:tc>
        <w:tc>
          <w:tcPr>
            <w:tcW w:w="749" w:type="dxa"/>
            <w:shd w:val="clear" w:color="auto" w:fill="E6E6E6"/>
            <w:vAlign w:val="center"/>
          </w:tcPr>
          <w:p w14:paraId="09420BAD" w14:textId="77777777"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Daily n</w:t>
            </w:r>
          </w:p>
        </w:tc>
      </w:tr>
      <w:tr w:rsidR="000959B0" w14:paraId="709B0E09" w14:textId="77777777" w:rsidTr="000959B0">
        <w:trPr>
          <w:cantSplit/>
        </w:trPr>
        <w:tc>
          <w:tcPr>
            <w:tcW w:w="1778" w:type="dxa"/>
            <w:vAlign w:val="center"/>
          </w:tcPr>
          <w:p w14:paraId="730E3FF7" w14:textId="77777777"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w:t>
            </w:r>
          </w:p>
        </w:tc>
        <w:tc>
          <w:tcPr>
            <w:tcW w:w="2340" w:type="dxa"/>
            <w:vAlign w:val="center"/>
          </w:tcPr>
          <w:p w14:paraId="04B8CEE2" w14:textId="77777777"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Market-Only</w:t>
            </w:r>
          </w:p>
        </w:tc>
        <w:tc>
          <w:tcPr>
            <w:tcW w:w="2808" w:type="dxa"/>
            <w:vAlign w:val="center"/>
          </w:tcPr>
          <w:p w14:paraId="40E57A29"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-1.58 [-5.31, +2.11]</w:t>
            </w:r>
          </w:p>
        </w:tc>
        <w:tc>
          <w:tcPr>
            <w:tcW w:w="842" w:type="dxa"/>
            <w:vAlign w:val="center"/>
          </w:tcPr>
          <w:p w14:paraId="3E8C4A5D"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0.404</w:t>
            </w:r>
          </w:p>
        </w:tc>
        <w:tc>
          <w:tcPr>
            <w:tcW w:w="842" w:type="dxa"/>
            <w:vAlign w:val="center"/>
          </w:tcPr>
          <w:p w14:paraId="270DB8F7"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1.000</w:t>
            </w:r>
          </w:p>
        </w:tc>
        <w:tc>
          <w:tcPr>
            <w:tcW w:w="749" w:type="dxa"/>
            <w:vAlign w:val="center"/>
          </w:tcPr>
          <w:p w14:paraId="547D93C7"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1532D451" w14:textId="77777777" w:rsidTr="000959B0">
        <w:trPr>
          <w:cantSplit/>
        </w:trPr>
        <w:tc>
          <w:tcPr>
            <w:tcW w:w="1778" w:type="dxa"/>
            <w:vAlign w:val="center"/>
          </w:tcPr>
          <w:p w14:paraId="077659D2" w14:textId="77777777"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w:t>
            </w:r>
          </w:p>
        </w:tc>
        <w:tc>
          <w:tcPr>
            <w:tcW w:w="2340" w:type="dxa"/>
            <w:vAlign w:val="center"/>
          </w:tcPr>
          <w:p w14:paraId="62608C27" w14:textId="77777777"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Shuffled News</w:t>
            </w:r>
          </w:p>
        </w:tc>
        <w:tc>
          <w:tcPr>
            <w:tcW w:w="2808" w:type="dxa"/>
            <w:vAlign w:val="center"/>
          </w:tcPr>
          <w:p w14:paraId="2CED9D38"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-3.24 [-5.95, -0.47]</w:t>
            </w:r>
          </w:p>
        </w:tc>
        <w:tc>
          <w:tcPr>
            <w:tcW w:w="842" w:type="dxa"/>
            <w:vAlign w:val="center"/>
          </w:tcPr>
          <w:p w14:paraId="32B53A25"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0.022</w:t>
            </w:r>
          </w:p>
        </w:tc>
        <w:tc>
          <w:tcPr>
            <w:tcW w:w="842" w:type="dxa"/>
            <w:vAlign w:val="center"/>
          </w:tcPr>
          <w:p w14:paraId="6D847E3F"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0.098</w:t>
            </w:r>
          </w:p>
        </w:tc>
        <w:tc>
          <w:tcPr>
            <w:tcW w:w="749" w:type="dxa"/>
            <w:vAlign w:val="center"/>
          </w:tcPr>
          <w:p w14:paraId="0EEC2ACE"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3EA0480B" w14:textId="77777777" w:rsidTr="000959B0">
        <w:trPr>
          <w:cantSplit/>
        </w:trPr>
        <w:tc>
          <w:tcPr>
            <w:tcW w:w="1778" w:type="dxa"/>
            <w:vAlign w:val="center"/>
          </w:tcPr>
          <w:p w14:paraId="5A07D2BC" w14:textId="77777777"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CNN</w:t>
            </w:r>
          </w:p>
        </w:tc>
        <w:tc>
          <w:tcPr>
            <w:tcW w:w="2340" w:type="dxa"/>
            <w:vAlign w:val="center"/>
          </w:tcPr>
          <w:p w14:paraId="792C4FAF" w14:textId="77777777"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Market-Only</w:t>
            </w:r>
          </w:p>
        </w:tc>
        <w:tc>
          <w:tcPr>
            <w:tcW w:w="2808" w:type="dxa"/>
            <w:vAlign w:val="center"/>
          </w:tcPr>
          <w:p w14:paraId="33F9E12A"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-0.01 [-2.11, +1.99]</w:t>
            </w:r>
          </w:p>
        </w:tc>
        <w:tc>
          <w:tcPr>
            <w:tcW w:w="842" w:type="dxa"/>
            <w:vAlign w:val="center"/>
          </w:tcPr>
          <w:p w14:paraId="143FD403"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0.993</w:t>
            </w:r>
          </w:p>
        </w:tc>
        <w:tc>
          <w:tcPr>
            <w:tcW w:w="842" w:type="dxa"/>
            <w:vAlign w:val="center"/>
          </w:tcPr>
          <w:p w14:paraId="6FB54311"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1.000</w:t>
            </w:r>
          </w:p>
        </w:tc>
        <w:tc>
          <w:tcPr>
            <w:tcW w:w="749" w:type="dxa"/>
            <w:vAlign w:val="center"/>
          </w:tcPr>
          <w:p w14:paraId="17DAC410"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6DA711DB" w14:textId="77777777" w:rsidTr="000959B0">
        <w:trPr>
          <w:cantSplit/>
        </w:trPr>
        <w:tc>
          <w:tcPr>
            <w:tcW w:w="1778" w:type="dxa"/>
            <w:vAlign w:val="center"/>
          </w:tcPr>
          <w:p w14:paraId="25F8AA9C" w14:textId="77777777"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CNN</w:t>
            </w:r>
          </w:p>
        </w:tc>
        <w:tc>
          <w:tcPr>
            <w:tcW w:w="2340" w:type="dxa"/>
            <w:vAlign w:val="center"/>
          </w:tcPr>
          <w:p w14:paraId="4FB5E9A1" w14:textId="77777777"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Shuffled News</w:t>
            </w:r>
          </w:p>
        </w:tc>
        <w:tc>
          <w:tcPr>
            <w:tcW w:w="2808" w:type="dxa"/>
            <w:vAlign w:val="center"/>
          </w:tcPr>
          <w:p w14:paraId="10D09FDB"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-1.72 [-3.68, +0.05]</w:t>
            </w:r>
          </w:p>
        </w:tc>
        <w:tc>
          <w:tcPr>
            <w:tcW w:w="842" w:type="dxa"/>
            <w:vAlign w:val="center"/>
          </w:tcPr>
          <w:p w14:paraId="2E914A49"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0.057</w:t>
            </w:r>
          </w:p>
        </w:tc>
        <w:tc>
          <w:tcPr>
            <w:tcW w:w="842" w:type="dxa"/>
            <w:vAlign w:val="center"/>
          </w:tcPr>
          <w:p w14:paraId="16DB8F10"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0.171</w:t>
            </w:r>
          </w:p>
        </w:tc>
        <w:tc>
          <w:tcPr>
            <w:tcW w:w="749" w:type="dxa"/>
            <w:vAlign w:val="center"/>
          </w:tcPr>
          <w:p w14:paraId="000C29AA"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6B10A397" w14:textId="77777777" w:rsidTr="000959B0">
        <w:trPr>
          <w:cantSplit/>
        </w:trPr>
        <w:tc>
          <w:tcPr>
            <w:tcW w:w="1778" w:type="dxa"/>
            <w:vAlign w:val="center"/>
          </w:tcPr>
          <w:p w14:paraId="3D64FA1E" w14:textId="77777777"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w:t>
            </w:r>
          </w:p>
        </w:tc>
        <w:tc>
          <w:tcPr>
            <w:tcW w:w="2340" w:type="dxa"/>
            <w:vAlign w:val="center"/>
          </w:tcPr>
          <w:p w14:paraId="65DC263D" w14:textId="77777777"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Market-Only</w:t>
            </w:r>
          </w:p>
        </w:tc>
        <w:tc>
          <w:tcPr>
            <w:tcW w:w="2808" w:type="dxa"/>
            <w:vAlign w:val="center"/>
          </w:tcPr>
          <w:p w14:paraId="49B3EE17"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-0.17 [-1.78, +1.39]</w:t>
            </w:r>
          </w:p>
        </w:tc>
        <w:tc>
          <w:tcPr>
            <w:tcW w:w="842" w:type="dxa"/>
            <w:vAlign w:val="center"/>
          </w:tcPr>
          <w:p w14:paraId="16C1D2D5"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0.839</w:t>
            </w:r>
          </w:p>
        </w:tc>
        <w:tc>
          <w:tcPr>
            <w:tcW w:w="842" w:type="dxa"/>
            <w:vAlign w:val="center"/>
          </w:tcPr>
          <w:p w14:paraId="24C1ED21"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1.000</w:t>
            </w:r>
          </w:p>
        </w:tc>
        <w:tc>
          <w:tcPr>
            <w:tcW w:w="749" w:type="dxa"/>
            <w:vAlign w:val="center"/>
          </w:tcPr>
          <w:p w14:paraId="3EB2C3DC"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76AFB0FB" w14:textId="77777777" w:rsidTr="000959B0">
        <w:trPr>
          <w:cantSplit/>
        </w:trPr>
        <w:tc>
          <w:tcPr>
            <w:tcW w:w="1778" w:type="dxa"/>
            <w:vAlign w:val="center"/>
          </w:tcPr>
          <w:p w14:paraId="7860BB6F" w14:textId="77777777"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w:t>
            </w:r>
          </w:p>
        </w:tc>
        <w:tc>
          <w:tcPr>
            <w:tcW w:w="2340" w:type="dxa"/>
            <w:vAlign w:val="center"/>
          </w:tcPr>
          <w:p w14:paraId="32037A9A" w14:textId="77777777"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Shuffled News</w:t>
            </w:r>
          </w:p>
        </w:tc>
        <w:tc>
          <w:tcPr>
            <w:tcW w:w="2808" w:type="dxa"/>
            <w:vAlign w:val="center"/>
          </w:tcPr>
          <w:p w14:paraId="4A83215D"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+1.02 [-0.88, +3.08]</w:t>
            </w:r>
          </w:p>
        </w:tc>
        <w:tc>
          <w:tcPr>
            <w:tcW w:w="842" w:type="dxa"/>
            <w:vAlign w:val="center"/>
          </w:tcPr>
          <w:p w14:paraId="23A3C833"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0.308</w:t>
            </w:r>
          </w:p>
        </w:tc>
        <w:tc>
          <w:tcPr>
            <w:tcW w:w="842" w:type="dxa"/>
            <w:vAlign w:val="center"/>
          </w:tcPr>
          <w:p w14:paraId="5D441714"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0.616</w:t>
            </w:r>
          </w:p>
        </w:tc>
        <w:tc>
          <w:tcPr>
            <w:tcW w:w="749" w:type="dxa"/>
            <w:vAlign w:val="center"/>
          </w:tcPr>
          <w:p w14:paraId="18365035"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7A026809" w14:textId="77777777" w:rsidTr="000959B0">
        <w:trPr>
          <w:cantSplit/>
        </w:trPr>
        <w:tc>
          <w:tcPr>
            <w:tcW w:w="1778" w:type="dxa"/>
            <w:vAlign w:val="center"/>
          </w:tcPr>
          <w:p w14:paraId="4D258212" w14:textId="77777777"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LSTM-Attention</w:t>
            </w:r>
          </w:p>
        </w:tc>
        <w:tc>
          <w:tcPr>
            <w:tcW w:w="2340" w:type="dxa"/>
            <w:vAlign w:val="center"/>
          </w:tcPr>
          <w:p w14:paraId="32FBD42A" w14:textId="77777777"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Market-Only</w:t>
            </w:r>
          </w:p>
        </w:tc>
        <w:tc>
          <w:tcPr>
            <w:tcW w:w="2808" w:type="dxa"/>
            <w:vAlign w:val="center"/>
          </w:tcPr>
          <w:p w14:paraId="0207311E"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-1.89 [-4.75, +0.84]</w:t>
            </w:r>
          </w:p>
        </w:tc>
        <w:tc>
          <w:tcPr>
            <w:tcW w:w="842" w:type="dxa"/>
            <w:vAlign w:val="center"/>
          </w:tcPr>
          <w:p w14:paraId="68F407EA"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0.175</w:t>
            </w:r>
          </w:p>
        </w:tc>
        <w:tc>
          <w:tcPr>
            <w:tcW w:w="842" w:type="dxa"/>
            <w:vAlign w:val="center"/>
          </w:tcPr>
          <w:p w14:paraId="74E088CE"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0.701</w:t>
            </w:r>
          </w:p>
        </w:tc>
        <w:tc>
          <w:tcPr>
            <w:tcW w:w="749" w:type="dxa"/>
            <w:vAlign w:val="center"/>
          </w:tcPr>
          <w:p w14:paraId="64ED2DC9"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18503F82" w14:textId="77777777" w:rsidTr="000959B0">
        <w:trPr>
          <w:cantSplit/>
        </w:trPr>
        <w:tc>
          <w:tcPr>
            <w:tcW w:w="1778" w:type="dxa"/>
            <w:vAlign w:val="center"/>
          </w:tcPr>
          <w:p w14:paraId="495E1050" w14:textId="77777777"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LSTM-Attention</w:t>
            </w:r>
          </w:p>
        </w:tc>
        <w:tc>
          <w:tcPr>
            <w:tcW w:w="2340" w:type="dxa"/>
            <w:vAlign w:val="center"/>
          </w:tcPr>
          <w:p w14:paraId="38A4AE65" w14:textId="77777777"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Shuffled News</w:t>
            </w:r>
          </w:p>
        </w:tc>
        <w:tc>
          <w:tcPr>
            <w:tcW w:w="2808" w:type="dxa"/>
            <w:vAlign w:val="center"/>
          </w:tcPr>
          <w:p w14:paraId="20C330A9"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+0.13 [-1.37, +1.56]</w:t>
            </w:r>
          </w:p>
        </w:tc>
        <w:tc>
          <w:tcPr>
            <w:tcW w:w="842" w:type="dxa"/>
            <w:vAlign w:val="center"/>
          </w:tcPr>
          <w:p w14:paraId="7B2E804F"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0.853</w:t>
            </w:r>
          </w:p>
        </w:tc>
        <w:tc>
          <w:tcPr>
            <w:tcW w:w="842" w:type="dxa"/>
            <w:vAlign w:val="center"/>
          </w:tcPr>
          <w:p w14:paraId="41FD4A64"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0.853</w:t>
            </w:r>
          </w:p>
        </w:tc>
        <w:tc>
          <w:tcPr>
            <w:tcW w:w="749" w:type="dxa"/>
            <w:vAlign w:val="center"/>
          </w:tcPr>
          <w:p w14:paraId="2D1BA330"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22C25C02" w14:textId="77777777" w:rsidTr="000959B0">
        <w:trPr>
          <w:cantSplit/>
        </w:trPr>
        <w:tc>
          <w:tcPr>
            <w:tcW w:w="1778" w:type="dxa"/>
            <w:vAlign w:val="center"/>
          </w:tcPr>
          <w:p w14:paraId="59A11440" w14:textId="77777777"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LSTM-CNN-Attention</w:t>
            </w:r>
          </w:p>
        </w:tc>
        <w:tc>
          <w:tcPr>
            <w:tcW w:w="2340" w:type="dxa"/>
            <w:vAlign w:val="center"/>
          </w:tcPr>
          <w:p w14:paraId="1392B3AB" w14:textId="77777777"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Market-Only</w:t>
            </w:r>
          </w:p>
        </w:tc>
        <w:tc>
          <w:tcPr>
            <w:tcW w:w="2808" w:type="dxa"/>
            <w:vAlign w:val="center"/>
          </w:tcPr>
          <w:p w14:paraId="7E03677B"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-1.22 [-2.80, +0.22]</w:t>
            </w:r>
          </w:p>
        </w:tc>
        <w:tc>
          <w:tcPr>
            <w:tcW w:w="842" w:type="dxa"/>
            <w:vAlign w:val="center"/>
          </w:tcPr>
          <w:p w14:paraId="63A5DB02"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0.096</w:t>
            </w:r>
          </w:p>
        </w:tc>
        <w:tc>
          <w:tcPr>
            <w:tcW w:w="842" w:type="dxa"/>
            <w:vAlign w:val="center"/>
          </w:tcPr>
          <w:p w14:paraId="6CCFC958"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0.481</w:t>
            </w:r>
          </w:p>
        </w:tc>
        <w:tc>
          <w:tcPr>
            <w:tcW w:w="749" w:type="dxa"/>
            <w:vAlign w:val="center"/>
          </w:tcPr>
          <w:p w14:paraId="7A6C2B34"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7234EBDB" w14:textId="77777777" w:rsidTr="000959B0">
        <w:trPr>
          <w:cantSplit/>
        </w:trPr>
        <w:tc>
          <w:tcPr>
            <w:tcW w:w="1778" w:type="dxa"/>
            <w:vAlign w:val="center"/>
          </w:tcPr>
          <w:p w14:paraId="155084C8" w14:textId="77777777"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LSTM-CNN-Attention</w:t>
            </w:r>
          </w:p>
        </w:tc>
        <w:tc>
          <w:tcPr>
            <w:tcW w:w="2340" w:type="dxa"/>
            <w:vAlign w:val="center"/>
          </w:tcPr>
          <w:p w14:paraId="4D02AE25" w14:textId="77777777"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Shuffled News</w:t>
            </w:r>
          </w:p>
        </w:tc>
        <w:tc>
          <w:tcPr>
            <w:tcW w:w="2808" w:type="dxa"/>
            <w:vAlign w:val="center"/>
          </w:tcPr>
          <w:p w14:paraId="7ADF91D6"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-1.78 [-3.42, -0.27]</w:t>
            </w:r>
          </w:p>
        </w:tc>
        <w:tc>
          <w:tcPr>
            <w:tcW w:w="842" w:type="dxa"/>
            <w:vAlign w:val="center"/>
          </w:tcPr>
          <w:p w14:paraId="6DEABB1F"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0.020</w:t>
            </w:r>
          </w:p>
        </w:tc>
        <w:tc>
          <w:tcPr>
            <w:tcW w:w="842" w:type="dxa"/>
            <w:vAlign w:val="center"/>
          </w:tcPr>
          <w:p w14:paraId="6119822E"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0.098</w:t>
            </w:r>
          </w:p>
        </w:tc>
        <w:tc>
          <w:tcPr>
            <w:tcW w:w="749" w:type="dxa"/>
            <w:vAlign w:val="center"/>
          </w:tcPr>
          <w:p w14:paraId="2AA40A89"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bl>
    <w:p w14:paraId="73491256" w14:textId="77777777" w:rsidR="0038564F" w:rsidRPr="000829A5" w:rsidRDefault="0038564F" w:rsidP="009960B6">
      <w:pPr>
        <w:pStyle w:val="BodyText"/>
        <w:spacing w:before="60" w:after="120"/>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Each contrast uses 960 paired eligible daily directional rows. The moving-block analysis is a serial-dependence sensitivity; registered fold-level exact tests govern the primary historical inference.</w:t>
      </w:r>
    </w:p>
    <w:p w14:paraId="55516F18" w14:textId="77777777" w:rsidR="00A76394" w:rsidRDefault="0038564F"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negative-control result should not be interpreted as proof that news has no financial information. It shows that this dated, aggregated, out-of-sample sentiment representation did not provide a robust conditional increment beyond the numerical pipeline. The 2024–2025 official headlines were also much shorter than the labelled headline proxies (approximately 65 versus 260 characters on average) and sentiment confidence fell from 0.756 in 2023 to about 0.495, documenting a material source shift</w:t>
      </w:r>
      <w:r>
        <w:rPr>
          <w:rFonts w:ascii="Times New Roman" w:hAnsi="Times New Roman"/>
          <w:b/>
          <w:bCs/>
          <w:sz w:val="24"/>
          <w:szCs w:val="24"/>
        </w:rPr>
        <w:t>.</w:t>
      </w:r>
    </w:p>
    <w:p w14:paraId="301FBD51" w14:textId="77777777" w:rsidR="0034462D" w:rsidRPr="0034462D" w:rsidRDefault="0034462D" w:rsidP="0034462D">
      <w:pPr>
        <w:keepNext/>
        <w:keepLines/>
        <w:spacing w:line="360" w:lineRule="auto"/>
        <w:jc w:val="both"/>
        <w:rPr>
          <w:rFonts w:ascii="Times New Roman" w:hAnsi="Times New Roman" w:cs="Times New Roman"/>
          <w:bCs/>
          <w:color w:val="000000"/>
          <w:sz w:val="24"/>
          <w:szCs w:val="24"/>
        </w:rPr>
      </w:pPr>
      <w:r w:rsidRPr="0034462D">
        <w:rPr>
          <w:rFonts w:ascii="Times New Roman" w:hAnsi="Times New Roman" w:cs="Times New Roman"/>
          <w:bCs/>
          <w:color w:val="000000"/>
          <w:sz w:val="24"/>
          <w:szCs w:val="24"/>
        </w:rPr>
        <w:lastRenderedPageBreak/>
        <w:t xml:space="preserve">These findings contrast with multimodal systems that report gains from richer news representations. Sentiment-attention models learn time-varying fusion from large news collections, while interaction-based models explicitly connect news items and report delayed pricing, long-memory effects and limitations of sentiment alone </w:t>
      </w: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ADDIN ZOTERO_ITEM CSL_CITATION {"citationID":"6a297d0e","properties":{"unsorted":false,"formattedCitation":"(W.-J. Liu et al., 2024; M. Wang et al., 2024)","plainCitation":"(W.-J. Liu et al., 2024; M. Wang et al., 2024)","noteIndex":0},"citationItems":[{"id":38,"uris":["http://zotero.org/users/local/DPQnJvcs/items/VIIIS229"],"itemData":{"id":38,"type":"article-journal","container-title":"Expert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Pr>
          <w:rFonts w:ascii="Times New Roman" w:hAnsi="Times New Roman" w:cs="Times New Roman"/>
          <w:b/>
          <w:sz w:val="24"/>
          <w:szCs w:val="24"/>
        </w:rPr>
        <w:fldChar w:fldCharType="separate"/>
      </w:r>
      <w:r w:rsidRPr="0034462D">
        <w:rPr>
          <w:rFonts w:ascii="Times New Roman" w:hAnsi="Times New Roman" w:cs="Times New Roman"/>
          <w:sz w:val="24"/>
        </w:rPr>
        <w:t>(W.-J. Liu et al., 2024; M. Wang et al., 2024)</w:t>
      </w:r>
      <w:r>
        <w:rPr>
          <w:rFonts w:ascii="Times New Roman" w:hAnsi="Times New Roman" w:cs="Times New Roman"/>
          <w:b/>
          <w:sz w:val="24"/>
          <w:szCs w:val="24"/>
        </w:rPr>
        <w:fldChar w:fldCharType="end"/>
      </w:r>
      <w:r w:rsidRPr="0034462D">
        <w:rPr>
          <w:rFonts w:ascii="Times New Roman" w:hAnsi="Times New Roman" w:cs="Times New Roman"/>
          <w:bCs/>
          <w:color w:val="000000"/>
          <w:sz w:val="24"/>
          <w:szCs w:val="24"/>
        </w:rPr>
        <w:t xml:space="preserve">. The present daily scalar aggregation deliberately omits article-to-article interaction and compresses timing, entity specificity and narrative context. That compression, together with the shorter 2024-2025 headlines and lower sentiment confidence, provides a plausible mechanism for the negative incremental effects. The </w:t>
      </w:r>
      <w:proofErr w:type="gramStart"/>
      <w:r w:rsidRPr="0034462D">
        <w:rPr>
          <w:rFonts w:ascii="Times New Roman" w:hAnsi="Times New Roman" w:cs="Times New Roman"/>
          <w:bCs/>
          <w:color w:val="000000"/>
          <w:sz w:val="24"/>
          <w:szCs w:val="24"/>
        </w:rPr>
        <w:t>shuffled-news</w:t>
      </w:r>
      <w:proofErr w:type="gramEnd"/>
      <w:r w:rsidRPr="0034462D">
        <w:rPr>
          <w:rFonts w:ascii="Times New Roman" w:hAnsi="Times New Roman" w:cs="Times New Roman"/>
          <w:bCs/>
          <w:color w:val="000000"/>
          <w:sz w:val="24"/>
          <w:szCs w:val="24"/>
        </w:rPr>
        <w:t xml:space="preserve"> comparison is especially informative: if dated semantic information were driving the forecast, breaking its temporal alignment should materially reduce performance. Because that did not occur after adjustment, the news channel more likely acted as a weak proxy or noisy </w:t>
      </w:r>
      <w:proofErr w:type="spellStart"/>
      <w:r w:rsidRPr="0034462D">
        <w:rPr>
          <w:rFonts w:ascii="Times New Roman" w:hAnsi="Times New Roman" w:cs="Times New Roman"/>
          <w:bCs/>
          <w:color w:val="000000"/>
          <w:sz w:val="24"/>
          <w:szCs w:val="24"/>
        </w:rPr>
        <w:t>regularizer</w:t>
      </w:r>
      <w:proofErr w:type="spellEnd"/>
      <w:r w:rsidRPr="0034462D">
        <w:rPr>
          <w:rFonts w:ascii="Times New Roman" w:hAnsi="Times New Roman" w:cs="Times New Roman"/>
          <w:bCs/>
          <w:color w:val="000000"/>
          <w:sz w:val="24"/>
          <w:szCs w:val="24"/>
        </w:rPr>
        <w:t xml:space="preserve"> than as stable dated information. This does not show that financial news is uninformative; it narrows the claim to this out-of-sample daily representation under a fixed compute budget.</w:t>
      </w:r>
    </w:p>
    <w:p w14:paraId="4CAE9ED9" w14:textId="77777777" w:rsidR="0038564F" w:rsidRDefault="00880654" w:rsidP="009960B6">
      <w:pPr>
        <w:keepNext/>
        <w:keepLines/>
        <w:spacing w:before="180" w:after="80" w:line="360" w:lineRule="auto"/>
        <w:rPr>
          <w:rFonts w:ascii="Times New Roman" w:hAnsi="Times New Roman"/>
          <w:b/>
          <w:bCs/>
          <w:sz w:val="24"/>
          <w:szCs w:val="24"/>
        </w:rPr>
      </w:pPr>
      <w:r>
        <w:rPr>
          <w:rFonts w:ascii="Times New Roman" w:hAnsi="Times New Roman"/>
          <w:b/>
          <w:bCs/>
          <w:sz w:val="24"/>
          <w:szCs w:val="24"/>
        </w:rPr>
        <w:t>4.3 The LLM role system improved intrinsic sentiment</w:t>
      </w:r>
    </w:p>
    <w:p w14:paraId="6210BD2D" w14:textId="77777777" w:rsidR="004377D0" w:rsidRDefault="004B185E"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local sentiment classifier achieved out-of-sample accuracies of 81.24%, 81.55%, 83.43%, 79.85% and 82.82% for 2019–2023, respectively; 2023 Macro-F1 was 78.44%. The 2023 relevance classifier achieved 88.85% accuracy and 85.91% Macro-F1</w:t>
      </w:r>
      <w:r>
        <w:rPr>
          <w:rFonts w:ascii="Times New Roman" w:hAnsi="Times New Roman"/>
          <w:b/>
          <w:bCs/>
          <w:sz w:val="24"/>
          <w:szCs w:val="24"/>
        </w:rPr>
        <w:t>.</w:t>
      </w:r>
    </w:p>
    <w:p w14:paraId="37365917" w14:textId="77777777" w:rsidR="00B72DF8" w:rsidRDefault="00B72DF8"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On the locked 2023 intrinsic cohort, a one-call LLM scored 69.84% accuracy, the three-pass self-consistency control 70.67%, the four-pass control 70.59% and the Bull/Bear/Leader system 76.59%. Table 3B shows that the Leader retained an advantage of 5.93–6.00 points under equal-call and near-cost controls. Both article-cluster intervals excluded zero and both comparisons remained significant after Holm adjustment.</w:t>
      </w:r>
    </w:p>
    <w:p w14:paraId="3B0496DB" w14:textId="77777777" w:rsidR="004A3C24" w:rsidRPr="004A3C24" w:rsidRDefault="004A3C24" w:rsidP="009960B6">
      <w:pPr>
        <w:keepNext/>
        <w:keepLines/>
        <w:spacing w:before="180" w:after="80" w:line="240" w:lineRule="auto"/>
        <w:rPr>
          <w:rFonts w:ascii="Times New Roman" w:hAnsi="Times New Roman" w:cs="Times New Roman"/>
          <w:iCs/>
          <w:sz w:val="24"/>
          <w:szCs w:val="24"/>
        </w:rPr>
      </w:pPr>
      <w:r w:rsidRPr="004A3C24">
        <w:rPr>
          <w:rFonts w:ascii="Times New Roman" w:hAnsi="Times New Roman" w:cs="Times New Roman"/>
          <w:b/>
          <w:iCs/>
          <w:sz w:val="24"/>
          <w:szCs w:val="24"/>
        </w:rPr>
        <w:t>Table 3B.</w:t>
      </w:r>
      <w:r w:rsidRPr="004A3C24">
        <w:rPr>
          <w:rFonts w:ascii="Times New Roman" w:hAnsi="Times New Roman" w:cs="Times New Roman"/>
          <w:iCs/>
          <w:sz w:val="24"/>
          <w:szCs w:val="24"/>
        </w:rPr>
        <w:t xml:space="preserve"> Locked 2023 intrinsic sentiment benchmark for single-pass, compute-matched self-consistency and Bull/Bear/Leader systems. Accuracy is the primary endpoint; uncertainty is clustered by </w:t>
      </w:r>
      <w:proofErr w:type="gramStart"/>
      <w:r w:rsidRPr="004A3C24">
        <w:rPr>
          <w:rFonts w:ascii="Times New Roman" w:hAnsi="Times New Roman" w:cs="Times New Roman"/>
          <w:iCs/>
          <w:sz w:val="24"/>
          <w:szCs w:val="24"/>
        </w:rPr>
        <w:t>article</w:t>
      </w:r>
      <w:proofErr w:type="gramEnd"/>
      <w:r w:rsidRPr="004A3C24">
        <w:rPr>
          <w:rFonts w:ascii="Times New Roman" w:hAnsi="Times New Roman" w:cs="Times New Roman"/>
          <w:iCs/>
          <w:sz w:val="24"/>
          <w:szCs w:val="24"/>
        </w:rPr>
        <w:t xml:space="preserve"> and the two Leader contrasts are Holm-adjusted.</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53"/>
        <w:gridCol w:w="749"/>
        <w:gridCol w:w="842"/>
        <w:gridCol w:w="1217"/>
        <w:gridCol w:w="1217"/>
        <w:gridCol w:w="2340"/>
        <w:gridCol w:w="842"/>
      </w:tblGrid>
      <w:tr w:rsidR="000959B0" w14:paraId="6A4474EB" w14:textId="77777777" w:rsidTr="000959B0">
        <w:trPr>
          <w:cantSplit/>
          <w:tblHeader/>
        </w:trPr>
        <w:tc>
          <w:tcPr>
            <w:tcW w:w="2153" w:type="dxa"/>
            <w:shd w:val="clear" w:color="auto" w:fill="E6E6E6"/>
            <w:vAlign w:val="center"/>
          </w:tcPr>
          <w:p w14:paraId="3A1C1EAF" w14:textId="77777777"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Comparison</w:t>
            </w:r>
          </w:p>
        </w:tc>
        <w:tc>
          <w:tcPr>
            <w:tcW w:w="749" w:type="dxa"/>
            <w:shd w:val="clear" w:color="auto" w:fill="E6E6E6"/>
            <w:vAlign w:val="center"/>
          </w:tcPr>
          <w:p w14:paraId="63D1F238" w14:textId="77777777"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Pairs</w:t>
            </w:r>
          </w:p>
        </w:tc>
        <w:tc>
          <w:tcPr>
            <w:tcW w:w="842" w:type="dxa"/>
            <w:shd w:val="clear" w:color="auto" w:fill="E6E6E6"/>
            <w:vAlign w:val="center"/>
          </w:tcPr>
          <w:p w14:paraId="08463599" w14:textId="77777777"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Articles</w:t>
            </w:r>
          </w:p>
        </w:tc>
        <w:tc>
          <w:tcPr>
            <w:tcW w:w="1217" w:type="dxa"/>
            <w:shd w:val="clear" w:color="auto" w:fill="E6E6E6"/>
            <w:vAlign w:val="center"/>
          </w:tcPr>
          <w:p w14:paraId="0882ED9A" w14:textId="77777777"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Control accuracy (%)</w:t>
            </w:r>
          </w:p>
        </w:tc>
        <w:tc>
          <w:tcPr>
            <w:tcW w:w="1217" w:type="dxa"/>
            <w:shd w:val="clear" w:color="auto" w:fill="E6E6E6"/>
            <w:vAlign w:val="center"/>
          </w:tcPr>
          <w:p w14:paraId="21E1D735" w14:textId="77777777"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Leader accuracy (%)</w:t>
            </w:r>
          </w:p>
        </w:tc>
        <w:tc>
          <w:tcPr>
            <w:tcW w:w="2340" w:type="dxa"/>
            <w:shd w:val="clear" w:color="auto" w:fill="E6E6E6"/>
            <w:vAlign w:val="center"/>
          </w:tcPr>
          <w:p w14:paraId="7009D0D0" w14:textId="77777777"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Delta pp [95% CI]</w:t>
            </w:r>
          </w:p>
        </w:tc>
        <w:tc>
          <w:tcPr>
            <w:tcW w:w="842" w:type="dxa"/>
            <w:shd w:val="clear" w:color="auto" w:fill="E6E6E6"/>
            <w:vAlign w:val="center"/>
          </w:tcPr>
          <w:p w14:paraId="439C9D1F" w14:textId="77777777"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Holm p</w:t>
            </w:r>
          </w:p>
        </w:tc>
      </w:tr>
      <w:tr w:rsidR="000959B0" w14:paraId="301E8088" w14:textId="77777777" w:rsidTr="000959B0">
        <w:trPr>
          <w:cantSplit/>
        </w:trPr>
        <w:tc>
          <w:tcPr>
            <w:tcW w:w="2153" w:type="dxa"/>
            <w:vAlign w:val="center"/>
          </w:tcPr>
          <w:p w14:paraId="5F464039" w14:textId="77777777" w:rsidR="000959B0" w:rsidRPr="000959B0" w:rsidRDefault="000959B0" w:rsidP="000959B0">
            <w:pPr>
              <w:spacing w:after="0" w:line="240" w:lineRule="auto"/>
              <w:rPr>
                <w:rFonts w:ascii="Times New Roman" w:hAnsi="Times New Roman" w:cs="Times New Roman"/>
                <w:iCs/>
                <w:sz w:val="14"/>
                <w:szCs w:val="24"/>
              </w:rPr>
            </w:pPr>
            <w:r w:rsidRPr="000959B0">
              <w:rPr>
                <w:rFonts w:ascii="Times New Roman" w:hAnsi="Times New Roman" w:cs="Times New Roman"/>
                <w:iCs/>
                <w:sz w:val="14"/>
                <w:szCs w:val="24"/>
              </w:rPr>
              <w:t>Leader - SC3 (equal calls)</w:t>
            </w:r>
          </w:p>
        </w:tc>
        <w:tc>
          <w:tcPr>
            <w:tcW w:w="749" w:type="dxa"/>
            <w:vAlign w:val="center"/>
          </w:tcPr>
          <w:p w14:paraId="251AB748" w14:textId="77777777"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1333</w:t>
            </w:r>
          </w:p>
        </w:tc>
        <w:tc>
          <w:tcPr>
            <w:tcW w:w="842" w:type="dxa"/>
            <w:vAlign w:val="center"/>
          </w:tcPr>
          <w:p w14:paraId="0CF60034" w14:textId="77777777"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738</w:t>
            </w:r>
          </w:p>
        </w:tc>
        <w:tc>
          <w:tcPr>
            <w:tcW w:w="1217" w:type="dxa"/>
            <w:vAlign w:val="center"/>
          </w:tcPr>
          <w:p w14:paraId="54728376" w14:textId="77777777"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70.67</w:t>
            </w:r>
          </w:p>
        </w:tc>
        <w:tc>
          <w:tcPr>
            <w:tcW w:w="1217" w:type="dxa"/>
            <w:vAlign w:val="center"/>
          </w:tcPr>
          <w:p w14:paraId="482A2507" w14:textId="77777777"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76.59</w:t>
            </w:r>
          </w:p>
        </w:tc>
        <w:tc>
          <w:tcPr>
            <w:tcW w:w="2340" w:type="dxa"/>
            <w:vAlign w:val="center"/>
          </w:tcPr>
          <w:p w14:paraId="13DB4B3F" w14:textId="77777777"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+5.93 [+3.49, +8.49]</w:t>
            </w:r>
          </w:p>
        </w:tc>
        <w:tc>
          <w:tcPr>
            <w:tcW w:w="842" w:type="dxa"/>
            <w:vAlign w:val="center"/>
          </w:tcPr>
          <w:p w14:paraId="5EE27139" w14:textId="77777777"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&lt;0.001</w:t>
            </w:r>
          </w:p>
        </w:tc>
      </w:tr>
      <w:tr w:rsidR="000959B0" w14:paraId="33CAA8D2" w14:textId="77777777" w:rsidTr="000959B0">
        <w:trPr>
          <w:cantSplit/>
        </w:trPr>
        <w:tc>
          <w:tcPr>
            <w:tcW w:w="2153" w:type="dxa"/>
            <w:vAlign w:val="center"/>
          </w:tcPr>
          <w:p w14:paraId="1D35BFAB" w14:textId="77777777" w:rsidR="000959B0" w:rsidRPr="000959B0" w:rsidRDefault="000959B0" w:rsidP="000959B0">
            <w:pPr>
              <w:spacing w:after="0" w:line="240" w:lineRule="auto"/>
              <w:rPr>
                <w:rFonts w:ascii="Times New Roman" w:hAnsi="Times New Roman" w:cs="Times New Roman"/>
                <w:iCs/>
                <w:sz w:val="14"/>
                <w:szCs w:val="24"/>
              </w:rPr>
            </w:pPr>
            <w:r w:rsidRPr="000959B0">
              <w:rPr>
                <w:rFonts w:ascii="Times New Roman" w:hAnsi="Times New Roman" w:cs="Times New Roman"/>
                <w:iCs/>
                <w:sz w:val="14"/>
                <w:szCs w:val="24"/>
              </w:rPr>
              <w:t>Leader - SC4 (near cost)</w:t>
            </w:r>
          </w:p>
        </w:tc>
        <w:tc>
          <w:tcPr>
            <w:tcW w:w="749" w:type="dxa"/>
            <w:vAlign w:val="center"/>
          </w:tcPr>
          <w:p w14:paraId="3206C9EE" w14:textId="77777777"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1333</w:t>
            </w:r>
          </w:p>
        </w:tc>
        <w:tc>
          <w:tcPr>
            <w:tcW w:w="842" w:type="dxa"/>
            <w:vAlign w:val="center"/>
          </w:tcPr>
          <w:p w14:paraId="497D7BE3" w14:textId="77777777"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738</w:t>
            </w:r>
          </w:p>
        </w:tc>
        <w:tc>
          <w:tcPr>
            <w:tcW w:w="1217" w:type="dxa"/>
            <w:vAlign w:val="center"/>
          </w:tcPr>
          <w:p w14:paraId="6E0697CB" w14:textId="77777777"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70.59</w:t>
            </w:r>
          </w:p>
        </w:tc>
        <w:tc>
          <w:tcPr>
            <w:tcW w:w="1217" w:type="dxa"/>
            <w:vAlign w:val="center"/>
          </w:tcPr>
          <w:p w14:paraId="0DFA28E8" w14:textId="77777777"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76.59</w:t>
            </w:r>
          </w:p>
        </w:tc>
        <w:tc>
          <w:tcPr>
            <w:tcW w:w="2340" w:type="dxa"/>
            <w:vAlign w:val="center"/>
          </w:tcPr>
          <w:p w14:paraId="50FFFDF5" w14:textId="77777777"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+6.00 [+3.61, +8.48]</w:t>
            </w:r>
          </w:p>
        </w:tc>
        <w:tc>
          <w:tcPr>
            <w:tcW w:w="842" w:type="dxa"/>
            <w:vAlign w:val="center"/>
          </w:tcPr>
          <w:p w14:paraId="07BE8A42" w14:textId="77777777"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&lt;0.001</w:t>
            </w:r>
          </w:p>
        </w:tc>
      </w:tr>
    </w:tbl>
    <w:p w14:paraId="00BB4587" w14:textId="77777777" w:rsidR="00B72DF8" w:rsidRDefault="00880654" w:rsidP="009960B6">
      <w:pPr>
        <w:spacing w:before="60" w:line="240" w:lineRule="auto"/>
        <w:rPr>
          <w:rFonts w:ascii="Times New Roman" w:hAnsi="Times New Roman" w:cs="Times New Roman"/>
          <w:b/>
          <w:bCs/>
          <w:sz w:val="24"/>
          <w:szCs w:val="24"/>
        </w:rPr>
      </w:pPr>
      <w:r>
        <w:rPr>
          <w:rFonts w:ascii="Times New Roman" w:hAnsi="Times New Roman" w:cs="Times New Roman"/>
          <w:i/>
          <w:iCs/>
          <w:sz w:val="24"/>
          <w:szCs w:val="24"/>
        </w:rPr>
        <w:t>Note: Table 3B reports intrinsic sentiment performance on the locked 2023 cohort. These results must not be interpreted as evidence of downstream SET50 forecasting value.</w:t>
      </w:r>
    </w:p>
    <w:p w14:paraId="2B66F93A" w14:textId="77777777" w:rsidR="0034462D" w:rsidRPr="0034462D" w:rsidRDefault="0034462D" w:rsidP="0034462D">
      <w:pPr>
        <w:keepNext/>
        <w:keepLines/>
        <w:spacing w:line="360" w:lineRule="auto"/>
        <w:jc w:val="both"/>
        <w:rPr>
          <w:rFonts w:ascii="Times New Roman" w:hAnsi="Times New Roman" w:cs="Times New Roman"/>
          <w:bCs/>
          <w:color w:val="000000"/>
          <w:sz w:val="24"/>
          <w:szCs w:val="24"/>
        </w:rPr>
      </w:pPr>
      <w:r w:rsidRPr="0034462D">
        <w:rPr>
          <w:rFonts w:ascii="Times New Roman" w:hAnsi="Times New Roman" w:cs="Times New Roman"/>
          <w:bCs/>
          <w:color w:val="000000"/>
          <w:sz w:val="24"/>
          <w:szCs w:val="24"/>
        </w:rPr>
        <w:lastRenderedPageBreak/>
        <w:t xml:space="preserve">The Leader advantage is consistent with multi-agent debate studies in which divergent arguments improve reasoning relative to a single trajectory, while self-consistency improves performance by sampling and aggregating multiple reasoning paths </w:t>
      </w:r>
      <w:r>
        <w:rPr>
          <w:rFonts w:ascii="Times New Roman" w:eastAsia="Times New Roman" w:hAnsi="Times New Roman"/>
          <w:b/>
          <w:sz w:val="24"/>
          <w:szCs w:val="24"/>
          <w:cs/>
        </w:rPr>
        <w:fldChar w:fldCharType="begin"/>
      </w:r>
      <w:r>
        <w:rPr>
          <w:rFonts w:ascii="Times New Roman" w:eastAsia="Times New Roman" w:hAnsi="Times New Roman"/>
          <w:b/>
          <w:sz w:val="24"/>
          <w:szCs w:val="24"/>
        </w:rPr>
        <w:instrText xml:space="preserve"> ADDIN ZOTERO_ITEM CSL_CITATION {"citationID":"806f457f","properties":{"unsorted":false,"formattedCitation":"(Du et al., 2024; Liang et al., 2024; X. Wang et al., 2023; Dong et al., 2025)","plainCitation":"(Du et al., 2024; Liang et al., 2024; X. Wang et al., 2023; Dong et al., 2025)","noteIndex":0},"citationItems":[{"id":14,"uris":["http://zotero.org/users/local/DPQnJvcs/items/D3CHYCUL"],"itemData":{"id":14,"type":"paper-conference","collection-title":"Proceedings of Machine Learning Research","container-title":"Proceedings of the 41st International Conference on Machine Learning","page":"11733–11763","publisher":"PMLR","title":"Improving Factuality and Reasoning in Language Models through Multiagent Debate","URL":"https://proceedings.mlr.press/v235/du24e.html","volume":"235","author":[{"family":"Du","given":"Yilun"},{"family":"Li","given":"Shuang"},{"family":"Torralba","given":"Antonio"},{"family":"Tenenbaum","given":"Joshua B."},{"family":"Mordatch","given":"Igor"}],"issued":{"date-parts":[["2024"]]}}},{"id":15,"uris":["http://zotero.org/users/local/DPQnJvcs/items/PLY8SHS7"],"itemData":{"id":15,"type":"paper-conference","container-title":"Proceedings of the 2024 Conference on Empirical Methods in Natural Language Processing","DOI":"10.18653/v1/2024.emnlp-main.992","page":"17889–17904","publisher":"Association for Computational Linguistics","title":"Encouraging Divergent Thinking in Large Language Models through Multi-Agent Debate","author":[{"family":"Liang","given":"Tian"},{"family":"He","given":"Zhiwei"},{"family":"Jiao","given":"Wenxiang"},{"family":"Wang","given":"Xing"},{"family":"Wang","given":"Yan"},{"family":"Wang","given":"Rui"},{"family":"Yang","given":"Yujiu"},{"family":"Shi","given":"Shuming"},{"family":"Tu","given":"Zhaopeng"}],"issued":{"date-parts":[["2024"]]}}},{"id":16,"uris":["http://zotero.org/users/local/DPQnJvcs/items/MGSIQEJ4"],"itemData":{"id":16,"type":"paper-conference","container-title":"The Eleventh International Conference on Learning Representations","title":"Self-Consistency Improves Chain of Thought Reasoning in Language Models","URL":"https://openreview.net/forum?id=1PL1NIMMrw","author":[{"family":"Wang","given":"Xuezhi"},{"family":"Wei","given":"Jason"},{"family":"Schuurmans","given":"Dale"},{"family":"Le","given":"Quoc V."},{"family":"Chi","given":"Ed H."},{"family":"Narang","given":"Sharan"},{"family":"Chowdhery","given":"Aakanksha"},{"family":"Zhou","given":"Denny"}],"issued":{"date-parts":[["2023"]]}}},{"id":39,"uris":["http://zotero.org/users/local/DPQnJvcs/items/5X3GYKMQ"],"itemData":{"id":39,"type":"paper-conference","container-title":"Findings of the Association for Computational Linguistics: EMNLP 2025","DOI":"10.18653/v1/2025.findings-emnlp.972","page":"17889–17907","publisher":"Association for Computational Linguistics","title":"Large Language Model Agents in Finance: A Survey Bridging Research, Practice, and Real-World Deployment","URL":"https://aclanthology.org/2025.findings-emnlp.972/","author":[{"family":"Dong","given":"Yifei"},{"family":"Wu","given":"Fengyi"},{"family":"Zhang","given":"Kunlin"},{"family":"Dai","given":"Yilong"},{"family":"Zhang","given":"Sanjian"},{"family":"Ye","given":"Wanghao"},{"family":"Chen","given":"Sihan"},{"family":"Cheng","given":"Zhi-Qi"}],"issued":{"date-parts":[["2025"]]}}}],"schema":"https://github.com/citation-style-language/schema/raw/master/csl-citation.json"} </w:instrText>
      </w:r>
      <w:r>
        <w:rPr>
          <w:rFonts w:ascii="Times New Roman" w:eastAsia="Times New Roman" w:hAnsi="Times New Roman"/>
          <w:b/>
          <w:sz w:val="24"/>
          <w:szCs w:val="24"/>
          <w:cs/>
        </w:rPr>
        <w:fldChar w:fldCharType="separate"/>
      </w:r>
      <w:r w:rsidRPr="0034462D">
        <w:rPr>
          <w:rFonts w:ascii="Times New Roman" w:hAnsi="Times New Roman" w:cs="Times New Roman"/>
          <w:sz w:val="24"/>
        </w:rPr>
        <w:t>(Du et al., 2024; Liang et al., 2024; X. Wang et al., 2023; Dong et al., 2025)</w:t>
      </w:r>
      <w:r>
        <w:rPr>
          <w:rFonts w:ascii="Times New Roman" w:eastAsia="Times New Roman" w:hAnsi="Times New Roman"/>
          <w:b/>
          <w:sz w:val="24"/>
          <w:szCs w:val="24"/>
          <w:cs/>
        </w:rPr>
        <w:fldChar w:fldCharType="end"/>
      </w:r>
      <w:r w:rsidRPr="0034462D">
        <w:rPr>
          <w:rFonts w:ascii="Times New Roman" w:hAnsi="Times New Roman" w:cs="Times New Roman"/>
          <w:bCs/>
          <w:color w:val="000000"/>
          <w:sz w:val="24"/>
          <w:szCs w:val="24"/>
        </w:rPr>
        <w:t xml:space="preserve">. The equal-call and near-cost controls matter because they separate role diversity from the simpler benefit of spending more </w:t>
      </w:r>
      <w:r w:rsidR="0011168E">
        <w:rPr>
          <w:rFonts w:ascii="Times New Roman" w:hAnsi="Times New Roman" w:cs="Times New Roman"/>
          <w:bCs/>
          <w:color w:val="000000"/>
          <w:sz w:val="24"/>
          <w:szCs w:val="24"/>
        </w:rPr>
        <w:t>inference calls. Recent finance-agent</w:t>
      </w:r>
      <w:r w:rsidRPr="0034462D">
        <w:rPr>
          <w:rFonts w:ascii="Times New Roman" w:hAnsi="Times New Roman" w:cs="Times New Roman"/>
          <w:bCs/>
          <w:color w:val="000000"/>
          <w:sz w:val="24"/>
          <w:szCs w:val="24"/>
        </w:rPr>
        <w:t xml:space="preserve"> reviews similarly identify prompt sensitivity and limited real-time adaptability as barriers to deployment, so the intrinsic gain remains distinct from downstream market value.</w:t>
      </w:r>
    </w:p>
    <w:p w14:paraId="2873EDDB" w14:textId="77777777" w:rsidR="00743CA6" w:rsidRPr="00D97087" w:rsidRDefault="00743CA6"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4.</w:t>
      </w:r>
      <w:r w:rsidR="00D97087" w:rsidRPr="00D0143A">
        <w:rPr>
          <w:rFonts w:ascii="Times New Roman" w:hAnsi="Times New Roman" w:cs="Times New Roman"/>
          <w:b/>
          <w:bCs/>
          <w:sz w:val="24"/>
          <w:szCs w:val="24"/>
        </w:rPr>
        <w:t>4 Regime-SHAP selection helped one architecture but did not generalize</w:t>
      </w:r>
    </w:p>
    <w:p w14:paraId="0278A9FD" w14:textId="77777777" w:rsidR="004A3C24" w:rsidRPr="004A3C24" w:rsidRDefault="004A3C24" w:rsidP="009960B6">
      <w:pPr>
        <w:spacing w:line="360" w:lineRule="auto"/>
        <w:jc w:val="both"/>
        <w:rPr>
          <w:rFonts w:ascii="Times New Roman" w:hAnsi="Times New Roman" w:cs="Times New Roman"/>
          <w:bCs/>
          <w:sz w:val="24"/>
          <w:szCs w:val="24"/>
        </w:rPr>
      </w:pPr>
      <w:r w:rsidRPr="004A3C24">
        <w:rPr>
          <w:rFonts w:ascii="Times New Roman" w:hAnsi="Times New Roman" w:cs="Times New Roman"/>
          <w:bCs/>
          <w:sz w:val="24"/>
          <w:szCs w:val="24"/>
        </w:rPr>
        <w:t>The primary Regime-SHAP minus Regime-All contrast is reported in Table 4.</w:t>
      </w:r>
    </w:p>
    <w:p w14:paraId="6A1E0C50" w14:textId="77777777" w:rsidR="004A3C24" w:rsidRPr="004A3C24" w:rsidRDefault="004A3C24" w:rsidP="009960B6">
      <w:pPr>
        <w:pStyle w:val="BodyText"/>
        <w:keepNext/>
        <w:keepLines/>
        <w:spacing w:after="80"/>
        <w:rPr>
          <w:rFonts w:ascii="Times New Roman" w:hAnsi="Times New Roman" w:cs="Times New Roman"/>
          <w:iCs/>
        </w:rPr>
      </w:pPr>
      <w:r w:rsidRPr="004A3C24">
        <w:rPr>
          <w:rFonts w:ascii="Times New Roman" w:hAnsi="Times New Roman" w:cs="Times New Roman"/>
          <w:b/>
          <w:iCs/>
        </w:rPr>
        <w:t>Table 4.</w:t>
      </w:r>
      <w:r w:rsidRPr="004A3C24">
        <w:rPr>
          <w:rFonts w:ascii="Times New Roman" w:hAnsi="Times New Roman" w:cs="Times New Roman"/>
          <w:iCs/>
        </w:rPr>
        <w:t xml:space="preserve"> Primary regime-specific SHAP reduction contrast by architecture. The contrast is Regime-SHAP minus Regime-All after seeds are averaged within each outer year; SHAP values are fitted-model attributions rather than causal effects.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434"/>
        <w:gridCol w:w="1685"/>
        <w:gridCol w:w="2621"/>
        <w:gridCol w:w="1310"/>
        <w:gridCol w:w="1310"/>
      </w:tblGrid>
      <w:tr w:rsidR="000959B0" w14:paraId="2FF5C2B8" w14:textId="77777777" w:rsidTr="000959B0">
        <w:trPr>
          <w:cantSplit/>
          <w:tblHeader/>
        </w:trPr>
        <w:tc>
          <w:tcPr>
            <w:tcW w:w="2434" w:type="dxa"/>
            <w:shd w:val="clear" w:color="auto" w:fill="E6E6E6"/>
            <w:vAlign w:val="center"/>
          </w:tcPr>
          <w:p w14:paraId="1DCB4081" w14:textId="77777777" w:rsidR="000959B0" w:rsidRPr="000959B0" w:rsidRDefault="000959B0" w:rsidP="000959B0">
            <w:pPr>
              <w:pStyle w:val="BodyText"/>
              <w:spacing w:before="0" w:after="0"/>
              <w:jc w:val="center"/>
              <w:rPr>
                <w:rFonts w:ascii="Times New Roman" w:hAnsi="Times New Roman" w:cs="Times New Roman"/>
                <w:b/>
                <w:iCs/>
                <w:sz w:val="16"/>
              </w:rPr>
            </w:pPr>
            <w:r w:rsidRPr="000959B0">
              <w:rPr>
                <w:rFonts w:ascii="Times New Roman" w:hAnsi="Times New Roman" w:cs="Times New Roman"/>
                <w:b/>
                <w:iCs/>
                <w:sz w:val="16"/>
              </w:rPr>
              <w:t>Architecture</w:t>
            </w:r>
          </w:p>
        </w:tc>
        <w:tc>
          <w:tcPr>
            <w:tcW w:w="1685" w:type="dxa"/>
            <w:shd w:val="clear" w:color="auto" w:fill="E6E6E6"/>
            <w:vAlign w:val="center"/>
          </w:tcPr>
          <w:p w14:paraId="19766916" w14:textId="77777777" w:rsidR="000959B0" w:rsidRPr="000959B0" w:rsidRDefault="000959B0" w:rsidP="000959B0">
            <w:pPr>
              <w:pStyle w:val="BodyText"/>
              <w:spacing w:before="0" w:after="0"/>
              <w:jc w:val="center"/>
              <w:rPr>
                <w:rFonts w:ascii="Times New Roman" w:hAnsi="Times New Roman" w:cs="Times New Roman"/>
                <w:b/>
                <w:iCs/>
                <w:sz w:val="16"/>
              </w:rPr>
            </w:pPr>
            <w:r w:rsidRPr="000959B0">
              <w:rPr>
                <w:rFonts w:ascii="Times New Roman" w:hAnsi="Times New Roman" w:cs="Times New Roman"/>
                <w:b/>
                <w:iCs/>
                <w:sz w:val="16"/>
              </w:rPr>
              <w:t xml:space="preserve">Delta </w:t>
            </w:r>
            <w:proofErr w:type="spellStart"/>
            <w:r w:rsidRPr="000959B0">
              <w:rPr>
                <w:rFonts w:ascii="Times New Roman" w:hAnsi="Times New Roman" w:cs="Times New Roman"/>
                <w:b/>
                <w:iCs/>
                <w:sz w:val="16"/>
              </w:rPr>
              <w:t>BAcc</w:t>
            </w:r>
            <w:proofErr w:type="spellEnd"/>
            <w:r w:rsidRPr="000959B0">
              <w:rPr>
                <w:rFonts w:ascii="Times New Roman" w:hAnsi="Times New Roman" w:cs="Times New Roman"/>
                <w:b/>
                <w:iCs/>
                <w:sz w:val="16"/>
              </w:rPr>
              <w:t xml:space="preserve"> (pp)</w:t>
            </w:r>
          </w:p>
        </w:tc>
        <w:tc>
          <w:tcPr>
            <w:tcW w:w="2621" w:type="dxa"/>
            <w:shd w:val="clear" w:color="auto" w:fill="E6E6E6"/>
            <w:vAlign w:val="center"/>
          </w:tcPr>
          <w:p w14:paraId="6EAA2AC2" w14:textId="77777777" w:rsidR="000959B0" w:rsidRPr="000959B0" w:rsidRDefault="000959B0" w:rsidP="000959B0">
            <w:pPr>
              <w:pStyle w:val="BodyText"/>
              <w:spacing w:before="0" w:after="0"/>
              <w:jc w:val="center"/>
              <w:rPr>
                <w:rFonts w:ascii="Times New Roman" w:hAnsi="Times New Roman" w:cs="Times New Roman"/>
                <w:b/>
                <w:iCs/>
                <w:sz w:val="16"/>
              </w:rPr>
            </w:pPr>
            <w:r w:rsidRPr="000959B0">
              <w:rPr>
                <w:rFonts w:ascii="Times New Roman" w:hAnsi="Times New Roman" w:cs="Times New Roman"/>
                <w:b/>
                <w:iCs/>
                <w:sz w:val="16"/>
              </w:rPr>
              <w:t>95% CI</w:t>
            </w:r>
          </w:p>
        </w:tc>
        <w:tc>
          <w:tcPr>
            <w:tcW w:w="1310" w:type="dxa"/>
            <w:shd w:val="clear" w:color="auto" w:fill="E6E6E6"/>
            <w:vAlign w:val="center"/>
          </w:tcPr>
          <w:p w14:paraId="11375668" w14:textId="77777777" w:rsidR="000959B0" w:rsidRPr="000959B0" w:rsidRDefault="000959B0" w:rsidP="000959B0">
            <w:pPr>
              <w:pStyle w:val="BodyText"/>
              <w:spacing w:before="0" w:after="0"/>
              <w:jc w:val="center"/>
              <w:rPr>
                <w:rFonts w:ascii="Times New Roman" w:hAnsi="Times New Roman" w:cs="Times New Roman"/>
                <w:b/>
                <w:iCs/>
                <w:sz w:val="16"/>
              </w:rPr>
            </w:pPr>
            <w:r w:rsidRPr="000959B0">
              <w:rPr>
                <w:rFonts w:ascii="Times New Roman" w:hAnsi="Times New Roman" w:cs="Times New Roman"/>
                <w:b/>
                <w:iCs/>
                <w:sz w:val="16"/>
              </w:rPr>
              <w:t>Exact p</w:t>
            </w:r>
          </w:p>
        </w:tc>
        <w:tc>
          <w:tcPr>
            <w:tcW w:w="1310" w:type="dxa"/>
            <w:shd w:val="clear" w:color="auto" w:fill="E6E6E6"/>
            <w:vAlign w:val="center"/>
          </w:tcPr>
          <w:p w14:paraId="12FA8610" w14:textId="77777777" w:rsidR="000959B0" w:rsidRPr="000959B0" w:rsidRDefault="000959B0" w:rsidP="000959B0">
            <w:pPr>
              <w:pStyle w:val="BodyText"/>
              <w:spacing w:before="0" w:after="0"/>
              <w:jc w:val="center"/>
              <w:rPr>
                <w:rFonts w:ascii="Times New Roman" w:hAnsi="Times New Roman" w:cs="Times New Roman"/>
                <w:b/>
                <w:iCs/>
                <w:sz w:val="16"/>
              </w:rPr>
            </w:pPr>
            <w:r w:rsidRPr="000959B0">
              <w:rPr>
                <w:rFonts w:ascii="Times New Roman" w:hAnsi="Times New Roman" w:cs="Times New Roman"/>
                <w:b/>
                <w:iCs/>
                <w:sz w:val="16"/>
              </w:rPr>
              <w:t>Holm p</w:t>
            </w:r>
          </w:p>
        </w:tc>
      </w:tr>
      <w:tr w:rsidR="000959B0" w14:paraId="78B0D17B" w14:textId="77777777" w:rsidTr="000959B0">
        <w:trPr>
          <w:cantSplit/>
        </w:trPr>
        <w:tc>
          <w:tcPr>
            <w:tcW w:w="2434" w:type="dxa"/>
            <w:vAlign w:val="center"/>
          </w:tcPr>
          <w:p w14:paraId="023BDB73" w14:textId="77777777" w:rsidR="000959B0" w:rsidRPr="000959B0" w:rsidRDefault="000959B0" w:rsidP="000959B0">
            <w:pPr>
              <w:pStyle w:val="BodyText"/>
              <w:spacing w:before="0" w:after="0"/>
              <w:rPr>
                <w:rFonts w:ascii="Times New Roman" w:hAnsi="Times New Roman" w:cs="Times New Roman"/>
                <w:iCs/>
                <w:sz w:val="16"/>
              </w:rPr>
            </w:pPr>
            <w:r w:rsidRPr="000959B0">
              <w:rPr>
                <w:rFonts w:ascii="Times New Roman" w:hAnsi="Times New Roman" w:cs="Times New Roman"/>
                <w:iCs/>
                <w:sz w:val="16"/>
              </w:rPr>
              <w:t>LSTM</w:t>
            </w:r>
          </w:p>
        </w:tc>
        <w:tc>
          <w:tcPr>
            <w:tcW w:w="1685" w:type="dxa"/>
            <w:vAlign w:val="center"/>
          </w:tcPr>
          <w:p w14:paraId="4D5E6CA5" w14:textId="77777777"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-0.10</w:t>
            </w:r>
          </w:p>
        </w:tc>
        <w:tc>
          <w:tcPr>
            <w:tcW w:w="2621" w:type="dxa"/>
            <w:vAlign w:val="center"/>
          </w:tcPr>
          <w:p w14:paraId="3A7AD3AE" w14:textId="77777777"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[-1.75, +1.55]</w:t>
            </w:r>
          </w:p>
        </w:tc>
        <w:tc>
          <w:tcPr>
            <w:tcW w:w="1310" w:type="dxa"/>
            <w:vAlign w:val="center"/>
          </w:tcPr>
          <w:p w14:paraId="15178D9C" w14:textId="77777777"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1.000</w:t>
            </w:r>
          </w:p>
        </w:tc>
        <w:tc>
          <w:tcPr>
            <w:tcW w:w="1310" w:type="dxa"/>
            <w:vAlign w:val="center"/>
          </w:tcPr>
          <w:p w14:paraId="43A05384" w14:textId="77777777"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1.000</w:t>
            </w:r>
          </w:p>
        </w:tc>
      </w:tr>
      <w:tr w:rsidR="000959B0" w14:paraId="005B54BB" w14:textId="77777777" w:rsidTr="000959B0">
        <w:trPr>
          <w:cantSplit/>
        </w:trPr>
        <w:tc>
          <w:tcPr>
            <w:tcW w:w="2434" w:type="dxa"/>
            <w:vAlign w:val="center"/>
          </w:tcPr>
          <w:p w14:paraId="3261566B" w14:textId="77777777" w:rsidR="000959B0" w:rsidRPr="000959B0" w:rsidRDefault="000959B0" w:rsidP="000959B0">
            <w:pPr>
              <w:pStyle w:val="BodyText"/>
              <w:spacing w:before="0" w:after="0"/>
              <w:rPr>
                <w:rFonts w:ascii="Times New Roman" w:hAnsi="Times New Roman" w:cs="Times New Roman"/>
                <w:iCs/>
                <w:sz w:val="16"/>
              </w:rPr>
            </w:pPr>
            <w:r w:rsidRPr="000959B0">
              <w:rPr>
                <w:rFonts w:ascii="Times New Roman" w:hAnsi="Times New Roman" w:cs="Times New Roman"/>
                <w:iCs/>
                <w:sz w:val="16"/>
              </w:rPr>
              <w:t>CNN</w:t>
            </w:r>
          </w:p>
        </w:tc>
        <w:tc>
          <w:tcPr>
            <w:tcW w:w="1685" w:type="dxa"/>
            <w:vAlign w:val="center"/>
          </w:tcPr>
          <w:p w14:paraId="5B3D0EBA" w14:textId="77777777"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+1.46</w:t>
            </w:r>
          </w:p>
        </w:tc>
        <w:tc>
          <w:tcPr>
            <w:tcW w:w="2621" w:type="dxa"/>
            <w:vAlign w:val="center"/>
          </w:tcPr>
          <w:p w14:paraId="506AD6D4" w14:textId="77777777"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[-0.09, +3.01]</w:t>
            </w:r>
          </w:p>
        </w:tc>
        <w:tc>
          <w:tcPr>
            <w:tcW w:w="1310" w:type="dxa"/>
            <w:vAlign w:val="center"/>
          </w:tcPr>
          <w:p w14:paraId="2DC05404" w14:textId="77777777"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0.125</w:t>
            </w:r>
          </w:p>
        </w:tc>
        <w:tc>
          <w:tcPr>
            <w:tcW w:w="1310" w:type="dxa"/>
            <w:vAlign w:val="center"/>
          </w:tcPr>
          <w:p w14:paraId="4663DE7E" w14:textId="77777777"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0.625</w:t>
            </w:r>
          </w:p>
        </w:tc>
      </w:tr>
      <w:tr w:rsidR="000959B0" w14:paraId="0DEB2D18" w14:textId="77777777" w:rsidTr="000959B0">
        <w:trPr>
          <w:cantSplit/>
        </w:trPr>
        <w:tc>
          <w:tcPr>
            <w:tcW w:w="2434" w:type="dxa"/>
            <w:vAlign w:val="center"/>
          </w:tcPr>
          <w:p w14:paraId="4ACE2BF3" w14:textId="77777777" w:rsidR="000959B0" w:rsidRPr="000959B0" w:rsidRDefault="000959B0" w:rsidP="000959B0">
            <w:pPr>
              <w:pStyle w:val="BodyText"/>
              <w:spacing w:before="0" w:after="0"/>
              <w:rPr>
                <w:rFonts w:ascii="Times New Roman" w:hAnsi="Times New Roman" w:cs="Times New Roman"/>
                <w:iCs/>
                <w:sz w:val="16"/>
              </w:rPr>
            </w:pPr>
            <w:r w:rsidRPr="000959B0">
              <w:rPr>
                <w:rFonts w:ascii="Times New Roman" w:hAnsi="Times New Roman" w:cs="Times New Roman"/>
                <w:iCs/>
                <w:sz w:val="16"/>
              </w:rPr>
              <w:t>LSTM-CNN</w:t>
            </w:r>
          </w:p>
        </w:tc>
        <w:tc>
          <w:tcPr>
            <w:tcW w:w="1685" w:type="dxa"/>
            <w:vAlign w:val="center"/>
          </w:tcPr>
          <w:p w14:paraId="6278F4F3" w14:textId="77777777"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+0.05</w:t>
            </w:r>
          </w:p>
        </w:tc>
        <w:tc>
          <w:tcPr>
            <w:tcW w:w="2621" w:type="dxa"/>
            <w:vAlign w:val="center"/>
          </w:tcPr>
          <w:p w14:paraId="5559F72D" w14:textId="77777777"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[-2.45, +2.55]</w:t>
            </w:r>
          </w:p>
        </w:tc>
        <w:tc>
          <w:tcPr>
            <w:tcW w:w="1310" w:type="dxa"/>
            <w:vAlign w:val="center"/>
          </w:tcPr>
          <w:p w14:paraId="776C5E93" w14:textId="77777777"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1.000</w:t>
            </w:r>
          </w:p>
        </w:tc>
        <w:tc>
          <w:tcPr>
            <w:tcW w:w="1310" w:type="dxa"/>
            <w:vAlign w:val="center"/>
          </w:tcPr>
          <w:p w14:paraId="13751674" w14:textId="77777777"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1.000</w:t>
            </w:r>
          </w:p>
        </w:tc>
      </w:tr>
      <w:tr w:rsidR="000959B0" w14:paraId="185D8758" w14:textId="77777777" w:rsidTr="000959B0">
        <w:trPr>
          <w:cantSplit/>
        </w:trPr>
        <w:tc>
          <w:tcPr>
            <w:tcW w:w="2434" w:type="dxa"/>
            <w:vAlign w:val="center"/>
          </w:tcPr>
          <w:p w14:paraId="122DBA1A" w14:textId="77777777" w:rsidR="000959B0" w:rsidRPr="000959B0" w:rsidRDefault="000959B0" w:rsidP="000959B0">
            <w:pPr>
              <w:pStyle w:val="BodyText"/>
              <w:spacing w:before="0" w:after="0"/>
              <w:rPr>
                <w:rFonts w:ascii="Times New Roman" w:hAnsi="Times New Roman" w:cs="Times New Roman"/>
                <w:iCs/>
                <w:sz w:val="16"/>
              </w:rPr>
            </w:pPr>
            <w:r w:rsidRPr="000959B0">
              <w:rPr>
                <w:rFonts w:ascii="Times New Roman" w:hAnsi="Times New Roman" w:cs="Times New Roman"/>
                <w:iCs/>
                <w:sz w:val="16"/>
              </w:rPr>
              <w:t>LSTM-Attention</w:t>
            </w:r>
          </w:p>
        </w:tc>
        <w:tc>
          <w:tcPr>
            <w:tcW w:w="1685" w:type="dxa"/>
            <w:vAlign w:val="center"/>
          </w:tcPr>
          <w:p w14:paraId="7F493CC0" w14:textId="77777777"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-1.03</w:t>
            </w:r>
          </w:p>
        </w:tc>
        <w:tc>
          <w:tcPr>
            <w:tcW w:w="2621" w:type="dxa"/>
            <w:vAlign w:val="center"/>
          </w:tcPr>
          <w:p w14:paraId="37AC92A1" w14:textId="77777777"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[-2.19, +0.12]</w:t>
            </w:r>
          </w:p>
        </w:tc>
        <w:tc>
          <w:tcPr>
            <w:tcW w:w="1310" w:type="dxa"/>
            <w:vAlign w:val="center"/>
          </w:tcPr>
          <w:p w14:paraId="7281EE25" w14:textId="77777777"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0.125</w:t>
            </w:r>
          </w:p>
        </w:tc>
        <w:tc>
          <w:tcPr>
            <w:tcW w:w="1310" w:type="dxa"/>
            <w:vAlign w:val="center"/>
          </w:tcPr>
          <w:p w14:paraId="7D9A0277" w14:textId="77777777"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0.625</w:t>
            </w:r>
          </w:p>
        </w:tc>
      </w:tr>
      <w:tr w:rsidR="000959B0" w14:paraId="65D06C62" w14:textId="77777777" w:rsidTr="000959B0">
        <w:trPr>
          <w:cantSplit/>
        </w:trPr>
        <w:tc>
          <w:tcPr>
            <w:tcW w:w="2434" w:type="dxa"/>
            <w:vAlign w:val="center"/>
          </w:tcPr>
          <w:p w14:paraId="571DF509" w14:textId="77777777" w:rsidR="000959B0" w:rsidRPr="000959B0" w:rsidRDefault="000959B0" w:rsidP="000959B0">
            <w:pPr>
              <w:pStyle w:val="BodyText"/>
              <w:spacing w:before="0" w:after="0"/>
              <w:rPr>
                <w:rFonts w:ascii="Times New Roman" w:hAnsi="Times New Roman" w:cs="Times New Roman"/>
                <w:iCs/>
                <w:sz w:val="16"/>
              </w:rPr>
            </w:pPr>
            <w:r w:rsidRPr="000959B0">
              <w:rPr>
                <w:rFonts w:ascii="Times New Roman" w:hAnsi="Times New Roman" w:cs="Times New Roman"/>
                <w:iCs/>
                <w:sz w:val="16"/>
              </w:rPr>
              <w:t>LSTM-CNN-Attention</w:t>
            </w:r>
          </w:p>
        </w:tc>
        <w:tc>
          <w:tcPr>
            <w:tcW w:w="1685" w:type="dxa"/>
            <w:vAlign w:val="center"/>
          </w:tcPr>
          <w:p w14:paraId="334E51B5" w14:textId="77777777"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-0.74</w:t>
            </w:r>
          </w:p>
        </w:tc>
        <w:tc>
          <w:tcPr>
            <w:tcW w:w="2621" w:type="dxa"/>
            <w:vAlign w:val="center"/>
          </w:tcPr>
          <w:p w14:paraId="5EA154C2" w14:textId="77777777"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[-3.10, +1.62]</w:t>
            </w:r>
          </w:p>
        </w:tc>
        <w:tc>
          <w:tcPr>
            <w:tcW w:w="1310" w:type="dxa"/>
            <w:vAlign w:val="center"/>
          </w:tcPr>
          <w:p w14:paraId="6E3D85AB" w14:textId="77777777"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0.500</w:t>
            </w:r>
          </w:p>
        </w:tc>
        <w:tc>
          <w:tcPr>
            <w:tcW w:w="1310" w:type="dxa"/>
            <w:vAlign w:val="center"/>
          </w:tcPr>
          <w:p w14:paraId="493DE03D" w14:textId="77777777"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1.000</w:t>
            </w:r>
          </w:p>
        </w:tc>
      </w:tr>
    </w:tbl>
    <w:p w14:paraId="07DADED8" w14:textId="77777777" w:rsidR="0011346A" w:rsidRPr="000829A5" w:rsidRDefault="0011346A" w:rsidP="009960B6">
      <w:pPr>
        <w:pStyle w:val="BodyText"/>
        <w:spacing w:before="60" w:after="120"/>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The contrast is Regime-SHAP minus Regime-All. Seeds are averaged within outer years before inference. SHAP values are fitted-model attributions, not causal effects of market variables.</w:t>
      </w:r>
    </w:p>
    <w:p w14:paraId="72A3C5E1" w14:textId="77777777" w:rsidR="00880654" w:rsidRPr="00880654" w:rsidRDefault="00880654" w:rsidP="00880654">
      <w:pPr>
        <w:spacing w:line="360" w:lineRule="auto"/>
        <w:jc w:val="both"/>
        <w:rPr>
          <w:rFonts w:ascii="Times New Roman" w:hAnsi="Times New Roman" w:cs="Times New Roman"/>
          <w:sz w:val="24"/>
          <w:szCs w:val="24"/>
        </w:rPr>
      </w:pPr>
      <w:r w:rsidRPr="00880654">
        <w:rPr>
          <w:rFonts w:ascii="Times New Roman" w:hAnsi="Times New Roman" w:cs="Times New Roman"/>
          <w:sz w:val="24"/>
          <w:szCs w:val="24"/>
        </w:rPr>
        <w:t>Separately, the post-hoc integrated 2×2 robustness analysis crossed global versus Regime-SHAP numerical inputs with absence versus presence of Local-NLP predicted news on the 2019–2025 common cohort. The highest mean balanced accuracy was 54.07% for LSTM–CNN with Regime-SHAP numerical inputs without news. Adding news within the regime-selected arm improved mean balanced accuracy for two of five models (LSTM +0.13 and LSTM–Attention +1.03 points) and reduced it for the other three. No balanced-accuracy contrast survived Holm adjustment. The complete factorial is retained as post-hoc integrated evidence in Table S5 rather than promoted as a success claim.</w:t>
      </w:r>
    </w:p>
    <w:p w14:paraId="0FEB3889" w14:textId="77777777" w:rsidR="00743CA6" w:rsidRDefault="0011346A" w:rsidP="009960B6">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 xml:space="preserve">LIME did not provide an independent validation of SHAP. Of 1,800 registered instance–repeat explanations, 1,293 (71.83%) had local surrogate </w:t>
      </w:r>
      <w:r w:rsidRPr="0011346A">
        <w:rPr>
          <w:rFonts w:ascii="Times New Roman" w:hAnsi="Times New Roman" w:cs="Times New Roman"/>
          <w:sz w:val="24"/>
          <w:szCs w:val="24"/>
          <w:highlight w:val="yellow"/>
        </w:rPr>
        <w:t>(R^2&lt;0.70).</w:t>
      </w:r>
      <w:r w:rsidRPr="000829A5">
        <w:rPr>
          <w:rFonts w:ascii="Times New Roman" w:hAnsi="Times New Roman" w:cs="Times New Roman"/>
          <w:sz w:val="24"/>
          <w:szCs w:val="24"/>
        </w:rPr>
        <w:t xml:space="preserve"> Low-fidelity repeats were retained and disclosed. Because the diagnostic failed for most repetitions, complete LIME agreement and </w:t>
      </w:r>
      <w:r w:rsidRPr="000829A5">
        <w:rPr>
          <w:rFonts w:ascii="Times New Roman" w:hAnsi="Times New Roman" w:cs="Times New Roman"/>
          <w:sz w:val="24"/>
          <w:szCs w:val="24"/>
        </w:rPr>
        <w:lastRenderedPageBreak/>
        <w:t>stability tables are placed in the Supplement and no feature-level causal narrative is built from them</w:t>
      </w:r>
      <w:r>
        <w:rPr>
          <w:rFonts w:ascii="Times New Roman" w:hAnsi="Times New Roman" w:cs="Times New Roman"/>
          <w:b/>
          <w:bCs/>
          <w:sz w:val="24"/>
          <w:szCs w:val="24"/>
        </w:rPr>
        <w:t>.</w:t>
      </w:r>
    </w:p>
    <w:p w14:paraId="4DE4938B" w14:textId="77777777" w:rsidR="0034462D" w:rsidRPr="0034462D" w:rsidRDefault="0034462D" w:rsidP="0034462D">
      <w:pPr>
        <w:keepNext/>
        <w:keepLines/>
        <w:spacing w:line="360" w:lineRule="auto"/>
        <w:jc w:val="both"/>
        <w:rPr>
          <w:rFonts w:ascii="Times New Roman" w:hAnsi="Times New Roman" w:cs="Times New Roman"/>
          <w:bCs/>
          <w:color w:val="000000"/>
          <w:sz w:val="24"/>
          <w:szCs w:val="24"/>
        </w:rPr>
      </w:pPr>
      <w:r w:rsidRPr="0034462D">
        <w:rPr>
          <w:rFonts w:ascii="Times New Roman" w:hAnsi="Times New Roman" w:cs="Times New Roman"/>
          <w:bCs/>
          <w:color w:val="000000"/>
          <w:sz w:val="24"/>
          <w:szCs w:val="24"/>
        </w:rPr>
        <w:t xml:space="preserve">The regime result should also be interpreted relative to the definition of regime. Classical bull/bear work identifies sustained market phases, and time-series momentum documents persistence across multiple horizons; the present method instead converts those ideas into a train-only day-level routing variable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{"citationID":"360cf6e3","properties":{"unsorted":false,"formattedCitation":"(Pagan \u0026 Sossounov, 2003; Moskowitz et al., 2012)","plainCitation":"(Pagan \u0026 Sossounov, 2003; Moskowitz et al., 2012)","noteIndex":0},"citationItems":[{"id":20,"uris":["http://zotero.org/users/local/DPQnJvcs/items/RQKMDA85"],"itemData":{"id":20,"type":"article-journal","container-title":"Journal of Applied Econometrics","DOI":"10.1002/jae.664","issue":"1","page":"23–46","title":"A Simple Framework for Analysing Bull and Bear Markets","volume":"18","author":[{"family":"Pagan","given":"Adrian R."},{"family":"Sossounov","given":"Kirill A."}],"issued":{"date-parts":[["2003"]]}}},{"id":21,"uris":["http://zotero.org/users/local/DPQnJvcs/items/9TALPZW5"],"itemData":{"id":21,"type":"article-journal","container-title":"Journal of Financial Economics","DOI":"10.1016/j.jfineco.2011.11.003","issue":"2","page":"228–250","title":"Time Series Momentum","volume":"104","author":[{"family":"Moskowitz","given":"Tobias J."},{"family":"Ooi","given":"Yao Hua"},{"family":"Pedersen","given":"Lasse Heje"}],"issued":{"date-parts":[["2012"]]}}}],"schema":"https://github.com/citation-style-language/schema/raw/master/csl-citation.json"} </w:instrText>
      </w:r>
      <w:r>
        <w:rPr>
          <w:rFonts w:ascii="Times New Roman" w:eastAsia="Times New Roman" w:hAnsi="Times New Roman" w:cs="Times New Roman"/>
          <w:b/>
          <w:sz w:val="24"/>
          <w:szCs w:val="24"/>
        </w:rPr>
        <w:fldChar w:fldCharType="separate"/>
      </w:r>
      <w:r w:rsidRPr="0034462D">
        <w:rPr>
          <w:rFonts w:ascii="Times New Roman" w:hAnsi="Times New Roman" w:cs="Times New Roman"/>
          <w:sz w:val="24"/>
        </w:rPr>
        <w:t>(Pagan &amp; Sossounov, 2003; Moskowitz et al., 2012)</w:t>
      </w:r>
      <w:r>
        <w:rPr>
          <w:rFonts w:ascii="Times New Roman" w:eastAsia="Times New Roman" w:hAnsi="Times New Roman" w:cs="Times New Roman"/>
          <w:b/>
          <w:sz w:val="24"/>
          <w:szCs w:val="24"/>
        </w:rPr>
        <w:fldChar w:fldCharType="end"/>
      </w:r>
      <w:r w:rsidRPr="0034462D">
        <w:rPr>
          <w:rFonts w:ascii="Times New Roman" w:hAnsi="Times New Roman" w:cs="Times New Roman"/>
          <w:bCs/>
          <w:color w:val="000000"/>
          <w:sz w:val="24"/>
          <w:szCs w:val="24"/>
        </w:rPr>
        <w:t xml:space="preserve">. The CNN gain is plausibly consistent with architecture-specific compression: local convolutional filters may benefit when regime-irrelevant inputs are removed, whereas recurrent and attention models can already reweight temporal context and may be harmed when selection discards weak but complementary variables. Splitting the training data by regime further reduces the effective sample size, increasing ranking and refit variance. SHAP explains the fitted model rather than establishing a causal market mechanism, and financial-XAI research emphasizes that stability and fidelity must be checked before feature narratives are trusted </w:t>
      </w:r>
      <w:r w:rsidRPr="00823AE8">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{"citationID":"dabde4b4","properties":{"unsorted":false,"formattedCitation":"(Lundberg \u0026 Lee, 2017; Yeo et al., 2025)","plainCitation":"(Lundberg \u0026 Lee, 2017; Yeo et al., 2025)","noteIndex":0},"citationItems":[{"id":17,"uris":["http://zotero.org/users/local/DPQnJvcs/items/HGDYW6QX"],"itemData":{"id":17,"type":"paper-conference","container-title":"Advances in Neural Information Processing Systems","title":"A Unified Approach to Interpreting Model Predictions","URL":"https://proceedings.neurips.cc/paper_files/paper/2017/hash/8a20a8621978632d76c43dfd28b67767-Abstract.html","volume":"30","author":[{"family":"Lundberg","given":"Scott M."},{"family":"Lee","given":"Su-In"}],"issued":{"date-parts":[["2017"]]}}},{"id":40,"uris":["http://zotero.org/users/local/DPQnJvcs/items/CGM5923W"],"itemData":{"id":40,"type":"article-journal","container-title":"Artificial Intelligence Review","DOI":"10.1007/s10462-024-11077-7","issue":"6","page":"189","title":"A Comprehensive Review on Financial Explainable AI","volume":"58","author":[{"family":"Yeo","given":"Wei Jie"},{"family":"Van Der Heever","given":"Wihan"},{"family":"Mao","given":"Rui"},{"family":"Cambria","given":"Erik"},{"family":"Satapathy","given":"Ranjan"},{"family":"Mengaldo","given":"Gianmarco"}],"issued":{"date-parts":[["2025"]]}}}],"schema":"https://github.com/citation-style-language/schema/raw/master/csl-citation.json"} </w:instrText>
      </w:r>
      <w:r w:rsidRPr="00823AE8">
        <w:rPr>
          <w:rFonts w:ascii="Times New Roman" w:hAnsi="Times New Roman" w:cs="Times New Roman"/>
          <w:sz w:val="24"/>
          <w:szCs w:val="24"/>
        </w:rPr>
        <w:fldChar w:fldCharType="separate"/>
      </w:r>
      <w:r w:rsidRPr="0034462D">
        <w:rPr>
          <w:rFonts w:ascii="Times New Roman" w:hAnsi="Times New Roman" w:cs="Times New Roman"/>
          <w:sz w:val="24"/>
        </w:rPr>
        <w:t>(Lundberg &amp; Lee, 2017; Yeo et al., 2025)</w:t>
      </w:r>
      <w:r w:rsidRPr="00823AE8">
        <w:rPr>
          <w:rFonts w:ascii="Times New Roman" w:hAnsi="Times New Roman" w:cs="Times New Roman"/>
          <w:sz w:val="24"/>
          <w:szCs w:val="24"/>
        </w:rPr>
        <w:fldChar w:fldCharType="end"/>
      </w:r>
      <w:r w:rsidRPr="0034462D">
        <w:rPr>
          <w:rFonts w:ascii="Times New Roman" w:hAnsi="Times New Roman" w:cs="Times New Roman"/>
          <w:bCs/>
          <w:color w:val="000000"/>
          <w:sz w:val="24"/>
          <w:szCs w:val="24"/>
        </w:rPr>
        <w:t>. The low-fidelity LIME result reinforces that caution; consequently, the CNN effect is evidence of a model-specific routing hypothesis, not a universal regime feature set.</w:t>
      </w:r>
    </w:p>
    <w:p w14:paraId="54FD290A" w14:textId="77777777" w:rsidR="00674EE8" w:rsidRPr="00911B2B" w:rsidRDefault="00674EE8"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4.</w:t>
      </w:r>
      <w:r w:rsidR="00911B2B" w:rsidRPr="00D0143A">
        <w:rPr>
          <w:rFonts w:ascii="Times New Roman" w:hAnsi="Times New Roman" w:cs="Times New Roman"/>
          <w:b/>
          <w:bCs/>
          <w:sz w:val="24"/>
          <w:szCs w:val="24"/>
        </w:rPr>
        <w:t>5 Partial-2026 performance exposed majority-side collapse</w:t>
      </w:r>
    </w:p>
    <w:p w14:paraId="0F1C53E8" w14:textId="77777777"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Before opening the 2026 observations, the five architectures, windows, features, seeds, objectives, thresholds and economic rules were frozen. The registered Yahoo Finance source failed its overlap and availability gate, after which a dated deviation accepted the Investing.com historical interface; the 138-row sample from 5 January to 30 July 2026 is therefore source-contingent. Direct models predicted Up with sigmoid binary cross-entropy. Multitask models added a standardized next-day log-return head with direction BCE weight 1.0 and return MSE weight 0.25, using train-only return scaling. Threshold candidates 0.50, 0.55, 0.60 and 0.65 were evaluated on 2019-2021 validation data; all ten model-objective cells failed the registered gate and reverted to 0.50.</w:t>
      </w:r>
    </w:p>
    <w:p w14:paraId="4CCB94A4" w14:textId="77777777"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The same frozen extension evaluated an exploratory next-session open-to-close proxy for long/flat and long/short rules at 5, 10 and 20 basis points per active round trip. The full grid is retained in the Supplement. These short-sample economic outputs are descriptive diagnostics, not evidence of profitability or deployment readiness.</w:t>
      </w:r>
    </w:p>
    <w:p w14:paraId="39123B9C" w14:textId="77777777" w:rsidR="00674EE8" w:rsidRDefault="00E62A18" w:rsidP="009960B6">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 xml:space="preserve">The 138-row partial-2026 stress test provided weak and objective-dependent evidence (Table 5A). Direct LSTM had the highest balanced accuracy at 54.42% and MCC 0.088, but its direction </w:t>
      </w:r>
      <w:r w:rsidRPr="000829A5">
        <w:rPr>
          <w:rFonts w:ascii="Times New Roman" w:hAnsi="Times New Roman" w:cs="Times New Roman"/>
          <w:sz w:val="24"/>
          <w:szCs w:val="24"/>
        </w:rPr>
        <w:lastRenderedPageBreak/>
        <w:t>accuracy was only 52.90%. LSTM multitask had the highest raw direction accuracy, 59.42%, but balanced accuracy fell to 51.40%. Several CNN and LSTM–CNN–Attention cells obtained 58.70% raw accuracy, exactly matching the Up-class share, while balanced accuracy was 50% and MCC was zero. These cells predicted only the majority side. The apparent accuracy was therefore not directional discrimination</w:t>
      </w:r>
      <w:r>
        <w:rPr>
          <w:rFonts w:ascii="Times New Roman" w:hAnsi="Times New Roman" w:cs="Times New Roman"/>
          <w:b/>
          <w:bCs/>
          <w:sz w:val="24"/>
          <w:szCs w:val="24"/>
        </w:rPr>
        <w:t>.</w:t>
      </w:r>
    </w:p>
    <w:p w14:paraId="0B8595F5" w14:textId="77777777" w:rsidR="004A3C24" w:rsidRPr="004A3C24" w:rsidRDefault="004A3C24" w:rsidP="009960B6">
      <w:pPr>
        <w:pStyle w:val="BodyText"/>
        <w:keepNext/>
        <w:keepLines/>
        <w:spacing w:after="80"/>
        <w:rPr>
          <w:rFonts w:ascii="Times New Roman" w:hAnsi="Times New Roman" w:cs="Times New Roman"/>
          <w:iCs/>
        </w:rPr>
      </w:pPr>
      <w:r w:rsidRPr="004A3C24">
        <w:rPr>
          <w:rFonts w:ascii="Times New Roman" w:hAnsi="Times New Roman" w:cs="Times New Roman"/>
          <w:b/>
          <w:iCs/>
        </w:rPr>
        <w:t>Table 5A.</w:t>
      </w:r>
      <w:r w:rsidRPr="004A3C24">
        <w:rPr>
          <w:rFonts w:ascii="Times New Roman" w:hAnsi="Times New Roman" w:cs="Times New Roman"/>
          <w:iCs/>
        </w:rPr>
        <w:t xml:space="preserve"> Source-contingent partial-2026 forward robustness across five architectures and two registered objectives. Direction accuracy, balanced accuracy, MCC, AUC, Brier score and prediction-side prevalence are reported using the validation-gate fallback threshold of 0.50.</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872"/>
        <w:gridCol w:w="1123"/>
        <w:gridCol w:w="655"/>
        <w:gridCol w:w="1217"/>
        <w:gridCol w:w="1123"/>
        <w:gridCol w:w="1030"/>
        <w:gridCol w:w="1030"/>
        <w:gridCol w:w="1310"/>
      </w:tblGrid>
      <w:tr w:rsidR="000959B0" w14:paraId="3F13184C" w14:textId="77777777" w:rsidTr="000959B0">
        <w:trPr>
          <w:cantSplit/>
          <w:tblHeader/>
        </w:trPr>
        <w:tc>
          <w:tcPr>
            <w:tcW w:w="1872" w:type="dxa"/>
            <w:shd w:val="clear" w:color="auto" w:fill="E6E6E6"/>
            <w:vAlign w:val="center"/>
          </w:tcPr>
          <w:p w14:paraId="1ED69A05" w14:textId="77777777"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Architecture</w:t>
            </w:r>
          </w:p>
        </w:tc>
        <w:tc>
          <w:tcPr>
            <w:tcW w:w="1123" w:type="dxa"/>
            <w:shd w:val="clear" w:color="auto" w:fill="E6E6E6"/>
            <w:vAlign w:val="center"/>
          </w:tcPr>
          <w:p w14:paraId="29DF6645" w14:textId="77777777"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Objective</w:t>
            </w:r>
          </w:p>
        </w:tc>
        <w:tc>
          <w:tcPr>
            <w:tcW w:w="655" w:type="dxa"/>
            <w:shd w:val="clear" w:color="auto" w:fill="E6E6E6"/>
            <w:vAlign w:val="center"/>
          </w:tcPr>
          <w:p w14:paraId="7A631E3C" w14:textId="77777777"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n</w:t>
            </w:r>
          </w:p>
        </w:tc>
        <w:tc>
          <w:tcPr>
            <w:tcW w:w="1217" w:type="dxa"/>
            <w:shd w:val="clear" w:color="auto" w:fill="E6E6E6"/>
            <w:vAlign w:val="center"/>
          </w:tcPr>
          <w:p w14:paraId="478BD457" w14:textId="77777777"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Accuracy (%)</w:t>
            </w:r>
          </w:p>
        </w:tc>
        <w:tc>
          <w:tcPr>
            <w:tcW w:w="1123" w:type="dxa"/>
            <w:shd w:val="clear" w:color="auto" w:fill="E6E6E6"/>
            <w:vAlign w:val="center"/>
          </w:tcPr>
          <w:p w14:paraId="5A5DE0D9" w14:textId="77777777" w:rsidR="000959B0" w:rsidRPr="000959B0" w:rsidRDefault="000959B0" w:rsidP="000959B0">
            <w:pPr>
              <w:pStyle w:val="BodyText"/>
              <w:spacing w:before="0" w:after="0"/>
              <w:jc w:val="center"/>
              <w:rPr>
                <w:rFonts w:ascii="Times New Roman" w:hAnsi="Times New Roman" w:cs="Times New Roman"/>
                <w:b/>
                <w:iCs/>
                <w:sz w:val="14"/>
              </w:rPr>
            </w:pPr>
            <w:proofErr w:type="spellStart"/>
            <w:r w:rsidRPr="000959B0">
              <w:rPr>
                <w:rFonts w:ascii="Times New Roman" w:hAnsi="Times New Roman" w:cs="Times New Roman"/>
                <w:b/>
                <w:iCs/>
                <w:sz w:val="14"/>
              </w:rPr>
              <w:t>BAcc</w:t>
            </w:r>
            <w:proofErr w:type="spellEnd"/>
            <w:r w:rsidRPr="000959B0">
              <w:rPr>
                <w:rFonts w:ascii="Times New Roman" w:hAnsi="Times New Roman" w:cs="Times New Roman"/>
                <w:b/>
                <w:iCs/>
                <w:sz w:val="14"/>
              </w:rPr>
              <w:t xml:space="preserve"> (%)</w:t>
            </w:r>
          </w:p>
        </w:tc>
        <w:tc>
          <w:tcPr>
            <w:tcW w:w="1030" w:type="dxa"/>
            <w:shd w:val="clear" w:color="auto" w:fill="E6E6E6"/>
            <w:vAlign w:val="center"/>
          </w:tcPr>
          <w:p w14:paraId="5E87DD77" w14:textId="77777777"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MCC</w:t>
            </w:r>
          </w:p>
        </w:tc>
        <w:tc>
          <w:tcPr>
            <w:tcW w:w="1030" w:type="dxa"/>
            <w:shd w:val="clear" w:color="auto" w:fill="E6E6E6"/>
            <w:vAlign w:val="center"/>
          </w:tcPr>
          <w:p w14:paraId="1D480901" w14:textId="77777777"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AUC</w:t>
            </w:r>
          </w:p>
        </w:tc>
        <w:tc>
          <w:tcPr>
            <w:tcW w:w="1310" w:type="dxa"/>
            <w:shd w:val="clear" w:color="auto" w:fill="E6E6E6"/>
            <w:vAlign w:val="center"/>
          </w:tcPr>
          <w:p w14:paraId="6F8E3EFB" w14:textId="77777777"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Brier</w:t>
            </w:r>
          </w:p>
        </w:tc>
      </w:tr>
      <w:tr w:rsidR="000959B0" w14:paraId="4F451374" w14:textId="77777777" w:rsidTr="000959B0">
        <w:trPr>
          <w:cantSplit/>
        </w:trPr>
        <w:tc>
          <w:tcPr>
            <w:tcW w:w="1872" w:type="dxa"/>
            <w:vAlign w:val="center"/>
          </w:tcPr>
          <w:p w14:paraId="5A97F1DA" w14:textId="77777777"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w:t>
            </w:r>
          </w:p>
        </w:tc>
        <w:tc>
          <w:tcPr>
            <w:tcW w:w="1123" w:type="dxa"/>
            <w:vAlign w:val="center"/>
          </w:tcPr>
          <w:p w14:paraId="122614A9" w14:textId="77777777"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Multitask</w:t>
            </w:r>
          </w:p>
        </w:tc>
        <w:tc>
          <w:tcPr>
            <w:tcW w:w="655" w:type="dxa"/>
            <w:vAlign w:val="center"/>
          </w:tcPr>
          <w:p w14:paraId="59F3506A"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6660D51D"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59.42</w:t>
            </w:r>
          </w:p>
        </w:tc>
        <w:tc>
          <w:tcPr>
            <w:tcW w:w="1123" w:type="dxa"/>
            <w:vAlign w:val="center"/>
          </w:tcPr>
          <w:p w14:paraId="2BDC94E0"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51.40</w:t>
            </w:r>
          </w:p>
        </w:tc>
        <w:tc>
          <w:tcPr>
            <w:tcW w:w="1030" w:type="dxa"/>
            <w:vAlign w:val="center"/>
          </w:tcPr>
          <w:p w14:paraId="484818F6"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0.074</w:t>
            </w:r>
          </w:p>
        </w:tc>
        <w:tc>
          <w:tcPr>
            <w:tcW w:w="1030" w:type="dxa"/>
            <w:vAlign w:val="center"/>
          </w:tcPr>
          <w:p w14:paraId="10F26911"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0.502</w:t>
            </w:r>
          </w:p>
        </w:tc>
        <w:tc>
          <w:tcPr>
            <w:tcW w:w="1310" w:type="dxa"/>
            <w:vAlign w:val="center"/>
          </w:tcPr>
          <w:p w14:paraId="3EB56088"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0257B03D" w14:textId="77777777" w:rsidTr="000959B0">
        <w:trPr>
          <w:cantSplit/>
        </w:trPr>
        <w:tc>
          <w:tcPr>
            <w:tcW w:w="1872" w:type="dxa"/>
            <w:vAlign w:val="center"/>
          </w:tcPr>
          <w:p w14:paraId="28081F03" w14:textId="77777777"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w:t>
            </w:r>
          </w:p>
        </w:tc>
        <w:tc>
          <w:tcPr>
            <w:tcW w:w="1123" w:type="dxa"/>
            <w:vAlign w:val="center"/>
          </w:tcPr>
          <w:p w14:paraId="5A9A6FB5" w14:textId="77777777"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Direct</w:t>
            </w:r>
          </w:p>
        </w:tc>
        <w:tc>
          <w:tcPr>
            <w:tcW w:w="655" w:type="dxa"/>
            <w:vAlign w:val="center"/>
          </w:tcPr>
          <w:p w14:paraId="71BC66BD"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63BE67C1"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52.90</w:t>
            </w:r>
          </w:p>
        </w:tc>
        <w:tc>
          <w:tcPr>
            <w:tcW w:w="1123" w:type="dxa"/>
            <w:vAlign w:val="center"/>
          </w:tcPr>
          <w:p w14:paraId="1A9F4423"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54.42</w:t>
            </w:r>
          </w:p>
        </w:tc>
        <w:tc>
          <w:tcPr>
            <w:tcW w:w="1030" w:type="dxa"/>
            <w:vAlign w:val="center"/>
          </w:tcPr>
          <w:p w14:paraId="6B05B134"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0.088</w:t>
            </w:r>
          </w:p>
        </w:tc>
        <w:tc>
          <w:tcPr>
            <w:tcW w:w="1030" w:type="dxa"/>
            <w:vAlign w:val="center"/>
          </w:tcPr>
          <w:p w14:paraId="546C0476"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0.533</w:t>
            </w:r>
          </w:p>
        </w:tc>
        <w:tc>
          <w:tcPr>
            <w:tcW w:w="1310" w:type="dxa"/>
            <w:vAlign w:val="center"/>
          </w:tcPr>
          <w:p w14:paraId="4EF40459"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0.250</w:t>
            </w:r>
          </w:p>
        </w:tc>
      </w:tr>
      <w:tr w:rsidR="000959B0" w14:paraId="797A6645" w14:textId="77777777" w:rsidTr="000959B0">
        <w:trPr>
          <w:cantSplit/>
        </w:trPr>
        <w:tc>
          <w:tcPr>
            <w:tcW w:w="1872" w:type="dxa"/>
            <w:vAlign w:val="center"/>
          </w:tcPr>
          <w:p w14:paraId="7910C8D5" w14:textId="77777777"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CNN</w:t>
            </w:r>
          </w:p>
        </w:tc>
        <w:tc>
          <w:tcPr>
            <w:tcW w:w="1123" w:type="dxa"/>
            <w:vAlign w:val="center"/>
          </w:tcPr>
          <w:p w14:paraId="13F587D3" w14:textId="77777777"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Multitask</w:t>
            </w:r>
          </w:p>
        </w:tc>
        <w:tc>
          <w:tcPr>
            <w:tcW w:w="655" w:type="dxa"/>
            <w:vAlign w:val="center"/>
          </w:tcPr>
          <w:p w14:paraId="4D68582F"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370BD532"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58.70</w:t>
            </w:r>
          </w:p>
        </w:tc>
        <w:tc>
          <w:tcPr>
            <w:tcW w:w="1123" w:type="dxa"/>
            <w:vAlign w:val="center"/>
          </w:tcPr>
          <w:p w14:paraId="5BFEBC00"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50.00</w:t>
            </w:r>
          </w:p>
        </w:tc>
        <w:tc>
          <w:tcPr>
            <w:tcW w:w="1030" w:type="dxa"/>
            <w:vAlign w:val="center"/>
          </w:tcPr>
          <w:p w14:paraId="567F27DC"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0.000</w:t>
            </w:r>
          </w:p>
        </w:tc>
        <w:tc>
          <w:tcPr>
            <w:tcW w:w="1030" w:type="dxa"/>
            <w:vAlign w:val="center"/>
          </w:tcPr>
          <w:p w14:paraId="67291749"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0.494</w:t>
            </w:r>
          </w:p>
        </w:tc>
        <w:tc>
          <w:tcPr>
            <w:tcW w:w="1310" w:type="dxa"/>
            <w:vAlign w:val="center"/>
          </w:tcPr>
          <w:p w14:paraId="2E6F28BB"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5575F0B1" w14:textId="77777777" w:rsidTr="000959B0">
        <w:trPr>
          <w:cantSplit/>
        </w:trPr>
        <w:tc>
          <w:tcPr>
            <w:tcW w:w="1872" w:type="dxa"/>
            <w:vAlign w:val="center"/>
          </w:tcPr>
          <w:p w14:paraId="67B26B30" w14:textId="77777777"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CNN</w:t>
            </w:r>
          </w:p>
        </w:tc>
        <w:tc>
          <w:tcPr>
            <w:tcW w:w="1123" w:type="dxa"/>
            <w:vAlign w:val="center"/>
          </w:tcPr>
          <w:p w14:paraId="42C6EFAC" w14:textId="77777777"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Direct</w:t>
            </w:r>
          </w:p>
        </w:tc>
        <w:tc>
          <w:tcPr>
            <w:tcW w:w="655" w:type="dxa"/>
            <w:vAlign w:val="center"/>
          </w:tcPr>
          <w:p w14:paraId="64E56E27"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50BFB1BF"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58.70</w:t>
            </w:r>
          </w:p>
        </w:tc>
        <w:tc>
          <w:tcPr>
            <w:tcW w:w="1123" w:type="dxa"/>
            <w:vAlign w:val="center"/>
          </w:tcPr>
          <w:p w14:paraId="6512D596"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50.00</w:t>
            </w:r>
          </w:p>
        </w:tc>
        <w:tc>
          <w:tcPr>
            <w:tcW w:w="1030" w:type="dxa"/>
            <w:vAlign w:val="center"/>
          </w:tcPr>
          <w:p w14:paraId="1E98B63C"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0.000</w:t>
            </w:r>
          </w:p>
        </w:tc>
        <w:tc>
          <w:tcPr>
            <w:tcW w:w="1030" w:type="dxa"/>
            <w:vAlign w:val="center"/>
          </w:tcPr>
          <w:p w14:paraId="6393CDFF"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0.496</w:t>
            </w:r>
          </w:p>
        </w:tc>
        <w:tc>
          <w:tcPr>
            <w:tcW w:w="1310" w:type="dxa"/>
            <w:vAlign w:val="center"/>
          </w:tcPr>
          <w:p w14:paraId="3852A44D"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53C7C7DB" w14:textId="77777777" w:rsidTr="000959B0">
        <w:trPr>
          <w:cantSplit/>
        </w:trPr>
        <w:tc>
          <w:tcPr>
            <w:tcW w:w="1872" w:type="dxa"/>
            <w:vAlign w:val="center"/>
          </w:tcPr>
          <w:p w14:paraId="289FA486" w14:textId="77777777"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w:t>
            </w:r>
          </w:p>
        </w:tc>
        <w:tc>
          <w:tcPr>
            <w:tcW w:w="1123" w:type="dxa"/>
            <w:vAlign w:val="center"/>
          </w:tcPr>
          <w:p w14:paraId="0F776394" w14:textId="77777777"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Multitask</w:t>
            </w:r>
          </w:p>
        </w:tc>
        <w:tc>
          <w:tcPr>
            <w:tcW w:w="655" w:type="dxa"/>
            <w:vAlign w:val="center"/>
          </w:tcPr>
          <w:p w14:paraId="7233CF66"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48A86375"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58.70</w:t>
            </w:r>
          </w:p>
        </w:tc>
        <w:tc>
          <w:tcPr>
            <w:tcW w:w="1123" w:type="dxa"/>
            <w:vAlign w:val="center"/>
          </w:tcPr>
          <w:p w14:paraId="7EFC4C74"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50.00</w:t>
            </w:r>
          </w:p>
        </w:tc>
        <w:tc>
          <w:tcPr>
            <w:tcW w:w="1030" w:type="dxa"/>
            <w:vAlign w:val="center"/>
          </w:tcPr>
          <w:p w14:paraId="300DECE3"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0.000</w:t>
            </w:r>
          </w:p>
        </w:tc>
        <w:tc>
          <w:tcPr>
            <w:tcW w:w="1030" w:type="dxa"/>
            <w:vAlign w:val="center"/>
          </w:tcPr>
          <w:p w14:paraId="214585ED"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0.517</w:t>
            </w:r>
          </w:p>
        </w:tc>
        <w:tc>
          <w:tcPr>
            <w:tcW w:w="1310" w:type="dxa"/>
            <w:vAlign w:val="center"/>
          </w:tcPr>
          <w:p w14:paraId="032F9730"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110E4EF7" w14:textId="77777777" w:rsidTr="000959B0">
        <w:trPr>
          <w:cantSplit/>
        </w:trPr>
        <w:tc>
          <w:tcPr>
            <w:tcW w:w="1872" w:type="dxa"/>
            <w:vAlign w:val="center"/>
          </w:tcPr>
          <w:p w14:paraId="324AF7FA" w14:textId="77777777"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w:t>
            </w:r>
          </w:p>
        </w:tc>
        <w:tc>
          <w:tcPr>
            <w:tcW w:w="1123" w:type="dxa"/>
            <w:vAlign w:val="center"/>
          </w:tcPr>
          <w:p w14:paraId="0117ED05" w14:textId="77777777"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Direct</w:t>
            </w:r>
          </w:p>
        </w:tc>
        <w:tc>
          <w:tcPr>
            <w:tcW w:w="655" w:type="dxa"/>
            <w:vAlign w:val="center"/>
          </w:tcPr>
          <w:p w14:paraId="0DEC78F7"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43E94C49"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49.28</w:t>
            </w:r>
          </w:p>
        </w:tc>
        <w:tc>
          <w:tcPr>
            <w:tcW w:w="1123" w:type="dxa"/>
            <w:vAlign w:val="center"/>
          </w:tcPr>
          <w:p w14:paraId="68206678"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52.11</w:t>
            </w:r>
          </w:p>
        </w:tc>
        <w:tc>
          <w:tcPr>
            <w:tcW w:w="1030" w:type="dxa"/>
            <w:vAlign w:val="center"/>
          </w:tcPr>
          <w:p w14:paraId="3E07F8F0"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0.044</w:t>
            </w:r>
          </w:p>
        </w:tc>
        <w:tc>
          <w:tcPr>
            <w:tcW w:w="1030" w:type="dxa"/>
            <w:vAlign w:val="center"/>
          </w:tcPr>
          <w:p w14:paraId="52E5E5E1"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0.485</w:t>
            </w:r>
          </w:p>
        </w:tc>
        <w:tc>
          <w:tcPr>
            <w:tcW w:w="1310" w:type="dxa"/>
            <w:vAlign w:val="center"/>
          </w:tcPr>
          <w:p w14:paraId="58B0C8A5"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0.250</w:t>
            </w:r>
          </w:p>
        </w:tc>
      </w:tr>
      <w:tr w:rsidR="000959B0" w14:paraId="3C0C5F10" w14:textId="77777777" w:rsidTr="000959B0">
        <w:trPr>
          <w:cantSplit/>
        </w:trPr>
        <w:tc>
          <w:tcPr>
            <w:tcW w:w="1872" w:type="dxa"/>
            <w:vAlign w:val="center"/>
          </w:tcPr>
          <w:p w14:paraId="6CF81838" w14:textId="77777777"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LSTM-Attention</w:t>
            </w:r>
          </w:p>
        </w:tc>
        <w:tc>
          <w:tcPr>
            <w:tcW w:w="1123" w:type="dxa"/>
            <w:vAlign w:val="center"/>
          </w:tcPr>
          <w:p w14:paraId="04C608EB" w14:textId="77777777"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Multitask</w:t>
            </w:r>
          </w:p>
        </w:tc>
        <w:tc>
          <w:tcPr>
            <w:tcW w:w="655" w:type="dxa"/>
            <w:vAlign w:val="center"/>
          </w:tcPr>
          <w:p w14:paraId="3C50DA7D"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04DAD351"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57.97</w:t>
            </w:r>
          </w:p>
        </w:tc>
        <w:tc>
          <w:tcPr>
            <w:tcW w:w="1123" w:type="dxa"/>
            <w:vAlign w:val="center"/>
          </w:tcPr>
          <w:p w14:paraId="59E97F19"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51.20</w:t>
            </w:r>
          </w:p>
        </w:tc>
        <w:tc>
          <w:tcPr>
            <w:tcW w:w="1030" w:type="dxa"/>
            <w:vAlign w:val="center"/>
          </w:tcPr>
          <w:p w14:paraId="6DBDD685"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0.038</w:t>
            </w:r>
          </w:p>
        </w:tc>
        <w:tc>
          <w:tcPr>
            <w:tcW w:w="1030" w:type="dxa"/>
            <w:vAlign w:val="center"/>
          </w:tcPr>
          <w:p w14:paraId="26DB907F"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0.512</w:t>
            </w:r>
          </w:p>
        </w:tc>
        <w:tc>
          <w:tcPr>
            <w:tcW w:w="1310" w:type="dxa"/>
            <w:vAlign w:val="center"/>
          </w:tcPr>
          <w:p w14:paraId="50432C6E"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1E3B6C4F" w14:textId="77777777" w:rsidTr="000959B0">
        <w:trPr>
          <w:cantSplit/>
        </w:trPr>
        <w:tc>
          <w:tcPr>
            <w:tcW w:w="1872" w:type="dxa"/>
            <w:vAlign w:val="center"/>
          </w:tcPr>
          <w:p w14:paraId="41A7C041" w14:textId="77777777"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LSTM-Attention</w:t>
            </w:r>
          </w:p>
        </w:tc>
        <w:tc>
          <w:tcPr>
            <w:tcW w:w="1123" w:type="dxa"/>
            <w:vAlign w:val="center"/>
          </w:tcPr>
          <w:p w14:paraId="5B87567A" w14:textId="77777777"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Direct</w:t>
            </w:r>
          </w:p>
        </w:tc>
        <w:tc>
          <w:tcPr>
            <w:tcW w:w="655" w:type="dxa"/>
            <w:vAlign w:val="center"/>
          </w:tcPr>
          <w:p w14:paraId="720D707E"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08A17A61"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55.80</w:t>
            </w:r>
          </w:p>
        </w:tc>
        <w:tc>
          <w:tcPr>
            <w:tcW w:w="1123" w:type="dxa"/>
            <w:vAlign w:val="center"/>
          </w:tcPr>
          <w:p w14:paraId="35E07E3B"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49.61</w:t>
            </w:r>
          </w:p>
        </w:tc>
        <w:tc>
          <w:tcPr>
            <w:tcW w:w="1030" w:type="dxa"/>
            <w:vAlign w:val="center"/>
          </w:tcPr>
          <w:p w14:paraId="0057709C"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-0.011</w:t>
            </w:r>
          </w:p>
        </w:tc>
        <w:tc>
          <w:tcPr>
            <w:tcW w:w="1030" w:type="dxa"/>
            <w:vAlign w:val="center"/>
          </w:tcPr>
          <w:p w14:paraId="3587B59D"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0.507</w:t>
            </w:r>
          </w:p>
        </w:tc>
        <w:tc>
          <w:tcPr>
            <w:tcW w:w="1310" w:type="dxa"/>
            <w:vAlign w:val="center"/>
          </w:tcPr>
          <w:p w14:paraId="324F1092"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5EC3DA92" w14:textId="77777777" w:rsidTr="000959B0">
        <w:trPr>
          <w:cantSplit/>
        </w:trPr>
        <w:tc>
          <w:tcPr>
            <w:tcW w:w="1872" w:type="dxa"/>
            <w:vAlign w:val="center"/>
          </w:tcPr>
          <w:p w14:paraId="68B6E02C" w14:textId="77777777"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LSTM-CNN-Attention</w:t>
            </w:r>
          </w:p>
        </w:tc>
        <w:tc>
          <w:tcPr>
            <w:tcW w:w="1123" w:type="dxa"/>
            <w:vAlign w:val="center"/>
          </w:tcPr>
          <w:p w14:paraId="4AC2F125" w14:textId="77777777"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Multitask</w:t>
            </w:r>
          </w:p>
        </w:tc>
        <w:tc>
          <w:tcPr>
            <w:tcW w:w="655" w:type="dxa"/>
            <w:vAlign w:val="center"/>
          </w:tcPr>
          <w:p w14:paraId="33A9E744"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1819F8D7"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58.70</w:t>
            </w:r>
          </w:p>
        </w:tc>
        <w:tc>
          <w:tcPr>
            <w:tcW w:w="1123" w:type="dxa"/>
            <w:vAlign w:val="center"/>
          </w:tcPr>
          <w:p w14:paraId="376C217A"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50.00</w:t>
            </w:r>
          </w:p>
        </w:tc>
        <w:tc>
          <w:tcPr>
            <w:tcW w:w="1030" w:type="dxa"/>
            <w:vAlign w:val="center"/>
          </w:tcPr>
          <w:p w14:paraId="4A4D2933"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0.000</w:t>
            </w:r>
          </w:p>
        </w:tc>
        <w:tc>
          <w:tcPr>
            <w:tcW w:w="1030" w:type="dxa"/>
            <w:vAlign w:val="center"/>
          </w:tcPr>
          <w:p w14:paraId="0D32683D"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0.515</w:t>
            </w:r>
          </w:p>
        </w:tc>
        <w:tc>
          <w:tcPr>
            <w:tcW w:w="1310" w:type="dxa"/>
            <w:vAlign w:val="center"/>
          </w:tcPr>
          <w:p w14:paraId="61D5B66A"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1E8B2F90" w14:textId="77777777" w:rsidTr="000959B0">
        <w:trPr>
          <w:cantSplit/>
        </w:trPr>
        <w:tc>
          <w:tcPr>
            <w:tcW w:w="1872" w:type="dxa"/>
            <w:vAlign w:val="center"/>
          </w:tcPr>
          <w:p w14:paraId="1AA4F99E" w14:textId="77777777"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LSTM-CNN-Attention</w:t>
            </w:r>
          </w:p>
        </w:tc>
        <w:tc>
          <w:tcPr>
            <w:tcW w:w="1123" w:type="dxa"/>
            <w:vAlign w:val="center"/>
          </w:tcPr>
          <w:p w14:paraId="4608EF6D" w14:textId="77777777"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Direct</w:t>
            </w:r>
          </w:p>
        </w:tc>
        <w:tc>
          <w:tcPr>
            <w:tcW w:w="655" w:type="dxa"/>
            <w:vAlign w:val="center"/>
          </w:tcPr>
          <w:p w14:paraId="5FD5F7F2"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2E95E677"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58.70</w:t>
            </w:r>
          </w:p>
        </w:tc>
        <w:tc>
          <w:tcPr>
            <w:tcW w:w="1123" w:type="dxa"/>
            <w:vAlign w:val="center"/>
          </w:tcPr>
          <w:p w14:paraId="47B73E1E"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50.00</w:t>
            </w:r>
          </w:p>
        </w:tc>
        <w:tc>
          <w:tcPr>
            <w:tcW w:w="1030" w:type="dxa"/>
            <w:vAlign w:val="center"/>
          </w:tcPr>
          <w:p w14:paraId="5BD6EB66"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0.000</w:t>
            </w:r>
          </w:p>
        </w:tc>
        <w:tc>
          <w:tcPr>
            <w:tcW w:w="1030" w:type="dxa"/>
            <w:vAlign w:val="center"/>
          </w:tcPr>
          <w:p w14:paraId="5F119479"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0.484</w:t>
            </w:r>
          </w:p>
        </w:tc>
        <w:tc>
          <w:tcPr>
            <w:tcW w:w="1310" w:type="dxa"/>
            <w:vAlign w:val="center"/>
          </w:tcPr>
          <w:p w14:paraId="4079DFCA" w14:textId="7777777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bl>
    <w:p w14:paraId="5CAC5F5C" w14:textId="77777777" w:rsidR="00511544" w:rsidRPr="000829A5" w:rsidRDefault="00511544" w:rsidP="009960B6">
      <w:pPr>
        <w:pStyle w:val="BodyText"/>
        <w:spacing w:before="60" w:after="120"/>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All objectives used the validation-gate fallback threshold 0.50. The positive-class share was 58.70%. This is a source-contingent partial year, not a full-year or live deployment result.</w:t>
      </w:r>
    </w:p>
    <w:p w14:paraId="5BD3212A" w14:textId="77777777" w:rsidR="00E62A18" w:rsidRDefault="00511544" w:rsidP="009960B6">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The complete 10-basis-point economic grid is exploratory. Its best observed cell</w:t>
      </w:r>
      <w:r>
        <w:rPr>
          <w:rFonts w:ascii="Times New Roman" w:hAnsi="Times New Roman" w:cs="Times New Roman"/>
          <w:sz w:val="24"/>
          <w:szCs w:val="24"/>
        </w:rPr>
        <w:t xml:space="preserve"> </w:t>
      </w:r>
      <w:r w:rsidRPr="000829A5">
        <w:rPr>
          <w:rFonts w:ascii="Times New Roman" w:hAnsi="Times New Roman" w:cs="Times New Roman"/>
          <w:sz w:val="24"/>
          <w:szCs w:val="24"/>
        </w:rPr>
        <w:t>direct LSTM–CNN, long/flat—had 34.31% coverage, 8.55% net cumulative return, annualized Sharpe 1.75, maximum drawdown −3.54% and break-even cost 27.91 basis points over 137 executable rows. Its Deflated-Sharpe probability was only 0.441, below 0.5. This short, selected result is therefore reported as a diagnostic sensitivity, not evidence of profitability or deployment readiness</w:t>
      </w:r>
    </w:p>
    <w:p w14:paraId="4DAC32CE" w14:textId="77777777" w:rsidR="0034462D" w:rsidRPr="0034462D" w:rsidRDefault="0034462D" w:rsidP="0034462D">
      <w:pPr>
        <w:keepNext/>
        <w:keepLines/>
        <w:spacing w:line="360" w:lineRule="auto"/>
        <w:jc w:val="both"/>
        <w:rPr>
          <w:rFonts w:ascii="Times New Roman" w:hAnsi="Times New Roman" w:cs="Times New Roman"/>
          <w:bCs/>
          <w:color w:val="000000"/>
          <w:sz w:val="24"/>
          <w:szCs w:val="24"/>
        </w:rPr>
      </w:pPr>
      <w:r w:rsidRPr="0034462D">
        <w:rPr>
          <w:rFonts w:ascii="Times New Roman" w:hAnsi="Times New Roman" w:cs="Times New Roman"/>
          <w:bCs/>
          <w:color w:val="000000"/>
          <w:sz w:val="24"/>
          <w:szCs w:val="24"/>
        </w:rPr>
        <w:lastRenderedPageBreak/>
        <w:t xml:space="preserve">The majority-side failures explain why raw accuracy and directional skill diverged. Balanced accuracy averages sensitivity and specificity, so a classifier that always predicts Up has balanced accuracy of 0.50 even when the Up share makes its raw accuracy appear high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{"citationID":"f497561c","properties":{"unsorted":false,"formattedCitation":"(Brodersen et al., 2010)","plainCitation":"(Brodersen et al., 2010)","noteIndex":0},"citationItems":[{"id":23,"uris":["http://zotero.org/users/local/DPQnJvcs/items/MEQTKLIC"],"itemData":{"id":23,"type":"paper-conference","container-title":"2010 20th International Conference on Pattern Recognition","DOI":"10.1109/ICPR.2010.764","page":"3121–3124","title":"The Balanced Accuracy and Its Posterior Distribution","author":[{"family":"Brodersen","given":"Kay H."},{"family":"Ong","given":"Cheng Soon"},{"family":"Stephan","given":"Klaas E."},{"family":"Buhmann","given":"Joachim M."}],"issued":{"date-parts":[["2010"]]}}}],"schema":"https://github.com/citation-style-language/schema/raw/master/csl-citation.json"} </w:instrText>
      </w:r>
      <w:r>
        <w:rPr>
          <w:rFonts w:ascii="Times New Roman" w:eastAsia="Times New Roman" w:hAnsi="Times New Roman" w:cs="Times New Roman"/>
          <w:b/>
          <w:sz w:val="24"/>
          <w:szCs w:val="24"/>
        </w:rPr>
        <w:fldChar w:fldCharType="separate"/>
      </w:r>
      <w:r w:rsidRPr="0034462D">
        <w:rPr>
          <w:rFonts w:ascii="Times New Roman" w:hAnsi="Times New Roman" w:cs="Times New Roman"/>
          <w:sz w:val="24"/>
        </w:rPr>
        <w:t>(Brodersen et al., 2010)</w:t>
      </w:r>
      <w:r>
        <w:rPr>
          <w:rFonts w:ascii="Times New Roman" w:eastAsia="Times New Roman" w:hAnsi="Times New Roman" w:cs="Times New Roman"/>
          <w:b/>
          <w:sz w:val="24"/>
          <w:szCs w:val="24"/>
        </w:rPr>
        <w:fldChar w:fldCharType="end"/>
      </w:r>
      <w:r w:rsidRPr="0034462D">
        <w:rPr>
          <w:rFonts w:ascii="Times New Roman" w:hAnsi="Times New Roman" w:cs="Times New Roman"/>
          <w:bCs/>
          <w:color w:val="000000"/>
          <w:sz w:val="24"/>
          <w:szCs w:val="24"/>
        </w:rPr>
        <w:t xml:space="preserve">. The LSTM multitask objective illustrates the mechanism: it reached 59.42% raw accuracy but only 51.40% balanced accuracy and AUC 0.502, suggesting that the auxiliary return head shifted the decision boundary toward the dominant class without improving ranking. Direct LSTM had lower raw accuracy but higher balanced accuracy and AUC. Thus, an auxiliary regression loss can improve a headline metric while weakening two-sided discrimination under distribution shift. The Deflated-Sharpe probability of 0.441 for the selected economic cell is consistent with warnings about </w:t>
      </w:r>
      <w:proofErr w:type="spellStart"/>
      <w:r w:rsidRPr="0034462D">
        <w:rPr>
          <w:rFonts w:ascii="Times New Roman" w:hAnsi="Times New Roman" w:cs="Times New Roman"/>
          <w:bCs/>
          <w:color w:val="000000"/>
          <w:sz w:val="24"/>
          <w:szCs w:val="24"/>
        </w:rPr>
        <w:t>backtest</w:t>
      </w:r>
      <w:proofErr w:type="spellEnd"/>
      <w:r w:rsidRPr="0034462D">
        <w:rPr>
          <w:rFonts w:ascii="Times New Roman" w:hAnsi="Times New Roman" w:cs="Times New Roman"/>
          <w:bCs/>
          <w:color w:val="000000"/>
          <w:sz w:val="24"/>
          <w:szCs w:val="24"/>
        </w:rPr>
        <w:t xml:space="preserve"> selection and multiplicity; it supports retaining that result as a diagnostic rather than a profitability claim </w:t>
      </w: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ADDIN ZOTERO_ITEM CSL_CITATION {"citationID":"726227fc","properties":{"unsorted":false,"formattedCitation":"(Arnott et al., 2019; Bailey \u0026 López de Prado, 2014; Olorunnimbe \u0026 Viktor, 2023)","plainCitation":"(Arnott et al., 2019; Bailey \u0026 López de Prado, 2014; Olorunnimbe \u0026 Viktor, 2023)","noteIndex":0},"citationItems":[{"id":42,"uris":["http://zotero.org/users/local/DPQnJvcs/items/5GX5ZALM"],"itemData":{"id":42,"type":"article-journal","container-title":"The Journal of Financial Data Science","DOI":"10.3905/jfds.2019.1.064","issue":"1","page":"64–74","title":"A Backtesting Protocol in the Era of Machine Learning","volume":"1","author":[{"family":"Arnott","given":"Robert D."},{"family":"Harvey","given":"Campbell R."},{"family":"Markowitz","given":"Harry"}],"issued":{"date-parts":[["2019"]]}}},{"id":33,"uris":["http://zotero.org/users/local/DPQnJvcs/items/8Z849LRX"],"itemData":{"id":33,"type":"article-journal","container-title":"Artificial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id":26,"uris":["http://zotero.org/users/local/DPQnJvcs/items/9Q3W9XPN"],"itemData":{"id":26,"type":"article-journal","container-title":"The Journal of Portfolio Management","DOI":"10.3905/jpm.2014.40.5.094","issue":"5","page":"94–107","title":"The Deflated Sharpe Ratio: Correcting for Selection Bias, Backtest Overfitting, and Non-Normality","volume":"40","author":[{"family":"Bailey","given":"David H."},{"family":"López de Prado","given":"Marcos"}],"issued":{"date-parts":[["2014"]]}}}],"schema":"https://github.com/citation-style-language/schema/raw/master/csl-citation.json"} </w:instrText>
      </w:r>
      <w:r>
        <w:rPr>
          <w:rFonts w:ascii="Times New Roman" w:hAnsi="Times New Roman" w:cs="Times New Roman"/>
          <w:b/>
          <w:sz w:val="24"/>
          <w:szCs w:val="24"/>
        </w:rPr>
        <w:fldChar w:fldCharType="separate"/>
      </w:r>
      <w:r w:rsidRPr="0034462D">
        <w:rPr>
          <w:rFonts w:ascii="Times New Roman" w:hAnsi="Times New Roman" w:cs="Times New Roman"/>
          <w:sz w:val="24"/>
        </w:rPr>
        <w:t>(Arnott et al., 2019; Bailey &amp; López de Prado, 2014; Olorunnimbe &amp; Viktor, 2023)</w:t>
      </w:r>
      <w:r>
        <w:rPr>
          <w:rFonts w:ascii="Times New Roman" w:hAnsi="Times New Roman" w:cs="Times New Roman"/>
          <w:b/>
          <w:sz w:val="24"/>
          <w:szCs w:val="24"/>
        </w:rPr>
        <w:fldChar w:fldCharType="end"/>
      </w:r>
      <w:r w:rsidRPr="0034462D">
        <w:rPr>
          <w:rFonts w:ascii="Times New Roman" w:hAnsi="Times New Roman" w:cs="Times New Roman"/>
          <w:bCs/>
          <w:color w:val="000000"/>
          <w:sz w:val="24"/>
          <w:szCs w:val="24"/>
        </w:rPr>
        <w:t>.</w:t>
      </w:r>
    </w:p>
    <w:p w14:paraId="6225EDEA" w14:textId="77777777" w:rsidR="00511544" w:rsidRPr="00911B2B" w:rsidRDefault="00511544"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4.</w:t>
      </w:r>
      <w:r w:rsidR="00D34609" w:rsidRPr="00D0143A">
        <w:rPr>
          <w:rFonts w:ascii="Times New Roman" w:hAnsi="Times New Roman" w:cs="Times New Roman"/>
          <w:b/>
          <w:bCs/>
          <w:sz w:val="24"/>
          <w:szCs w:val="24"/>
        </w:rPr>
        <w:t>6 Frozen SET100 transfer was uniformly weaker</w:t>
      </w:r>
    </w:p>
    <w:p w14:paraId="6425051E" w14:textId="77777777"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 xml:space="preserve">SET100 transfer retained the same 122 numerical features, frozen windows, seeds, epochs and 2022-2025 outer years as the matched SET50 global numerical comparator. Features, VMD and scaling were reconstructed within each SET100 fold; no SET100 </w:t>
      </w:r>
      <w:proofErr w:type="gramStart"/>
      <w:r w:rsidRPr="00916F49">
        <w:rPr>
          <w:rFonts w:ascii="Times New Roman" w:hAnsi="Times New Roman" w:cs="Times New Roman"/>
          <w:sz w:val="24"/>
          <w:szCs w:val="24"/>
        </w:rPr>
        <w:t>retuning</w:t>
      </w:r>
      <w:proofErr w:type="gramEnd"/>
      <w:r w:rsidRPr="00916F49">
        <w:rPr>
          <w:rFonts w:ascii="Times New Roman" w:hAnsi="Times New Roman" w:cs="Times New Roman"/>
          <w:sz w:val="24"/>
          <w:szCs w:val="24"/>
        </w:rPr>
        <w:t xml:space="preserve">, </w:t>
      </w:r>
      <w:proofErr w:type="spellStart"/>
      <w:r w:rsidRPr="00916F49">
        <w:rPr>
          <w:rFonts w:ascii="Times New Roman" w:hAnsi="Times New Roman" w:cs="Times New Roman"/>
          <w:sz w:val="24"/>
          <w:szCs w:val="24"/>
        </w:rPr>
        <w:t>Optuna</w:t>
      </w:r>
      <w:proofErr w:type="spellEnd"/>
      <w:r w:rsidRPr="00916F49">
        <w:rPr>
          <w:rFonts w:ascii="Times New Roman" w:hAnsi="Times New Roman" w:cs="Times New Roman"/>
          <w:sz w:val="24"/>
          <w:szCs w:val="24"/>
        </w:rPr>
        <w:t xml:space="preserve"> search, early stopping, or model exclusion was allowed. All 100 planned fits (five models x four years x five seeds) completed.</w:t>
      </w:r>
    </w:p>
    <w:p w14:paraId="7B424B4D" w14:textId="77777777"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 xml:space="preserve">SET100 news was excluded because a historically point-in-time constituent and news universe was unavailable; adding SET50-oriented news would have made the comparison asymmetric. The matched SET50 arm is therefore the Full-TA+VMD global numerical comparator rather than the later integrated regime-news arm. Because SET50 is nested within SET100 and both share the exchange, macro regimes, period and many constituents, this is a same-exchange breadth transfer rather than external-market validation </w:t>
      </w:r>
      <w:r w:rsidR="001B5519">
        <w:rPr>
          <w:rFonts w:ascii="Times New Roman" w:hAnsi="Times New Roman" w:cs="Times New Roman"/>
          <w:b/>
          <w:sz w:val="24"/>
          <w:szCs w:val="24"/>
        </w:rPr>
        <w:fldChar w:fldCharType="begin"/>
      </w:r>
      <w:r w:rsidR="001B5519">
        <w:rPr>
          <w:rFonts w:ascii="Times New Roman" w:hAnsi="Times New Roman" w:cs="Times New Roman"/>
          <w:b/>
          <w:sz w:val="24"/>
          <w:szCs w:val="24"/>
        </w:rPr>
        <w:instrText xml:space="preserve"> ADDIN ZOTERO_ITEM CSL_CITATION {"citationID":"V9QulbLX","properties":{"unsorted":false,"formattedCitation":"(The Stock Exchange of Thailand, n.d.-a, n.d.-b)","plainCitation":"(The Stock Exchange of Thailand, n.d.-a, n.d.-b)","noteIndex":0},"citationItems":[{"id":44,"uris":["http://zotero.org/users/local/DPQnJvcs/items/SXCWN3MM"],"itemData":{"id":44,"type":"document","note":"Published: Official index profile webpage","title":"SET50 Index and SET50FF Index Profile","URL":"https://www.set.or.th/en/market/index/set50/profile","author":[{"literal":"The Stock Exchange of Thailand"}]}},{"id":46,"uris":["http://zotero.org/users/local/DPQnJvcs/items/GSZTLRHR"],"itemData":{"id":46,"type":"document","note":"Published: Official index profile webpage","title":"SET100 Index and SET100FF Index Profile","URL":"https://www.set.or.th/en/market/index/set100/profile","author":[{"literal":"The Stock Exchange of Thailand"}]}}],"schema":"https://github.com/citation-style-language/schema/raw/master/csl-citation.json"} </w:instrText>
      </w:r>
      <w:r w:rsidR="001B5519">
        <w:rPr>
          <w:rFonts w:ascii="Times New Roman" w:hAnsi="Times New Roman" w:cs="Times New Roman"/>
          <w:b/>
          <w:sz w:val="24"/>
          <w:szCs w:val="24"/>
        </w:rPr>
        <w:fldChar w:fldCharType="separate"/>
      </w:r>
      <w:r w:rsidR="001B5519" w:rsidRPr="001B5519">
        <w:rPr>
          <w:rFonts w:ascii="Times New Roman" w:hAnsi="Times New Roman" w:cs="Times New Roman"/>
          <w:sz w:val="24"/>
        </w:rPr>
        <w:t>(The Stock Exchange of Thailand, n.d.-a, n.d.-b)</w:t>
      </w:r>
      <w:r w:rsidR="001B5519">
        <w:rPr>
          <w:rFonts w:ascii="Times New Roman" w:hAnsi="Times New Roman" w:cs="Times New Roman"/>
          <w:b/>
          <w:sz w:val="24"/>
          <w:szCs w:val="24"/>
        </w:rPr>
        <w:fldChar w:fldCharType="end"/>
      </w:r>
    </w:p>
    <w:p w14:paraId="394FCF65" w14:textId="77777777" w:rsidR="00511544" w:rsidRDefault="00124AA7" w:rsidP="009960B6">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Mean balanced accuracy declined on SET100 for all five architectures by 0.95 to 2.17 percentage points (Table 5B). CNN had the highest SET100 balanced accuracy at 51.89%, followed by LSTM at 51.63%; LSTM–CNN–Attention was close to chance at 50.03%. No paired cross-index difference survived Holm adjustment. Although CNN was lower on SET100 in all four years and its descriptive interval excluded zero, the exact p-value was 0.125 and the Holm p-value was 0.625. It is not a statistically established degradation</w:t>
      </w:r>
      <w:r>
        <w:rPr>
          <w:rFonts w:ascii="Times New Roman" w:hAnsi="Times New Roman" w:cs="Times New Roman"/>
          <w:b/>
          <w:bCs/>
          <w:sz w:val="24"/>
          <w:szCs w:val="24"/>
        </w:rPr>
        <w:t>.</w:t>
      </w:r>
    </w:p>
    <w:p w14:paraId="45D42A6F" w14:textId="77777777" w:rsidR="004A3C24" w:rsidRPr="004A3C24" w:rsidRDefault="004A3C24" w:rsidP="009960B6">
      <w:pPr>
        <w:keepNext/>
        <w:keepLines/>
        <w:spacing w:before="180" w:after="80" w:line="240" w:lineRule="auto"/>
        <w:rPr>
          <w:rFonts w:ascii="Times New Roman" w:hAnsi="Times New Roman" w:cs="Times New Roman"/>
          <w:iCs/>
          <w:sz w:val="24"/>
          <w:szCs w:val="24"/>
        </w:rPr>
      </w:pPr>
      <w:r w:rsidRPr="004A3C24">
        <w:rPr>
          <w:rFonts w:ascii="Times New Roman" w:hAnsi="Times New Roman" w:cs="Times New Roman"/>
          <w:b/>
          <w:iCs/>
          <w:sz w:val="24"/>
          <w:szCs w:val="24"/>
        </w:rPr>
        <w:lastRenderedPageBreak/>
        <w:t>Table 5B.</w:t>
      </w:r>
      <w:r w:rsidRPr="004A3C24">
        <w:rPr>
          <w:rFonts w:ascii="Times New Roman" w:hAnsi="Times New Roman" w:cs="Times New Roman"/>
          <w:iCs/>
          <w:sz w:val="24"/>
          <w:szCs w:val="24"/>
        </w:rPr>
        <w:t xml:space="preserve"> Frozen SET100 same-exchange numerical transfer. SET100 uses the same 122 numerical features, architecture-specific windows, seeds, epochs and 2022-2025 outer years as the matched SET50 comparator, without SET100 </w:t>
      </w:r>
      <w:proofErr w:type="gramStart"/>
      <w:r w:rsidRPr="004A3C24">
        <w:rPr>
          <w:rFonts w:ascii="Times New Roman" w:hAnsi="Times New Roman" w:cs="Times New Roman"/>
          <w:iCs/>
          <w:sz w:val="24"/>
          <w:szCs w:val="24"/>
        </w:rPr>
        <w:t>retuning</w:t>
      </w:r>
      <w:proofErr w:type="gramEnd"/>
      <w:r w:rsidRPr="004A3C24">
        <w:rPr>
          <w:rFonts w:ascii="Times New Roman" w:hAnsi="Times New Roman" w:cs="Times New Roman"/>
          <w:iCs/>
          <w:sz w:val="24"/>
          <w:szCs w:val="24"/>
        </w:rPr>
        <w: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53"/>
        <w:gridCol w:w="655"/>
        <w:gridCol w:w="1404"/>
        <w:gridCol w:w="1404"/>
        <w:gridCol w:w="2714"/>
        <w:gridCol w:w="1030"/>
      </w:tblGrid>
      <w:tr w:rsidR="000959B0" w14:paraId="3179F429" w14:textId="77777777" w:rsidTr="000959B0">
        <w:trPr>
          <w:cantSplit/>
          <w:tblHeader/>
        </w:trPr>
        <w:tc>
          <w:tcPr>
            <w:tcW w:w="2153" w:type="dxa"/>
            <w:shd w:val="clear" w:color="auto" w:fill="E6E6E6"/>
            <w:vAlign w:val="center"/>
          </w:tcPr>
          <w:p w14:paraId="776CCEDF" w14:textId="77777777"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Architecture</w:t>
            </w:r>
          </w:p>
        </w:tc>
        <w:tc>
          <w:tcPr>
            <w:tcW w:w="655" w:type="dxa"/>
            <w:shd w:val="clear" w:color="auto" w:fill="E6E6E6"/>
            <w:vAlign w:val="center"/>
          </w:tcPr>
          <w:p w14:paraId="24492618" w14:textId="77777777"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W</w:t>
            </w:r>
          </w:p>
        </w:tc>
        <w:tc>
          <w:tcPr>
            <w:tcW w:w="1404" w:type="dxa"/>
            <w:shd w:val="clear" w:color="auto" w:fill="E6E6E6"/>
            <w:vAlign w:val="center"/>
          </w:tcPr>
          <w:p w14:paraId="25471B8C" w14:textId="77777777"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 xml:space="preserve">SET50 </w:t>
            </w:r>
            <w:proofErr w:type="spellStart"/>
            <w:r w:rsidRPr="000959B0">
              <w:rPr>
                <w:rFonts w:ascii="Times New Roman" w:hAnsi="Times New Roman" w:cs="Times New Roman"/>
                <w:b/>
                <w:iCs/>
                <w:sz w:val="15"/>
                <w:szCs w:val="24"/>
              </w:rPr>
              <w:t>BAcc</w:t>
            </w:r>
            <w:proofErr w:type="spellEnd"/>
            <w:r w:rsidRPr="000959B0">
              <w:rPr>
                <w:rFonts w:ascii="Times New Roman" w:hAnsi="Times New Roman" w:cs="Times New Roman"/>
                <w:b/>
                <w:iCs/>
                <w:sz w:val="15"/>
                <w:szCs w:val="24"/>
              </w:rPr>
              <w:t xml:space="preserve"> (%)</w:t>
            </w:r>
          </w:p>
        </w:tc>
        <w:tc>
          <w:tcPr>
            <w:tcW w:w="1404" w:type="dxa"/>
            <w:shd w:val="clear" w:color="auto" w:fill="E6E6E6"/>
            <w:vAlign w:val="center"/>
          </w:tcPr>
          <w:p w14:paraId="33F87F82" w14:textId="77777777"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 xml:space="preserve">SET100 </w:t>
            </w:r>
            <w:proofErr w:type="spellStart"/>
            <w:r w:rsidRPr="000959B0">
              <w:rPr>
                <w:rFonts w:ascii="Times New Roman" w:hAnsi="Times New Roman" w:cs="Times New Roman"/>
                <w:b/>
                <w:iCs/>
                <w:sz w:val="15"/>
                <w:szCs w:val="24"/>
              </w:rPr>
              <w:t>BAcc</w:t>
            </w:r>
            <w:proofErr w:type="spellEnd"/>
            <w:r w:rsidRPr="000959B0">
              <w:rPr>
                <w:rFonts w:ascii="Times New Roman" w:hAnsi="Times New Roman" w:cs="Times New Roman"/>
                <w:b/>
                <w:iCs/>
                <w:sz w:val="15"/>
                <w:szCs w:val="24"/>
              </w:rPr>
              <w:t xml:space="preserve"> (%)</w:t>
            </w:r>
          </w:p>
        </w:tc>
        <w:tc>
          <w:tcPr>
            <w:tcW w:w="2714" w:type="dxa"/>
            <w:shd w:val="clear" w:color="auto" w:fill="E6E6E6"/>
            <w:vAlign w:val="center"/>
          </w:tcPr>
          <w:p w14:paraId="5F407A29" w14:textId="77777777"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Delta pp [95% CI]</w:t>
            </w:r>
          </w:p>
        </w:tc>
        <w:tc>
          <w:tcPr>
            <w:tcW w:w="1030" w:type="dxa"/>
            <w:shd w:val="clear" w:color="auto" w:fill="E6E6E6"/>
            <w:vAlign w:val="center"/>
          </w:tcPr>
          <w:p w14:paraId="479B723A" w14:textId="77777777"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Holm p</w:t>
            </w:r>
          </w:p>
        </w:tc>
      </w:tr>
      <w:tr w:rsidR="000959B0" w14:paraId="62686A49" w14:textId="77777777" w:rsidTr="000959B0">
        <w:trPr>
          <w:cantSplit/>
        </w:trPr>
        <w:tc>
          <w:tcPr>
            <w:tcW w:w="2153" w:type="dxa"/>
            <w:vAlign w:val="center"/>
          </w:tcPr>
          <w:p w14:paraId="2E98A19C" w14:textId="77777777"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w:t>
            </w:r>
          </w:p>
        </w:tc>
        <w:tc>
          <w:tcPr>
            <w:tcW w:w="655" w:type="dxa"/>
            <w:vAlign w:val="center"/>
          </w:tcPr>
          <w:p w14:paraId="307CB9E9" w14:textId="777777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w:t>
            </w:r>
          </w:p>
        </w:tc>
        <w:tc>
          <w:tcPr>
            <w:tcW w:w="1404" w:type="dxa"/>
            <w:vAlign w:val="center"/>
          </w:tcPr>
          <w:p w14:paraId="3BF4EA20" w14:textId="777777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53.12</w:t>
            </w:r>
          </w:p>
        </w:tc>
        <w:tc>
          <w:tcPr>
            <w:tcW w:w="1404" w:type="dxa"/>
            <w:vAlign w:val="center"/>
          </w:tcPr>
          <w:p w14:paraId="3DC6963B" w14:textId="777777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51.63</w:t>
            </w:r>
          </w:p>
        </w:tc>
        <w:tc>
          <w:tcPr>
            <w:tcW w:w="2714" w:type="dxa"/>
            <w:vAlign w:val="center"/>
          </w:tcPr>
          <w:p w14:paraId="067E2FA7" w14:textId="777777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-1.50 [-6.14, +3.15]</w:t>
            </w:r>
          </w:p>
        </w:tc>
        <w:tc>
          <w:tcPr>
            <w:tcW w:w="1030" w:type="dxa"/>
            <w:vAlign w:val="center"/>
          </w:tcPr>
          <w:p w14:paraId="31F6C175" w14:textId="777777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1.000</w:t>
            </w:r>
          </w:p>
        </w:tc>
      </w:tr>
      <w:tr w:rsidR="000959B0" w14:paraId="0EE64870" w14:textId="77777777" w:rsidTr="000959B0">
        <w:trPr>
          <w:cantSplit/>
        </w:trPr>
        <w:tc>
          <w:tcPr>
            <w:tcW w:w="2153" w:type="dxa"/>
            <w:vAlign w:val="center"/>
          </w:tcPr>
          <w:p w14:paraId="5AC268FB" w14:textId="77777777"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CNN</w:t>
            </w:r>
          </w:p>
        </w:tc>
        <w:tc>
          <w:tcPr>
            <w:tcW w:w="655" w:type="dxa"/>
            <w:vAlign w:val="center"/>
          </w:tcPr>
          <w:p w14:paraId="6F4245B0" w14:textId="777777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404" w:type="dxa"/>
            <w:vAlign w:val="center"/>
          </w:tcPr>
          <w:p w14:paraId="5C786F57" w14:textId="777777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53.08</w:t>
            </w:r>
          </w:p>
        </w:tc>
        <w:tc>
          <w:tcPr>
            <w:tcW w:w="1404" w:type="dxa"/>
            <w:vAlign w:val="center"/>
          </w:tcPr>
          <w:p w14:paraId="135446EF" w14:textId="777777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51.89</w:t>
            </w:r>
          </w:p>
        </w:tc>
        <w:tc>
          <w:tcPr>
            <w:tcW w:w="2714" w:type="dxa"/>
            <w:vAlign w:val="center"/>
          </w:tcPr>
          <w:p w14:paraId="2331E8A3" w14:textId="777777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-1.19 [-2.08, -0.31]</w:t>
            </w:r>
          </w:p>
        </w:tc>
        <w:tc>
          <w:tcPr>
            <w:tcW w:w="1030" w:type="dxa"/>
            <w:vAlign w:val="center"/>
          </w:tcPr>
          <w:p w14:paraId="4CB67654" w14:textId="777777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0.625</w:t>
            </w:r>
          </w:p>
        </w:tc>
      </w:tr>
      <w:tr w:rsidR="000959B0" w14:paraId="3BAC52F2" w14:textId="77777777" w:rsidTr="000959B0">
        <w:trPr>
          <w:cantSplit/>
        </w:trPr>
        <w:tc>
          <w:tcPr>
            <w:tcW w:w="2153" w:type="dxa"/>
            <w:vAlign w:val="center"/>
          </w:tcPr>
          <w:p w14:paraId="3375B4F3" w14:textId="77777777"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LSTM-CNN</w:t>
            </w:r>
          </w:p>
        </w:tc>
        <w:tc>
          <w:tcPr>
            <w:tcW w:w="655" w:type="dxa"/>
            <w:vAlign w:val="center"/>
          </w:tcPr>
          <w:p w14:paraId="45AB93F6" w14:textId="777777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404" w:type="dxa"/>
            <w:vAlign w:val="center"/>
          </w:tcPr>
          <w:p w14:paraId="62581B5B" w14:textId="777777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52.68</w:t>
            </w:r>
          </w:p>
        </w:tc>
        <w:tc>
          <w:tcPr>
            <w:tcW w:w="1404" w:type="dxa"/>
            <w:vAlign w:val="center"/>
          </w:tcPr>
          <w:p w14:paraId="691E6DD7" w14:textId="777777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50.51</w:t>
            </w:r>
          </w:p>
        </w:tc>
        <w:tc>
          <w:tcPr>
            <w:tcW w:w="2714" w:type="dxa"/>
            <w:vAlign w:val="center"/>
          </w:tcPr>
          <w:p w14:paraId="4F68ADA4" w14:textId="777777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-2.17 [-6.56, +2.23]</w:t>
            </w:r>
          </w:p>
        </w:tc>
        <w:tc>
          <w:tcPr>
            <w:tcW w:w="1030" w:type="dxa"/>
            <w:vAlign w:val="center"/>
          </w:tcPr>
          <w:p w14:paraId="7DDA52ED" w14:textId="777777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1.000</w:t>
            </w:r>
          </w:p>
        </w:tc>
      </w:tr>
      <w:tr w:rsidR="000959B0" w14:paraId="6C2CB1D5" w14:textId="77777777" w:rsidTr="000959B0">
        <w:trPr>
          <w:cantSplit/>
        </w:trPr>
        <w:tc>
          <w:tcPr>
            <w:tcW w:w="2153" w:type="dxa"/>
            <w:vAlign w:val="center"/>
          </w:tcPr>
          <w:p w14:paraId="5CF6E9B3" w14:textId="77777777"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LSTM-Attention</w:t>
            </w:r>
          </w:p>
        </w:tc>
        <w:tc>
          <w:tcPr>
            <w:tcW w:w="655" w:type="dxa"/>
            <w:vAlign w:val="center"/>
          </w:tcPr>
          <w:p w14:paraId="0770656D" w14:textId="777777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w:t>
            </w:r>
          </w:p>
        </w:tc>
        <w:tc>
          <w:tcPr>
            <w:tcW w:w="1404" w:type="dxa"/>
            <w:vAlign w:val="center"/>
          </w:tcPr>
          <w:p w14:paraId="7DEFC190" w14:textId="777777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52.37</w:t>
            </w:r>
          </w:p>
        </w:tc>
        <w:tc>
          <w:tcPr>
            <w:tcW w:w="1404" w:type="dxa"/>
            <w:vAlign w:val="center"/>
          </w:tcPr>
          <w:p w14:paraId="71E1AFA4" w14:textId="777777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51.42</w:t>
            </w:r>
          </w:p>
        </w:tc>
        <w:tc>
          <w:tcPr>
            <w:tcW w:w="2714" w:type="dxa"/>
            <w:vAlign w:val="center"/>
          </w:tcPr>
          <w:p w14:paraId="7A1C0A01" w14:textId="777777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-0.95 [-2.99, +1.08]</w:t>
            </w:r>
          </w:p>
        </w:tc>
        <w:tc>
          <w:tcPr>
            <w:tcW w:w="1030" w:type="dxa"/>
            <w:vAlign w:val="center"/>
          </w:tcPr>
          <w:p w14:paraId="20B8CA11" w14:textId="777777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1.000</w:t>
            </w:r>
          </w:p>
        </w:tc>
      </w:tr>
      <w:tr w:rsidR="000959B0" w14:paraId="7802664E" w14:textId="77777777" w:rsidTr="000959B0">
        <w:trPr>
          <w:cantSplit/>
        </w:trPr>
        <w:tc>
          <w:tcPr>
            <w:tcW w:w="2153" w:type="dxa"/>
            <w:vAlign w:val="center"/>
          </w:tcPr>
          <w:p w14:paraId="09AF3969" w14:textId="77777777"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LSTM-CNN-Attention</w:t>
            </w:r>
          </w:p>
        </w:tc>
        <w:tc>
          <w:tcPr>
            <w:tcW w:w="655" w:type="dxa"/>
            <w:vAlign w:val="center"/>
          </w:tcPr>
          <w:p w14:paraId="223A1C88" w14:textId="777777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404" w:type="dxa"/>
            <w:vAlign w:val="center"/>
          </w:tcPr>
          <w:p w14:paraId="2A654767" w14:textId="777777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51.10</w:t>
            </w:r>
          </w:p>
        </w:tc>
        <w:tc>
          <w:tcPr>
            <w:tcW w:w="1404" w:type="dxa"/>
            <w:vAlign w:val="center"/>
          </w:tcPr>
          <w:p w14:paraId="0A710487" w14:textId="777777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50.03</w:t>
            </w:r>
          </w:p>
        </w:tc>
        <w:tc>
          <w:tcPr>
            <w:tcW w:w="2714" w:type="dxa"/>
            <w:vAlign w:val="center"/>
          </w:tcPr>
          <w:p w14:paraId="2CC754CF" w14:textId="777777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-1.07 [-6.85, +4.71]</w:t>
            </w:r>
          </w:p>
        </w:tc>
        <w:tc>
          <w:tcPr>
            <w:tcW w:w="1030" w:type="dxa"/>
            <w:vAlign w:val="center"/>
          </w:tcPr>
          <w:p w14:paraId="760D51A7" w14:textId="777777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1.000</w:t>
            </w:r>
          </w:p>
        </w:tc>
      </w:tr>
    </w:tbl>
    <w:p w14:paraId="0F1BBB3F" w14:textId="77777777" w:rsidR="00124AA7" w:rsidRPr="00761F3D" w:rsidRDefault="003A1CB3" w:rsidP="009960B6">
      <w:pPr>
        <w:spacing w:before="60" w:line="240" w:lineRule="auto"/>
        <w:rPr>
          <w:rFonts w:ascii="Times New Roman" w:hAnsi="Times New Roman"/>
          <w:b/>
          <w:bCs/>
          <w:sz w:val="24"/>
          <w:szCs w:val="24"/>
          <w:cs/>
        </w:rPr>
      </w:pPr>
      <w:r w:rsidRPr="000829A5">
        <w:rPr>
          <w:rFonts w:ascii="Times New Roman" w:hAnsi="Times New Roman" w:cs="Times New Roman"/>
          <w:i/>
          <w:iCs/>
          <w:sz w:val="24"/>
          <w:szCs w:val="24"/>
        </w:rPr>
        <w:t>Note:</w:t>
      </w:r>
      <w:r w:rsidRPr="000829A5">
        <w:rPr>
          <w:rFonts w:ascii="Times New Roman" w:hAnsi="Times New Roman" w:cs="Times New Roman"/>
          <w:sz w:val="24"/>
          <w:szCs w:val="24"/>
        </w:rPr>
        <w:t xml:space="preserve"> Matched SET50 is the frozen 122-feature global numerical comparator, not the final post-hoc integrated regime–news arm. SET100 is a broader, overlapping index on the same exchange and is not an external-market replication</w:t>
      </w:r>
      <w:r>
        <w:rPr>
          <w:rFonts w:ascii="Times New Roman" w:hAnsi="Times New Roman" w:cs="Times New Roman"/>
          <w:b/>
          <w:bCs/>
          <w:sz w:val="24"/>
          <w:szCs w:val="24"/>
        </w:rPr>
        <w:t>.</w:t>
      </w:r>
    </w:p>
    <w:p w14:paraId="35EB0B92" w14:textId="77777777" w:rsidR="0034462D" w:rsidRPr="0034462D" w:rsidRDefault="0034462D" w:rsidP="0034462D">
      <w:pPr>
        <w:spacing w:line="360" w:lineRule="auto"/>
        <w:jc w:val="both"/>
        <w:rPr>
          <w:rFonts w:ascii="Times New Roman" w:hAnsi="Times New Roman" w:cs="Times New Roman"/>
          <w:bCs/>
          <w:color w:val="000000"/>
          <w:sz w:val="24"/>
          <w:szCs w:val="24"/>
        </w:rPr>
      </w:pPr>
      <w:r w:rsidRPr="0034462D">
        <w:rPr>
          <w:rFonts w:ascii="Times New Roman" w:hAnsi="Times New Roman" w:cs="Times New Roman"/>
          <w:bCs/>
          <w:color w:val="000000"/>
          <w:sz w:val="24"/>
          <w:szCs w:val="24"/>
        </w:rPr>
        <w:t xml:space="preserve">The transfer pattern is more naturally interpreted as a transportability test than as a second independent market. SET50 and SET100 share the exchange and calendar, but SET100 broadens the constituent universe; using the same frozen features and architecture-specific windows therefore tests whether a SET50-selected representation survives a different cross-sectional composition </w:t>
      </w: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ADDIN ZOTERO_ITEM CSL_CITATION {"citationID":"69cf8381","properties":{"unsorted":false,"formattedCitation":"(Bergmeir et al., 2018; Olorunnimbe \u0026 Viktor, 2023; Sezer et al., 2020; The Stock Exchange of Thailand, n.d.-a, n.d.-b)","plainCitation":"(Bergmeir et al., 2018; Olorunnimbe \u0026 Viktor, 2023; Sezer et al., 2020; The Stock Exchange of Thailand, n.d.-a, n.d.-b)","noteIndex":0},"citationItems":[{"id":44,"uris":["http://zotero.org/users/local/DPQnJvcs/items/SXCWN3MM"],"itemData":{"id":44,"type":"document","note":"Published: Official index profile webpage","title":"SET50 Index and SET50FF Index Profile","URL":"https://www.set.or.th/en/market/index/set50/profile","author":[{"literal":"The Stock Exchange of Thailand"}]}},{"id":46,"uris":["http://zotero.org/users/local/DPQnJvcs/items/GSZTLRHR"],"itemData":{"id":46,"type":"document","note":"Published: Official index profile webpage","title":"SET100 Index and SET100FF Index Profile","URL":"https://www.set.or.th/en/market/index/set100/profile","author":[{"literal":"The Stock Exchange of Thailand"}]}},{"id":24,"uris":["http://zotero.org/users/local/DPQnJvcs/items/HFFD8978"],"itemData":{"id":24,"type":"article-journal","container-title":"Computational Statistics \u0026 Data Analysis","DOI":"10.1016/j.csda.2017.11.003","page":"70–83","title":"A Note on the Validity of Cross-Validation for Evaluating Autoregressive Time Series Prediction","volume":"120","author":[{"family":"Bergmeir","given":"Christoph"},{"family":"Hyndman","given":"Rob J."},{"family":"Koo","given":"Bonsoo"}],"issued":{"date-parts":[["2018"]]}}},{"id":33,"uris":["http://zotero.org/users/local/DPQnJvcs/items/8Z849LRX"],"itemData":{"id":33,"type":"article-journal","container-title":"Artificial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id":6,"uris":["http://zotero.org/users/local/DPQnJvcs/items/I7XYAE2J"],"itemData":{"id":6,"type":"article-journal","container-title":"Applied Soft Computing","DOI":"10.1016/j.asoc.2020.106181","page":"106181","title":"Financial Time Series Forecasting with Deep Learning: A Systematic Literature Review: 2005–2019","volume":"90","author":[{"family":"Sezer","given":"Omer Berat"},{"family":"Gudelek","given":"Mehmet Ugur"},{"family":"Ozbayoglu","given":"Ahmet Murat"}],"issued":{"date-parts":[["2020"]]}}}],"schema":"https://github.com/citation-style-language/schema/raw/master/csl-citation.json"} </w:instrText>
      </w:r>
      <w:r>
        <w:rPr>
          <w:rFonts w:ascii="Times New Roman" w:hAnsi="Times New Roman" w:cs="Times New Roman"/>
          <w:b/>
          <w:sz w:val="24"/>
          <w:szCs w:val="24"/>
        </w:rPr>
        <w:fldChar w:fldCharType="separate"/>
      </w:r>
      <w:r w:rsidRPr="0034462D">
        <w:rPr>
          <w:rFonts w:ascii="Times New Roman" w:hAnsi="Times New Roman" w:cs="Times New Roman"/>
          <w:sz w:val="24"/>
        </w:rPr>
        <w:t>(Bergmeir et al., 2018; Olorunnimbe &amp; Viktor, 2023; Sezer et al., 2020; The Stock Exchange of Thailand, n.d.-a, n.d.-b)</w:t>
      </w:r>
      <w:r>
        <w:rPr>
          <w:rFonts w:ascii="Times New Roman" w:hAnsi="Times New Roman" w:cs="Times New Roman"/>
          <w:b/>
          <w:sz w:val="24"/>
          <w:szCs w:val="24"/>
        </w:rPr>
        <w:fldChar w:fldCharType="end"/>
      </w:r>
      <w:r w:rsidRPr="0034462D">
        <w:rPr>
          <w:rFonts w:ascii="Times New Roman" w:hAnsi="Times New Roman" w:cs="Times New Roman"/>
          <w:bCs/>
          <w:color w:val="000000"/>
          <w:sz w:val="24"/>
          <w:szCs w:val="24"/>
        </w:rPr>
        <w:t xml:space="preserve">. The uniformly negative point estimates are consistent with feature-window mismatch rather than a different macro regime, because the outer years are identical. This stricter frozen design differs from dataset-specific studies that </w:t>
      </w:r>
      <w:proofErr w:type="gramStart"/>
      <w:r w:rsidRPr="0034462D">
        <w:rPr>
          <w:rFonts w:ascii="Times New Roman" w:hAnsi="Times New Roman" w:cs="Times New Roman"/>
          <w:bCs/>
          <w:color w:val="000000"/>
          <w:sz w:val="24"/>
          <w:szCs w:val="24"/>
        </w:rPr>
        <w:t>retune</w:t>
      </w:r>
      <w:proofErr w:type="gramEnd"/>
      <w:r w:rsidRPr="0034462D">
        <w:rPr>
          <w:rFonts w:ascii="Times New Roman" w:hAnsi="Times New Roman" w:cs="Times New Roman"/>
          <w:bCs/>
          <w:color w:val="000000"/>
          <w:sz w:val="24"/>
          <w:szCs w:val="24"/>
        </w:rPr>
        <w:t xml:space="preserve"> each market and can thereby absorb part of the shift. At the same time, four outer-year effects imply a minimum attainable exact two-sided p-value of 0.125, so sign consistency alone cannot establish degradation. The result narrows external validity: the audited configurations are not automatically portable even within the same exchange, but the evidence is insufficient to attribute the loss to any single architecture or constituent characteristic.</w:t>
      </w:r>
    </w:p>
    <w:p w14:paraId="1527B5E9" w14:textId="77777777" w:rsidR="004A3C24" w:rsidRPr="00F768ED" w:rsidRDefault="00880654" w:rsidP="009960B6">
      <w:pPr>
        <w:spacing w:line="360" w:lineRule="auto"/>
        <w:jc w:val="both"/>
        <w:rPr>
          <w:rFonts w:ascii="Times New Roman" w:hAnsi="Times New Roman"/>
          <w:bCs/>
          <w:sz w:val="24"/>
          <w:szCs w:val="24"/>
          <w:cs/>
        </w:rPr>
      </w:pPr>
      <w:r>
        <w:rPr>
          <w:rFonts w:ascii="Times New Roman" w:hAnsi="Times New Roman" w:cs="Times New Roman"/>
          <w:bCs/>
          <w:sz w:val="24"/>
          <w:szCs w:val="24"/>
        </w:rPr>
        <w:t>Figure 7 summarizes architecture-wise point estimates across the completed audit pillars, while corresponding uncertainty and multiplicity-adjusted results remain in Tables 2, 3A, 4 and 5B.</w:t>
      </w:r>
    </w:p>
    <w:p w14:paraId="2F7A6544" w14:textId="77777777" w:rsidR="00F768ED" w:rsidRDefault="00F768ED" w:rsidP="009960B6">
      <w:pPr>
        <w:keepNext/>
        <w:spacing w:after="0" w:line="240" w:lineRule="auto"/>
        <w:jc w:val="center"/>
        <w:rPr>
          <w:rFonts w:ascii="Times New Roman" w:hAnsi="Times New Roman" w:cs="Times New Roman"/>
          <w:b/>
          <w:bCs/>
          <w:sz w:val="24"/>
          <w:szCs w:val="24"/>
          <w:highlight w:val="yellow"/>
        </w:rPr>
      </w:pPr>
    </w:p>
    <w:p w14:paraId="058BAF55" w14:textId="77777777" w:rsidR="003A1CB3" w:rsidRPr="004A3C24" w:rsidRDefault="00880654" w:rsidP="00880654">
      <w:pPr>
        <w:keepNext/>
        <w:spacing w:before="120" w:after="60" w:line="24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BFFA2A5" wp14:editId="25CDB827">
            <wp:extent cx="5472000" cy="3536338"/>
            <wp:effectExtent l="0" t="0" r="0" b="6985"/>
            <wp:docPr id="1300017094" name="Figure 7" descr="Heatmap of architecture-wise audit effects and intrinsic Leader sentiment gain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1709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72000" cy="3536338"/>
                    </a:xfrm>
                    <a:prstGeom prst="rect">
                      <a:avLst/>
                    </a:prstGeom>
                  </pic:spPr>
                </pic:pic>
              </a:graphicData>
            </a:graphic>
          </wp:inline>
        </w:drawing>
      </w:r>
    </w:p>
    <w:p w14:paraId="5AD20A3F" w14:textId="77777777" w:rsidR="0085069D" w:rsidRPr="004A3C24" w:rsidRDefault="00880654" w:rsidP="009960B6">
      <w:pPr>
        <w:keepLines/>
        <w:spacing w:before="60" w:after="180" w:line="240" w:lineRule="auto"/>
        <w:jc w:val="center"/>
        <w:rPr>
          <w:rFonts w:ascii="Times New Roman" w:hAnsi="Times New Roman" w:cs="Times New Roman"/>
          <w:bCs/>
          <w:sz w:val="24"/>
          <w:szCs w:val="24"/>
        </w:rPr>
      </w:pPr>
      <w:r>
        <w:rPr>
          <w:rFonts w:ascii="Times New Roman" w:hAnsi="Times New Roman" w:cs="Times New Roman"/>
          <w:b/>
          <w:bCs/>
          <w:sz w:val="24"/>
          <w:szCs w:val="24"/>
        </w:rPr>
        <w:t xml:space="preserve">Figure 7. Architecture-wise point-estimate summary across completed audit pillars. Heatmap cells report paired balanced-accuracy changes in percentage points for VMD, Observed-News versus Market-Only, Regime-SHAP versus Regime-All and </w:t>
      </w:r>
      <w:proofErr w:type="gramStart"/>
      <w:r>
        <w:rPr>
          <w:rFonts w:ascii="Times New Roman" w:hAnsi="Times New Roman" w:cs="Times New Roman"/>
          <w:b/>
          <w:bCs/>
          <w:sz w:val="24"/>
          <w:szCs w:val="24"/>
        </w:rPr>
        <w:t>SET100 minus</w:t>
      </w:r>
      <w:proofErr w:type="gramEnd"/>
      <w:r>
        <w:rPr>
          <w:rFonts w:ascii="Times New Roman" w:hAnsi="Times New Roman" w:cs="Times New Roman"/>
          <w:b/>
          <w:bCs/>
          <w:sz w:val="24"/>
          <w:szCs w:val="24"/>
        </w:rPr>
        <w:t xml:space="preserve"> matched SET50; green denotes positive and red denotes negative point estimates. The lower panel reports the Leader's intrinsic sentiment-accuracy gains over </w:t>
      </w:r>
      <w:proofErr w:type="gramStart"/>
      <w:r>
        <w:rPr>
          <w:rFonts w:ascii="Times New Roman" w:hAnsi="Times New Roman" w:cs="Times New Roman"/>
          <w:b/>
          <w:bCs/>
          <w:sz w:val="24"/>
          <w:szCs w:val="24"/>
        </w:rPr>
        <w:t>compute-matched</w:t>
      </w:r>
      <w:proofErr w:type="gramEnd"/>
      <w:r>
        <w:rPr>
          <w:rFonts w:ascii="Times New Roman" w:hAnsi="Times New Roman" w:cs="Times New Roman"/>
          <w:b/>
          <w:bCs/>
          <w:sz w:val="24"/>
          <w:szCs w:val="24"/>
        </w:rPr>
        <w:t xml:space="preserve"> controls as a separate endpoint. Confidence intervals and Holm-adjusted p-values are reported in Tables 2, 3A, 4 and 5B.</w:t>
      </w:r>
    </w:p>
    <w:p w14:paraId="46DFFFD5" w14:textId="77777777" w:rsidR="009F614B" w:rsidRDefault="00000000">
      <w:pPr>
        <w:keepNext/>
        <w:keepLines/>
        <w:spacing w:before="180" w:after="80" w:line="360" w:lineRule="auto"/>
        <w:rPr>
          <w:rFonts w:ascii="Times New Roman" w:hAnsi="Times New Roman"/>
          <w:b/>
          <w:bCs/>
          <w:sz w:val="24"/>
          <w:szCs w:val="24"/>
        </w:rPr>
      </w:pPr>
      <w:r>
        <w:rPr>
          <w:rFonts w:ascii="Times New Roman" w:hAnsi="Times New Roman"/>
          <w:b/>
          <w:sz w:val="24"/>
        </w:rPr>
        <w:t>4.7 Prediction-level diagnostics separated level tracking from directional discrimination</w:t>
      </w:r>
    </w:p>
    <w:p w14:paraId="1A666C44" w14:textId="77777777" w:rsidR="009F614B" w:rsidRDefault="00000000">
      <w:pPr>
        <w:keepLines/>
        <w:spacing w:line="360" w:lineRule="auto"/>
        <w:jc w:val="both"/>
        <w:rPr>
          <w:rFonts w:ascii="Times New Roman" w:hAnsi="Times New Roman" w:cs="Times New Roman"/>
          <w:color w:val="000000"/>
          <w:sz w:val="24"/>
          <w:szCs w:val="24"/>
        </w:rPr>
      </w:pPr>
      <w:r>
        <w:rPr>
          <w:rFonts w:ascii="Times New Roman" w:hAnsi="Times New Roman"/>
          <w:sz w:val="24"/>
        </w:rPr>
        <w:t>Figures 8 and 9 visualize the five seed-averaged out-of-sample prediction series from the final Regime-SHAP-Numeric-News arm. Over 2022-2025, LSTM produced the smallest level errors (RMSE 15.97; MAE 12.73) and the tightest scatter around the identity line, but its mean balanced accuracy was only 52.01%. LSTM-CNN-Attention produced the highest balanced accuracy (53.64%) and MCC (0.089) but the largest level errors (RMSE 31.77; MAE 25.34). LSTM-Attention occupied the middle ground (</w:t>
      </w:r>
      <w:proofErr w:type="spellStart"/>
      <w:r>
        <w:rPr>
          <w:rFonts w:ascii="Times New Roman" w:hAnsi="Times New Roman"/>
          <w:sz w:val="24"/>
        </w:rPr>
        <w:t>BAcc</w:t>
      </w:r>
      <w:proofErr w:type="spellEnd"/>
      <w:r>
        <w:rPr>
          <w:rFonts w:ascii="Times New Roman" w:hAnsi="Times New Roman"/>
          <w:sz w:val="24"/>
        </w:rPr>
        <w:t xml:space="preserve"> 52.62%; RMSE 20.41), LSTM-CNN improved directional performance (52.81%) at the cost of larger level error (RMSE 29.79), and CNN had the weakest mean directional result (51.49%) despite visible level co-movement (RMSE 22.74). Thus, the model ranking depends on whether the endpoint is next-day level error or the sign of the next-day move.</w:t>
      </w:r>
    </w:p>
    <w:p w14:paraId="66543708" w14:textId="77777777" w:rsidR="009F614B" w:rsidRDefault="00000000">
      <w:pPr>
        <w:keepNext/>
        <w:spacing w:before="60" w:after="40"/>
        <w:jc w:val="center"/>
      </w:pPr>
      <w:r>
        <w:rPr>
          <w:noProof/>
        </w:rPr>
        <w:lastRenderedPageBreak/>
        <w:drawing>
          <wp:inline distT="0" distB="0" distL="0" distR="0" wp14:anchorId="131871A3" wp14:editId="2BCC3350">
            <wp:extent cx="5897880" cy="3515660"/>
            <wp:effectExtent l="0" t="0" r="0" b="0"/>
            <wp:docPr id="1399279417" name="Figure 8" descr="Observed-versus-predicted next-day SET50 scatter plots for the five frozen architecture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served_vs_predicted_scatter_oos_2022_2025.png"/>
                    <pic:cNvPicPr/>
                  </pic:nvPicPr>
                  <pic:blipFill>
                    <a:blip r:embed="rId18"/>
                    <a:stretch>
                      <a:fillRect/>
                    </a:stretch>
                  </pic:blipFill>
                  <pic:spPr>
                    <a:xfrm>
                      <a:off x="0" y="0"/>
                      <a:ext cx="5897880" cy="3515660"/>
                    </a:xfrm>
                    <a:prstGeom prst="rect">
                      <a:avLst/>
                    </a:prstGeom>
                  </pic:spPr>
                </pic:pic>
              </a:graphicData>
            </a:graphic>
          </wp:inline>
        </w:drawing>
      </w:r>
    </w:p>
    <w:p w14:paraId="47D00EF0" w14:textId="77777777" w:rsidR="009F614B" w:rsidRDefault="00000000">
      <w:pPr>
        <w:keepLines/>
        <w:spacing w:before="60" w:after="180" w:line="240" w:lineRule="auto"/>
        <w:jc w:val="center"/>
        <w:rPr>
          <w:rFonts w:ascii="Times New Roman" w:eastAsia="Times New Roman" w:hAnsi="Times New Roman" w:cs="Times New Roman"/>
          <w:sz w:val="24"/>
          <w:szCs w:val="24"/>
        </w:rPr>
      </w:pPr>
      <w:r>
        <w:rPr>
          <w:rFonts w:ascii="Times New Roman" w:hAnsi="Times New Roman"/>
          <w:b/>
          <w:sz w:val="24"/>
        </w:rPr>
        <w:t>Figure 8.</w:t>
      </w:r>
      <w:r>
        <w:rPr>
          <w:rFonts w:ascii="Times New Roman" w:hAnsi="Times New Roman"/>
          <w:sz w:val="24"/>
        </w:rPr>
        <w:t xml:space="preserve"> Observed versus predicted next-day SET50 levels for the final integrated arm, 2022-2025. Each point is a seed-averaged out-of-sample forecast; the dashed identity line indicates exact level agreement. RMSE and MAE evaluate level error, whereas balanced accuracy evaluates direction.</w:t>
      </w:r>
    </w:p>
    <w:p w14:paraId="13D9EFA5" w14:textId="77777777" w:rsidR="009F614B" w:rsidRDefault="00000000">
      <w:pPr>
        <w:keepLines/>
        <w:spacing w:line="360" w:lineRule="auto"/>
        <w:jc w:val="both"/>
        <w:rPr>
          <w:rFonts w:ascii="Times New Roman" w:hAnsi="Times New Roman" w:cs="Times New Roman"/>
          <w:color w:val="000000"/>
          <w:sz w:val="24"/>
          <w:szCs w:val="24"/>
        </w:rPr>
      </w:pPr>
      <w:r>
        <w:rPr>
          <w:rFonts w:ascii="Times New Roman" w:hAnsi="Times New Roman"/>
          <w:sz w:val="24"/>
        </w:rPr>
        <w:t xml:space="preserve">In the </w:t>
      </w:r>
      <w:proofErr w:type="gramStart"/>
      <w:r>
        <w:rPr>
          <w:rFonts w:ascii="Times New Roman" w:hAnsi="Times New Roman"/>
          <w:sz w:val="24"/>
        </w:rPr>
        <w:t>2025 fold</w:t>
      </w:r>
      <w:proofErr w:type="gramEnd"/>
      <w:r>
        <w:rPr>
          <w:rFonts w:ascii="Times New Roman" w:hAnsi="Times New Roman"/>
          <w:sz w:val="24"/>
        </w:rPr>
        <w:t xml:space="preserve">, LSTM-CNN achieved the </w:t>
      </w:r>
      <w:proofErr w:type="gramStart"/>
      <w:r>
        <w:rPr>
          <w:rFonts w:ascii="Times New Roman" w:hAnsi="Times New Roman"/>
          <w:sz w:val="24"/>
        </w:rPr>
        <w:t>best balanced</w:t>
      </w:r>
      <w:proofErr w:type="gramEnd"/>
      <w:r>
        <w:rPr>
          <w:rFonts w:ascii="Times New Roman" w:hAnsi="Times New Roman"/>
          <w:sz w:val="24"/>
        </w:rPr>
        <w:t xml:space="preserve"> accuracy (55.15%) and direction accuracy (54.27%) but an RMSE of 30.41, whereas LSTM retained the lowest RMSE (21.57) with balanced accuracy of 53.20%. LSTM-Attention reached 53.82% balanced accuracy; CNN was near chance at 51.07%; and LSTM-CNN-Attention fell to 53.07% while its RMSE rose to 36.12. The </w:t>
      </w:r>
      <w:proofErr w:type="gramStart"/>
      <w:r>
        <w:rPr>
          <w:rFonts w:ascii="Times New Roman" w:hAnsi="Times New Roman"/>
          <w:sz w:val="24"/>
        </w:rPr>
        <w:t>realized Up</w:t>
      </w:r>
      <w:proofErr w:type="gramEnd"/>
      <w:r>
        <w:rPr>
          <w:rFonts w:ascii="Times New Roman" w:hAnsi="Times New Roman"/>
          <w:sz w:val="24"/>
        </w:rPr>
        <w:t xml:space="preserve"> share was 48.72%, yet the models predicted Up on 74.79-86.32% of dates; corresponding Down recall was only 16.67-28.33%. The broad level paths can therefore appear visually convincing even when local reversals and small negative moves are missed.</w:t>
      </w:r>
    </w:p>
    <w:p w14:paraId="2ACB5A58" w14:textId="77777777" w:rsidR="009F614B" w:rsidRDefault="00000000">
      <w:pPr>
        <w:keepNext/>
        <w:pageBreakBefore/>
        <w:spacing w:before="60" w:after="40"/>
        <w:jc w:val="center"/>
      </w:pPr>
      <w:r>
        <w:rPr>
          <w:noProof/>
        </w:rPr>
        <w:lastRenderedPageBreak/>
        <w:drawing>
          <wp:inline distT="0" distB="0" distL="0" distR="0" wp14:anchorId="53D94746" wp14:editId="51901FA5">
            <wp:extent cx="5897880" cy="5560355"/>
            <wp:effectExtent l="0" t="0" r="0" b="0"/>
            <wp:docPr id="1399279418" name="Figure 9" descr="Actual and predicted next-day SET50 level series for the five architectures in the 2025 fold."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ual_vs_predicted_oos_2025_zoom.png"/>
                    <pic:cNvPicPr/>
                  </pic:nvPicPr>
                  <pic:blipFill>
                    <a:blip r:embed="rId19"/>
                    <a:stretch>
                      <a:fillRect/>
                    </a:stretch>
                  </pic:blipFill>
                  <pic:spPr>
                    <a:xfrm>
                      <a:off x="0" y="0"/>
                      <a:ext cx="5897880" cy="5560355"/>
                    </a:xfrm>
                    <a:prstGeom prst="rect">
                      <a:avLst/>
                    </a:prstGeom>
                  </pic:spPr>
                </pic:pic>
              </a:graphicData>
            </a:graphic>
          </wp:inline>
        </w:drawing>
      </w:r>
    </w:p>
    <w:p w14:paraId="5655ADCC" w14:textId="77777777" w:rsidR="009F614B" w:rsidRDefault="00000000">
      <w:pPr>
        <w:keepLines/>
        <w:spacing w:before="60" w:after="180" w:line="240" w:lineRule="auto"/>
        <w:jc w:val="center"/>
        <w:rPr>
          <w:rFonts w:ascii="Times New Roman" w:eastAsia="Times New Roman" w:hAnsi="Times New Roman" w:cs="Times New Roman"/>
          <w:sz w:val="24"/>
          <w:szCs w:val="24"/>
        </w:rPr>
      </w:pPr>
      <w:r>
        <w:rPr>
          <w:rFonts w:ascii="Times New Roman" w:hAnsi="Times New Roman"/>
          <w:b/>
          <w:sz w:val="24"/>
        </w:rPr>
        <w:t>Figure 9.</w:t>
      </w:r>
      <w:r>
        <w:rPr>
          <w:rFonts w:ascii="Times New Roman" w:hAnsi="Times New Roman"/>
          <w:sz w:val="24"/>
        </w:rPr>
        <w:t xml:space="preserve"> Seed-averaged out-of-sample next-day SET50 forecasts in the </w:t>
      </w:r>
      <w:proofErr w:type="gramStart"/>
      <w:r>
        <w:rPr>
          <w:rFonts w:ascii="Times New Roman" w:hAnsi="Times New Roman"/>
          <w:sz w:val="24"/>
        </w:rPr>
        <w:t>2025 fold</w:t>
      </w:r>
      <w:proofErr w:type="gramEnd"/>
      <w:r>
        <w:rPr>
          <w:rFonts w:ascii="Times New Roman" w:hAnsi="Times New Roman"/>
          <w:sz w:val="24"/>
        </w:rPr>
        <w:t xml:space="preserve">. Black lines show realized </w:t>
      </w:r>
      <w:proofErr w:type="gramStart"/>
      <w:r>
        <w:rPr>
          <w:rFonts w:ascii="Times New Roman" w:hAnsi="Times New Roman"/>
          <w:sz w:val="24"/>
        </w:rPr>
        <w:t>next-day</w:t>
      </w:r>
      <w:proofErr w:type="gramEnd"/>
      <w:r>
        <w:rPr>
          <w:rFonts w:ascii="Times New Roman" w:hAnsi="Times New Roman"/>
          <w:sz w:val="24"/>
        </w:rPr>
        <w:t xml:space="preserve"> closes and colored lines show model forecasts; annotations report the metrics calculated only on the displayed fold. The visual diagnoses level tracking and turning-point behavior, while balanced accuracy remains the primary directional endpoint.</w:t>
      </w:r>
    </w:p>
    <w:p w14:paraId="2FF93E0E" w14:textId="77777777" w:rsidR="009F614B" w:rsidRDefault="00000000">
      <w:pPr>
        <w:keepLines/>
        <w:spacing w:line="360" w:lineRule="auto"/>
        <w:jc w:val="both"/>
        <w:rPr>
          <w:rFonts w:ascii="Times New Roman" w:hAnsi="Times New Roman" w:cs="Times New Roman"/>
          <w:color w:val="000000"/>
          <w:sz w:val="24"/>
          <w:szCs w:val="24"/>
        </w:rPr>
      </w:pPr>
      <w:r>
        <w:rPr>
          <w:rFonts w:ascii="Times New Roman" w:hAnsi="Times New Roman"/>
          <w:sz w:val="24"/>
        </w:rPr>
        <w:t xml:space="preserve">Figure 10 places the selector effect </w:t>
      </w:r>
      <w:proofErr w:type="gramStart"/>
      <w:r>
        <w:rPr>
          <w:rFonts w:ascii="Times New Roman" w:hAnsi="Times New Roman"/>
          <w:sz w:val="24"/>
        </w:rPr>
        <w:t>beside</w:t>
      </w:r>
      <w:proofErr w:type="gramEnd"/>
      <w:r>
        <w:rPr>
          <w:rFonts w:ascii="Times New Roman" w:hAnsi="Times New Roman"/>
          <w:sz w:val="24"/>
        </w:rPr>
        <w:t xml:space="preserve"> the independent local-fidelity diagnostic. Regime-SHAP improved CNN by 1.46 percentage points and LSTM-CNN by 0.05 points, while changing LSTM, LSTM-Attention and LSTM-CNN-Attention by -0.10, -1.03 and -0.74 points, respectively. Every 95% interval crossed zero and no contrast survived Holm adjustment. LIME classified 65.8-77.5% of the 120 repeats in each model-regime cell as low fidelity; overall, 1,293 of 1,800 explanations (71.83%) had local-surrogate R^2 below 0.70.</w:t>
      </w:r>
    </w:p>
    <w:p w14:paraId="07CE7BDA" w14:textId="77777777" w:rsidR="009F614B" w:rsidRDefault="00000000">
      <w:pPr>
        <w:keepNext/>
        <w:spacing w:before="60" w:after="40"/>
        <w:jc w:val="center"/>
      </w:pPr>
      <w:r>
        <w:rPr>
          <w:noProof/>
        </w:rPr>
        <w:lastRenderedPageBreak/>
        <w:drawing>
          <wp:inline distT="0" distB="0" distL="0" distR="0" wp14:anchorId="211AE744" wp14:editId="2026EBE1">
            <wp:extent cx="5897880" cy="2248771"/>
            <wp:effectExtent l="0" t="0" r="0" b="0"/>
            <wp:docPr id="1399279419" name="Figure 10" descr="Regime-SHAP balanced-accuracy effects and model-by-regime LIME low-fidelity rate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0_shap_lime_result_audit.png"/>
                    <pic:cNvPicPr/>
                  </pic:nvPicPr>
                  <pic:blipFill>
                    <a:blip r:embed="rId20"/>
                    <a:stretch>
                      <a:fillRect/>
                    </a:stretch>
                  </pic:blipFill>
                  <pic:spPr>
                    <a:xfrm>
                      <a:off x="0" y="0"/>
                      <a:ext cx="5897880" cy="2248771"/>
                    </a:xfrm>
                    <a:prstGeom prst="rect">
                      <a:avLst/>
                    </a:prstGeom>
                  </pic:spPr>
                </pic:pic>
              </a:graphicData>
            </a:graphic>
          </wp:inline>
        </w:drawing>
      </w:r>
    </w:p>
    <w:p w14:paraId="177208BB" w14:textId="77777777" w:rsidR="009F614B" w:rsidRDefault="00000000">
      <w:pPr>
        <w:keepLines/>
        <w:spacing w:before="60" w:after="180" w:line="240" w:lineRule="auto"/>
        <w:jc w:val="center"/>
        <w:rPr>
          <w:rFonts w:ascii="Times New Roman" w:eastAsia="Times New Roman" w:hAnsi="Times New Roman" w:cs="Times New Roman"/>
          <w:sz w:val="24"/>
          <w:szCs w:val="24"/>
        </w:rPr>
      </w:pPr>
      <w:r>
        <w:rPr>
          <w:rFonts w:ascii="Times New Roman" w:hAnsi="Times New Roman"/>
          <w:b/>
          <w:sz w:val="24"/>
        </w:rPr>
        <w:t>Figure 10.</w:t>
      </w:r>
      <w:r>
        <w:rPr>
          <w:rFonts w:ascii="Times New Roman" w:hAnsi="Times New Roman"/>
          <w:sz w:val="24"/>
        </w:rPr>
        <w:t xml:space="preserve"> Explainability audit. Panel A reports the Regime-SHAP minus Regime-All balanced-accuracy change with descriptive 95% intervals after seed aggregation within outer years; no effect survived Holm adjustment. Panel B reports the percentage of LIME repeats with local-surrogate R^2 below 0.70; failed repeats remain in the denominator.</w:t>
      </w:r>
    </w:p>
    <w:p w14:paraId="0CC599B2" w14:textId="77777777" w:rsidR="009F614B" w:rsidRDefault="00000000">
      <w:pPr>
        <w:keepLines/>
        <w:spacing w:line="360" w:lineRule="auto"/>
        <w:jc w:val="both"/>
        <w:rPr>
          <w:rFonts w:ascii="Times New Roman" w:hAnsi="Times New Roman" w:cs="Times New Roman"/>
          <w:color w:val="000000"/>
          <w:sz w:val="24"/>
          <w:szCs w:val="24"/>
        </w:rPr>
      </w:pPr>
      <w:r>
        <w:rPr>
          <w:rFonts w:ascii="Times New Roman" w:hAnsi="Times New Roman"/>
          <w:sz w:val="24"/>
        </w:rPr>
        <w:t>Taken model by model, LSTM was strongest at level calibration but remained directionally asymmetric; CNN captured broad level co-movement but smoothed or plateaued around turning points and provided little net sign discrimination; LSTM-CNN gained 2025 directional sensitivity but produced more dispersed levels; LSTM-Attention offered a compromise with smaller level error than the convolutional hybrids but remained Up-skewed; and LSTM-CNN-Attention had the best four-year primary metric while showing the largest 2025 error and weakest Down recall. This pattern is consistent with added convolution and attention capacity trading level calibration for sensitivity to selected temporal patterns, but the audit cannot identify that mechanism causally. CNN's positive Regime-SHAP cell is compatible with feature compression helping a local-filter architecture, whereas LIME's low fidelity prevents a stable feature-level explanation from being claimed (Lundberg &amp; Lee, 2017; Ribeiro et al., 2016; Yeo et al., 2025).</w:t>
      </w:r>
    </w:p>
    <w:p w14:paraId="13A5F824" w14:textId="77777777" w:rsidR="004B02B2" w:rsidRPr="004B02B2" w:rsidRDefault="004B02B2" w:rsidP="004B02B2">
      <w:pPr>
        <w:keepNext/>
        <w:keepLines/>
        <w:spacing w:before="240" w:line="360" w:lineRule="auto"/>
        <w:rPr>
          <w:rFonts w:ascii="Times New Roman" w:hAnsi="Times New Roman" w:cs="Times New Roman"/>
          <w:b/>
          <w:color w:val="000000"/>
          <w:sz w:val="24"/>
          <w:szCs w:val="24"/>
        </w:rPr>
      </w:pPr>
      <w:r w:rsidRPr="004B02B2">
        <w:rPr>
          <w:rFonts w:ascii="Times New Roman" w:hAnsi="Times New Roman" w:cs="Times New Roman"/>
          <w:b/>
          <w:color w:val="000000"/>
          <w:sz w:val="24"/>
          <w:szCs w:val="24"/>
        </w:rPr>
        <w:lastRenderedPageBreak/>
        <w:t>5. Discussion</w:t>
      </w:r>
    </w:p>
    <w:p w14:paraId="612D3293" w14:textId="77777777" w:rsidR="004B02B2" w:rsidRPr="004B02B2" w:rsidRDefault="004B02B2" w:rsidP="004B02B2">
      <w:pPr>
        <w:keepLines/>
        <w:spacing w:line="360" w:lineRule="auto"/>
        <w:jc w:val="both"/>
        <w:rPr>
          <w:rFonts w:ascii="Times New Roman" w:hAnsi="Times New Roman" w:cs="Times New Roman"/>
          <w:color w:val="000000"/>
          <w:sz w:val="24"/>
          <w:szCs w:val="24"/>
        </w:rPr>
      </w:pPr>
      <w:r w:rsidRPr="004B02B2">
        <w:rPr>
          <w:rFonts w:ascii="Times New Roman" w:hAnsi="Times New Roman" w:cs="Times New Roman"/>
          <w:color w:val="000000"/>
          <w:sz w:val="24"/>
          <w:szCs w:val="24"/>
        </w:rPr>
        <w:t xml:space="preserve">Taken together, the results indicate that reliability depended more on the temporal contract and the fit between representation and architecture than on cumulative model complexity. VMD, predicted news and regime-SHAP produced effects with different signs across the five architectures, while the frozen SET100 transfer weakened every model. This architecture- and setting-sensitivity is consistent with financial deep-learning reviews that identify data representation, validation design and market context as major sources of apparent performance variation </w:t>
      </w:r>
      <w:r>
        <w:rPr>
          <w:rFonts w:ascii="Times New Roman" w:eastAsia="Times New Roman" w:hAnsi="Times New Roman" w:cs="Times New Roman"/>
          <w:b/>
          <w:bCs/>
          <w:sz w:val="24"/>
          <w:szCs w:val="24"/>
        </w:rPr>
        <w:fldChar w:fldCharType="begin"/>
      </w:r>
      <w:r>
        <w:rPr>
          <w:rFonts w:ascii="Times New Roman" w:eastAsia="Times New Roman" w:hAnsi="Times New Roman" w:cs="Times New Roman"/>
          <w:b/>
          <w:bCs/>
          <w:sz w:val="24"/>
          <w:szCs w:val="24"/>
        </w:rPr>
        <w:instrText xml:space="preserve"> ADDIN ZOTERO_ITEM CSL_CITATION {"citationID":"51dff9e4","properties":{"unsorted":false,"formattedCitation":"(Olorunnimbe \u0026 Viktor, 2023; Sezer et al., 2020)","plainCitation":"(Olorunnimbe \u0026 Viktor, 2023; Sezer et al., 2020)","noteIndex":0},"citationItems":[{"id":33,"uris":["http://zotero.org/users/local/DPQnJvcs/items/8Z849LRX"],"itemData":{"id":33,"type":"article-journal","container-title":"Artificial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id":6,"uris":["http://zotero.org/users/local/DPQnJvcs/items/I7XYAE2J"],"itemData":{"id":6,"type":"article-journal","container-title":"Applied Soft Computing","DOI":"10.1016/j.asoc.2020.106181","page":"106181","title":"Financial Time Series Forecasting with Deep Learning: A Systematic Literature Review: 2005–2019","volume":"90","author":[{"family":"Sezer","given":"Omer Berat"},{"family":"Gudelek","given":"Mehmet Ugur"},{"family":"Ozbayoglu","given":"Ahmet Murat"}],"issued":{"date-parts":[["2020"]]}}}],"schema":"https://github.com/citation-style-language/schema/raw/master/csl-citation.json"} </w:instrText>
      </w:r>
      <w:r>
        <w:rPr>
          <w:rFonts w:ascii="Times New Roman" w:eastAsia="Times New Roman" w:hAnsi="Times New Roman" w:cs="Times New Roman"/>
          <w:b/>
          <w:bCs/>
          <w:sz w:val="24"/>
          <w:szCs w:val="24"/>
        </w:rPr>
        <w:fldChar w:fldCharType="separate"/>
      </w:r>
      <w:r w:rsidRPr="004B02B2">
        <w:rPr>
          <w:rFonts w:ascii="Times New Roman" w:hAnsi="Times New Roman" w:cs="Times New Roman"/>
          <w:sz w:val="24"/>
        </w:rPr>
        <w:t>(Olorunnimbe &amp; Viktor, 2023; Sezer et al., 2020)</w:t>
      </w:r>
      <w:r>
        <w:rPr>
          <w:rFonts w:ascii="Times New Roman" w:eastAsia="Times New Roman" w:hAnsi="Times New Roman" w:cs="Times New Roman"/>
          <w:b/>
          <w:bCs/>
          <w:sz w:val="24"/>
          <w:szCs w:val="24"/>
        </w:rPr>
        <w:fldChar w:fldCharType="end"/>
      </w:r>
      <w:r w:rsidRPr="004B02B2">
        <w:rPr>
          <w:rFonts w:ascii="Times New Roman" w:hAnsi="Times New Roman" w:cs="Times New Roman"/>
          <w:color w:val="000000"/>
          <w:sz w:val="24"/>
          <w:szCs w:val="24"/>
        </w:rPr>
        <w:t>. The paper therefore does not infer a universal hierarchy from isolated winning cells; it treats those cells as hypotheses that must survive matched budgets, falsification and temporal transfer.</w:t>
      </w:r>
    </w:p>
    <w:p w14:paraId="1DFA25C5" w14:textId="77777777" w:rsidR="004B02B2" w:rsidRPr="004B02B2" w:rsidRDefault="004B02B2" w:rsidP="004B02B2">
      <w:pPr>
        <w:keepLines/>
        <w:spacing w:line="360" w:lineRule="auto"/>
        <w:jc w:val="both"/>
        <w:rPr>
          <w:rFonts w:ascii="Times New Roman" w:hAnsi="Times New Roman" w:cs="Times New Roman"/>
          <w:color w:val="000000"/>
          <w:sz w:val="24"/>
          <w:szCs w:val="24"/>
        </w:rPr>
      </w:pPr>
      <w:r w:rsidRPr="004B02B2">
        <w:rPr>
          <w:rFonts w:ascii="Times New Roman" w:hAnsi="Times New Roman" w:cs="Times New Roman"/>
          <w:color w:val="000000"/>
          <w:sz w:val="24"/>
          <w:szCs w:val="24"/>
        </w:rPr>
        <w:t xml:space="preserve">Across the component ablations, a common compression-capacity trade-off provides the most coherent explanation. VMD removes high-frequency variation, daily sentiment compresses multiple articles into a scalar and regime-SHAP restricts the input set within smaller conditional samples. Each operation can improve signal-to-noise alignment for one architecture while removing weak complementary information required by another. Consequently, benefits reported by continuous-price VMD systems and richer news-interaction systems do not directly contradict the mixed next-day directional effects observed here </w:t>
      </w: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ADDIN ZOTERO_ITEM CSL_CITATION {"citationID":"686a4392","properties":{"unsorted":false,"formattedCitation":"(T. Liu et al., 2022; Y. Liu et al., 2024; W.-J. Liu et al., 2024; M. Wang et al., 2024)","plainCitation":"(T. Liu et al., 2022; Y. Liu et al., 2024; W.-J. Liu et al., 2024; M. Wang et al., 2024)","noteIndex":0},"citationItems":[{"id":35,"uris":["http://zotero.org/users/local/DPQnJvcs/items/ZLXIQGMF"],"itemData":{"id":35,"type":"article-journal","container-title":"Knowledge-Based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id":36,"uris":["http://zotero.org/users/local/DPQnJvcs/items/JPXM8FAB"],"itemData":{"id":36,"type":"article-journal","container-title":"Expert Systems with Applications","DOI":"10.1016/j.eswa.2023.121708","page":"121708","title":"A Stock Series Prediction Model Based on Variational Mode Decomposition and Dual-Channel Attention Network","volume":"238","author":[{"family":"Liu","given":"Yepeng"},{"family":"Huang","given":"Siyuan"},{"family":"Tian","given":"Xiaoyi"},{"family":"Zhang","given":"Fan"},{"family":"Zhao","given":"Feng"},{"family":"Zhang","given":"Caiming"}],"issued":{"date-parts":[["2024"]]}}},{"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Pr>
          <w:rFonts w:ascii="Times New Roman" w:hAnsi="Times New Roman" w:cs="Times New Roman"/>
          <w:b/>
          <w:sz w:val="24"/>
          <w:szCs w:val="24"/>
        </w:rPr>
        <w:fldChar w:fldCharType="separate"/>
      </w:r>
      <w:r w:rsidRPr="004B02B2">
        <w:rPr>
          <w:rFonts w:ascii="Times New Roman" w:hAnsi="Times New Roman" w:cs="Times New Roman"/>
          <w:sz w:val="24"/>
        </w:rPr>
        <w:t>(T. Liu et al., 2022; Y. Liu et al., 2024; W.-J. Liu et al., 2024; M. Wang et al., 2024)</w:t>
      </w:r>
      <w:r>
        <w:rPr>
          <w:rFonts w:ascii="Times New Roman" w:hAnsi="Times New Roman" w:cs="Times New Roman"/>
          <w:b/>
          <w:sz w:val="24"/>
          <w:szCs w:val="24"/>
        </w:rPr>
        <w:fldChar w:fldCharType="end"/>
      </w:r>
      <w:r w:rsidRPr="004B02B2">
        <w:rPr>
          <w:rFonts w:ascii="Times New Roman" w:hAnsi="Times New Roman" w:cs="Times New Roman"/>
          <w:color w:val="000000"/>
          <w:sz w:val="24"/>
          <w:szCs w:val="24"/>
        </w:rPr>
        <w:t>. The positive LSTM-CNN VMD cell and CNN regime-SHAP cell should therefore be interpreted as architecture-specific interactions, not evidence that either enhancement is generally beneficial.</w:t>
      </w:r>
    </w:p>
    <w:p w14:paraId="2087AD6B" w14:textId="77777777" w:rsidR="009F614B" w:rsidRDefault="00000000">
      <w:pPr>
        <w:keepLines/>
        <w:spacing w:line="360" w:lineRule="auto"/>
        <w:jc w:val="both"/>
        <w:rPr>
          <w:rFonts w:ascii="Times New Roman" w:hAnsi="Times New Roman" w:cs="Times New Roman"/>
          <w:color w:val="000000"/>
          <w:sz w:val="24"/>
          <w:szCs w:val="24"/>
        </w:rPr>
      </w:pPr>
      <w:r>
        <w:rPr>
          <w:rFonts w:ascii="Times New Roman" w:hAnsi="Times New Roman"/>
          <w:sz w:val="24"/>
        </w:rPr>
        <w:lastRenderedPageBreak/>
        <w:t xml:space="preserve">The prediction-level diagnostics further clarify why high visual agreement should not be equated with a useful direction classifier. Across 2022-2025, observed-predicted level correlations ranged from 0.927 to 0.983, yet balanced accuracy spanned only 51.49-53.64%. Because the next-day index level inherits substantial persistence from the current level, a model can track the level closely while placing the predicted change on the wrong side of zero; LSTM's low RMSE and modest balanced accuracy illustrate this distinction. Conversely, hybrid models improved sign classification in selected folds while sacrificing calibration and Down-class recall. This endpoint mismatch is consistent with the distinction between continuous-price forecasting and direction classification in financial deep learning (Fischer &amp; Krauss, 2018; </w:t>
      </w:r>
      <w:proofErr w:type="spellStart"/>
      <w:r>
        <w:rPr>
          <w:rFonts w:ascii="Times New Roman" w:hAnsi="Times New Roman"/>
          <w:sz w:val="24"/>
        </w:rPr>
        <w:t>Hoseinzadeh</w:t>
      </w:r>
      <w:proofErr w:type="spellEnd"/>
      <w:r>
        <w:rPr>
          <w:rFonts w:ascii="Times New Roman" w:hAnsi="Times New Roman"/>
          <w:sz w:val="24"/>
        </w:rPr>
        <w:t xml:space="preserve"> &amp; </w:t>
      </w:r>
      <w:proofErr w:type="spellStart"/>
      <w:r>
        <w:rPr>
          <w:rFonts w:ascii="Times New Roman" w:hAnsi="Times New Roman"/>
          <w:sz w:val="24"/>
        </w:rPr>
        <w:t>Haratizadeh</w:t>
      </w:r>
      <w:proofErr w:type="spellEnd"/>
      <w:r>
        <w:rPr>
          <w:rFonts w:ascii="Times New Roman" w:hAnsi="Times New Roman"/>
          <w:sz w:val="24"/>
        </w:rPr>
        <w:t>, 2019; Sezer et al., 2020). The SHAP-LIME panel adds a second caution: a positive selector ablation for one architecture does not establish that its individual attributions are locally faithful or transportable.</w:t>
      </w:r>
    </w:p>
    <w:p w14:paraId="101493DA" w14:textId="77777777" w:rsidR="004B02B2" w:rsidRPr="004B02B2" w:rsidRDefault="004B02B2" w:rsidP="004B02B2">
      <w:pPr>
        <w:keepLines/>
        <w:spacing w:line="360" w:lineRule="auto"/>
        <w:jc w:val="both"/>
        <w:rPr>
          <w:rFonts w:ascii="Times New Roman" w:hAnsi="Times New Roman" w:cs="Times New Roman"/>
          <w:color w:val="000000"/>
          <w:sz w:val="24"/>
          <w:szCs w:val="24"/>
        </w:rPr>
      </w:pPr>
      <w:r w:rsidRPr="004B02B2">
        <w:rPr>
          <w:rFonts w:ascii="Times New Roman" w:hAnsi="Times New Roman" w:cs="Times New Roman"/>
          <w:color w:val="000000"/>
          <w:sz w:val="24"/>
          <w:szCs w:val="24"/>
        </w:rPr>
        <w:t xml:space="preserve">The intrinsic LLM experiment addresses a related but distinct level of reliability. Bull/Bear role separation improved sentiment accuracy relative to equal-call and near-cost controls, supporting the possibility that structured argument diversity contributes information beyond repeated sampling alone </w:t>
      </w:r>
      <w:r>
        <w:rPr>
          <w:rFonts w:ascii="Times New Roman" w:eastAsia="Times New Roman" w:hAnsi="Times New Roman"/>
          <w:b/>
          <w:sz w:val="24"/>
          <w:szCs w:val="24"/>
          <w:cs/>
        </w:rPr>
        <w:fldChar w:fldCharType="begin"/>
      </w:r>
      <w:r>
        <w:rPr>
          <w:rFonts w:ascii="Times New Roman" w:eastAsia="Times New Roman" w:hAnsi="Times New Roman"/>
          <w:b/>
          <w:sz w:val="24"/>
          <w:szCs w:val="24"/>
        </w:rPr>
        <w:instrText xml:space="preserve"> ADDIN ZOTERO_ITEM CSL_CITATION {"citationID":"ac0331fd","properties":{"unsorted":false,"formattedCitation":"(Du et al., 2024; Liang et al., 2024; X. Wang et al., 2023; Dong et al., 2025)","plainCitation":"(Du et al., 2024; Liang et al., 2024; X. Wang et al., 2023; Dong et al., 2025)","noteIndex":0},"citationItems":[{"id":14,"uris":["http://zotero.org/users/local/DPQnJvcs/items/D3CHYCUL"],"itemData":{"id":14,"type":"paper-conference","collection-title":"Proceedings of Machine Learning Research","container-title":"Proceedings of the 41st International Conference on Machine Learning","page":"11733–11763","publisher":"PMLR","title":"Improving Factuality and Reasoning in Language Models through Multiagent Debate","URL":"https://proceedings.mlr.press/v235/du24e.html","volume":"235","author":[{"family":"Du","given":"Yilun"},{"family":"Li","given":"Shuang"},{"family":"Torralba","given":"Antonio"},{"family":"Tenenbaum","given":"Joshua B."},{"family":"Mordatch","given":"Igor"}],"issued":{"date-parts":[["2024"]]}}},{"id":15,"uris":["http://zotero.org/users/local/DPQnJvcs/items/PLY8SHS7"],"itemData":{"id":15,"type":"paper-conference","container-title":"Proceedings of the 2024 Conference on Empirical Methods in Natural Language Processing","DOI":"10.18653/v1/2024.emnlp-main.992","page":"17889–17904","publisher":"Association for Computational Linguistics","title":"Encouraging Divergent Thinking in Large Language Models through Multi-Agent Debate","author":[{"family":"Liang","given":"Tian"},{"family":"He","given":"Zhiwei"},{"family":"Jiao","given":"Wenxiang"},{"family":"Wang","given":"Xing"},{"family":"Wang","given":"Yan"},{"family":"Wang","given":"Rui"},{"family":"Yang","given":"Yujiu"},{"family":"Shi","given":"Shuming"},{"family":"Tu","given":"Zhaopeng"}],"issued":{"date-parts":[["2024"]]}}}],"schema":"https://github.com/citation-style-language/schema/raw/master/csl-citation.json"} </w:instrText>
      </w:r>
      <w:r>
        <w:rPr>
          <w:rFonts w:ascii="Times New Roman" w:eastAsia="Times New Roman" w:hAnsi="Times New Roman"/>
          <w:b/>
          <w:sz w:val="24"/>
          <w:szCs w:val="24"/>
          <w:cs/>
        </w:rPr>
        <w:fldChar w:fldCharType="separate"/>
      </w:r>
      <w:r w:rsidRPr="004B02B2">
        <w:rPr>
          <w:rFonts w:ascii="Times New Roman" w:hAnsi="Times New Roman" w:cs="Times New Roman"/>
          <w:sz w:val="24"/>
        </w:rPr>
        <w:t>(Du et al., 2024; Liang et al., 2024; X. Wang et al., 2023; Dong et al., 2025)</w:t>
      </w:r>
      <w:r>
        <w:rPr>
          <w:rFonts w:ascii="Times New Roman" w:eastAsia="Times New Roman" w:hAnsi="Times New Roman"/>
          <w:b/>
          <w:sz w:val="24"/>
          <w:szCs w:val="24"/>
          <w:cs/>
        </w:rPr>
        <w:fldChar w:fldCharType="end"/>
      </w:r>
      <w:r w:rsidRPr="004B02B2">
        <w:rPr>
          <w:rFonts w:ascii="Times New Roman" w:hAnsi="Times New Roman" w:cs="Times New Roman"/>
          <w:color w:val="000000"/>
          <w:sz w:val="24"/>
          <w:szCs w:val="24"/>
        </w:rPr>
        <w:t xml:space="preserve">. </w:t>
      </w:r>
      <w:r w:rsidR="0011168E">
        <w:rPr>
          <w:rFonts w:ascii="Times New Roman" w:hAnsi="Times New Roman" w:cs="Times New Roman"/>
          <w:color w:val="000000"/>
          <w:sz w:val="24"/>
          <w:szCs w:val="24"/>
        </w:rPr>
        <w:t>An authoritative Leader-derived downstream forecasting arm was not available on the locked common cohort.</w:t>
      </w:r>
      <w:r w:rsidRPr="004B02B2">
        <w:rPr>
          <w:rFonts w:ascii="Times New Roman" w:hAnsi="Times New Roman" w:cs="Times New Roman"/>
          <w:color w:val="000000"/>
          <w:sz w:val="24"/>
          <w:szCs w:val="24"/>
        </w:rPr>
        <w:t xml:space="preserve"> The defensible inference is therefore limited to intrinsic sentiment classification: better role-structured reasoning does not, by itself, demonstrate incremental next-day market predictability. Keeping those endpoints separate prevents an upstream benchmark gain from being misrepresented as a trading or forecasting gain.</w:t>
      </w:r>
    </w:p>
    <w:p w14:paraId="0078CB98" w14:textId="77777777" w:rsidR="004B02B2" w:rsidRPr="004B02B2" w:rsidRDefault="004B02B2" w:rsidP="004B02B2">
      <w:pPr>
        <w:keepLines/>
        <w:spacing w:line="360" w:lineRule="auto"/>
        <w:jc w:val="both"/>
        <w:rPr>
          <w:rFonts w:ascii="Times New Roman" w:hAnsi="Times New Roman" w:cs="Times New Roman"/>
          <w:color w:val="000000"/>
          <w:sz w:val="24"/>
          <w:szCs w:val="24"/>
        </w:rPr>
      </w:pPr>
      <w:r w:rsidRPr="004B02B2">
        <w:rPr>
          <w:rFonts w:ascii="Times New Roman" w:hAnsi="Times New Roman" w:cs="Times New Roman"/>
          <w:color w:val="000000"/>
          <w:sz w:val="24"/>
          <w:szCs w:val="24"/>
        </w:rPr>
        <w:t xml:space="preserve">The inferential results further distinguish absence of conclusive evidence from evidence of no effect. Four outer years impose a minimum exact two-sided sign-flip p-value of 0.125, whereas Holm adjustment protects the registered family against selective emphasis. </w:t>
      </w:r>
      <w:proofErr w:type="gramStart"/>
      <w:r w:rsidRPr="004B02B2">
        <w:rPr>
          <w:rFonts w:ascii="Times New Roman" w:hAnsi="Times New Roman" w:cs="Times New Roman"/>
          <w:color w:val="000000"/>
          <w:sz w:val="24"/>
          <w:szCs w:val="24"/>
        </w:rPr>
        <w:t>Balanced accuracy,</w:t>
      </w:r>
      <w:proofErr w:type="gramEnd"/>
      <w:r w:rsidRPr="004B02B2">
        <w:rPr>
          <w:rFonts w:ascii="Times New Roman" w:hAnsi="Times New Roman" w:cs="Times New Roman"/>
          <w:color w:val="000000"/>
          <w:sz w:val="24"/>
          <w:szCs w:val="24"/>
        </w:rPr>
        <w:t xml:space="preserve"> shuffled and lagged controls, the partial-2026 stress test and frozen same-exchange transfer expose failure modes that raw accuracy or a single holdout would miss. This interpretation follows established cautions concerning class-sensitive evaluation, temporal cross-validation and </w:t>
      </w:r>
      <w:proofErr w:type="spellStart"/>
      <w:r w:rsidRPr="004B02B2">
        <w:rPr>
          <w:rFonts w:ascii="Times New Roman" w:hAnsi="Times New Roman" w:cs="Times New Roman"/>
          <w:color w:val="000000"/>
          <w:sz w:val="24"/>
          <w:szCs w:val="24"/>
        </w:rPr>
        <w:t>backtest</w:t>
      </w:r>
      <w:proofErr w:type="spellEnd"/>
      <w:r w:rsidRPr="004B02B2">
        <w:rPr>
          <w:rFonts w:ascii="Times New Roman" w:hAnsi="Times New Roman" w:cs="Times New Roman"/>
          <w:color w:val="000000"/>
          <w:sz w:val="24"/>
          <w:szCs w:val="24"/>
        </w:rPr>
        <w:t xml:space="preserve"> selection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{"citationID":"afa64926","properties":{"unsorted":false,"formattedCitation":"(Brodersen et al., 2010; Bergmeir et al., 2018; Arnott et al., 2019; Bailey \u0026 López de Prado, 2014)","plainCitation":"(Brodersen et al., 2010; Bergmeir et al., 2018; Arnott et al., 2019; Bailey \u0026 López de Prado, 2014)","noteIndex":0},"citationItems":[{"id":23,"uris":["http://zotero.org/users/local/DPQnJvcs/items/MEQTKLIC"],"itemData":{"id":23,"type":"paper-conference","container-title":"2010 20th International Conference on Pattern Recognition","DOI":"10.1109/ICPR.2010.764","page":"3121–3124","title":"The Balanced Accuracy and Its Posterior Distribution","author":[{"family":"Brodersen","given":"Kay H."},{"family":"Ong","given":"Cheng Soon"},{"family":"Stephan","given":"Klaas E."},{"family":"Buhmann","given":"Joachim M."}],"issued":{"date-parts":[["2010"]]}}},{"id":24,"uris":["http://zotero.org/users/local/DPQnJvcs/items/HFFD8978"],"itemData":{"id":24,"type":"article-journal","container-title":"Computational Statistics \u0026 Data Analysis","DOI":"10.1016/j.csda.2017.11.003","page":"70–83","title":"A Note on the Validity of Cross-Validation for Evaluating Autoregressive Time Series Prediction","volume":"120","author":[{"family":"Bergmeir","given":"Christoph"},{"family":"Hyndman","given":"Rob J."},{"family":"Koo","given":"Bonsoo"}],"issued":{"date-parts":[["2018"]]}}},{"id":42,"uris":["http://zotero.org/users/local/DPQnJvcs/items/5GX5ZALM"],"itemData":{"id":42,"type":"article-journal","container-title":"The Journal of Financial Data Science","DOI":"10.3905/jfds.2019.1.064","issue":"1","page":"64–74","title":"A Backtesting Protocol in the Era of Machine Learning","volume":"1","author":[{"family":"Arnott","given":"Robert D."},{"family":"Harvey","given":"Campbell R."},{"family":"Markowitz","given":"Harry"}],"issued":{"date-parts":[["2019"]]}}},{"id":33,"uris":["http://zotero.org/users/local/DPQnJvcs/items/8Z849LRX"],"itemData":{"id":33,"type":"article-journal","container-title":"Artificial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Pr>
          <w:rFonts w:ascii="Times New Roman" w:eastAsia="Times New Roman" w:hAnsi="Times New Roman" w:cs="Times New Roman"/>
          <w:b/>
          <w:sz w:val="24"/>
          <w:szCs w:val="24"/>
        </w:rPr>
        <w:fldChar w:fldCharType="separate"/>
      </w:r>
      <w:r w:rsidRPr="004B02B2">
        <w:rPr>
          <w:rFonts w:ascii="Times New Roman" w:hAnsi="Times New Roman" w:cs="Times New Roman"/>
          <w:sz w:val="24"/>
        </w:rPr>
        <w:t>(Brodersen et al., 2010; Bergmeir et al., 2018; Arnott et al., 2019; Bailey &amp; López de Prado, 2014)</w:t>
      </w:r>
      <w:r>
        <w:rPr>
          <w:rFonts w:ascii="Times New Roman" w:eastAsia="Times New Roman" w:hAnsi="Times New Roman" w:cs="Times New Roman"/>
          <w:b/>
          <w:sz w:val="24"/>
          <w:szCs w:val="24"/>
        </w:rPr>
        <w:fldChar w:fldCharType="end"/>
      </w:r>
      <w:r w:rsidRPr="004B02B2">
        <w:rPr>
          <w:rFonts w:ascii="Times New Roman" w:hAnsi="Times New Roman" w:cs="Times New Roman"/>
          <w:color w:val="000000"/>
          <w:sz w:val="24"/>
          <w:szCs w:val="24"/>
        </w:rPr>
        <w:t>. The practical implication is that the framework is most useful as a reliability audit: it identifies which apparent gains remain plausible, which are architecture contingent and which require genuinely prospective confirmation before deployment claims are warranted.</w:t>
      </w:r>
    </w:p>
    <w:p w14:paraId="35273EF1" w14:textId="77777777" w:rsidR="00916F49" w:rsidRPr="004B02B2" w:rsidRDefault="004B02B2" w:rsidP="004B02B2">
      <w:pPr>
        <w:keepNext/>
        <w:keepLines/>
        <w:spacing w:before="240" w:line="360" w:lineRule="auto"/>
        <w:rPr>
          <w:rFonts w:ascii="Times New Roman" w:hAnsi="Times New Roman" w:cs="Times New Roman"/>
          <w:b/>
          <w:color w:val="000000"/>
          <w:sz w:val="24"/>
          <w:szCs w:val="24"/>
        </w:rPr>
      </w:pPr>
      <w:r w:rsidRPr="004B02B2">
        <w:rPr>
          <w:rFonts w:ascii="Times New Roman" w:hAnsi="Times New Roman" w:cs="Times New Roman"/>
          <w:b/>
          <w:color w:val="000000"/>
          <w:sz w:val="24"/>
          <w:szCs w:val="24"/>
        </w:rPr>
        <w:lastRenderedPageBreak/>
        <w:t>6. Conclusion</w:t>
      </w:r>
    </w:p>
    <w:p w14:paraId="3DA66A49" w14:textId="77777777" w:rsidR="00916F49" w:rsidRPr="00916F49" w:rsidRDefault="00916F49" w:rsidP="009960B6">
      <w:pPr>
        <w:spacing w:line="360" w:lineRule="auto"/>
        <w:ind w:firstLine="720"/>
        <w:jc w:val="both"/>
        <w:rPr>
          <w:rFonts w:ascii="Times New Roman" w:hAnsi="Times New Roman" w:cs="Times New Roman"/>
          <w:sz w:val="24"/>
          <w:szCs w:val="24"/>
        </w:rPr>
      </w:pPr>
      <w:r w:rsidRPr="00916F49">
        <w:rPr>
          <w:rFonts w:ascii="Times New Roman" w:hAnsi="Times New Roman" w:cs="Times New Roman"/>
          <w:sz w:val="24"/>
          <w:szCs w:val="24"/>
        </w:rPr>
        <w:t>Under a common point-in-time protocol, the five frozen architectures showed modest but architecture-dependent next-day SET50 directional structure rather than a universally superior configuration. Causal rolling VMD changed balanced accuracy by only -0.60 to +0.35 percentage points, predicted Local-NLP news did not survive the registered falsification and multiplicity controls and regime-specific SHAP improved CNN while producing mixed or negative effects elsewhere. The Bull/Bear/Leader system delivered a clear intrinsic sentiment advantage over compute-matched self-consistency, but that endpoint is distinct from downstream forecasting value. Partial-2026 testing exposed majority-side collapse in several objectives and frozen SET100 transfer weakened all five models. Collectively, the findings support the paper's central contribution: a reproducible audit framework that distinguishes selected component gains from improvements that remain reliable across time, architectures, controls and transfer settings.</w:t>
      </w:r>
    </w:p>
    <w:p w14:paraId="3448437B" w14:textId="77777777"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b/>
          <w:sz w:val="24"/>
          <w:szCs w:val="24"/>
        </w:rPr>
        <w:t>Limitations</w:t>
      </w:r>
      <w:r w:rsidR="0024759C">
        <w:rPr>
          <w:rFonts w:ascii="Times New Roman" w:hAnsi="Times New Roman" w:cs="Times New Roman"/>
          <w:sz w:val="24"/>
          <w:szCs w:val="24"/>
        </w:rPr>
        <w:t>:</w:t>
      </w:r>
      <w:r w:rsidRPr="00916F49">
        <w:rPr>
          <w:rFonts w:ascii="Times New Roman" w:hAnsi="Times New Roman" w:cs="Times New Roman"/>
          <w:sz w:val="24"/>
          <w:szCs w:val="24"/>
        </w:rPr>
        <w:t xml:space="preserve"> Temporal inference is based on four outer test years, so the exact sign-flip design has limited power and cannot establish small but consistent effects below its attainable p-value resolution. The 2026 sample is partial-year and source-contingent, SET100 is an overlapping same-exchange index rather than an independent market and news coverage varies in source, length, labelling and timestamp precision across periods. The LLM roles share one proprietary base </w:t>
      </w:r>
      <w:proofErr w:type="gramStart"/>
      <w:r w:rsidRPr="00916F49">
        <w:rPr>
          <w:rFonts w:ascii="Times New Roman" w:hAnsi="Times New Roman" w:cs="Times New Roman"/>
          <w:sz w:val="24"/>
          <w:szCs w:val="24"/>
        </w:rPr>
        <w:t>model</w:t>
      </w:r>
      <w:proofErr w:type="gramEnd"/>
      <w:r w:rsidRPr="00916F49">
        <w:rPr>
          <w:rFonts w:ascii="Times New Roman" w:hAnsi="Times New Roman" w:cs="Times New Roman"/>
          <w:sz w:val="24"/>
          <w:szCs w:val="24"/>
        </w:rPr>
        <w:t xml:space="preserve"> and intrinsic sentiment gains do not isolate debate as the unique mechanism or guarantee forecasting value. SHAP describes fitted-model attribution rather than causal market effects, while the low-fidelity LIME diagnostic limits feature-level interpretation. These constraints bound the claims to reliability under the audited SET setting rather than universal market predictability or deployment readiness.</w:t>
      </w:r>
    </w:p>
    <w:p w14:paraId="53519675" w14:textId="77777777"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b/>
          <w:sz w:val="24"/>
          <w:szCs w:val="24"/>
        </w:rPr>
        <w:t>Future work</w:t>
      </w:r>
      <w:r w:rsidR="0024759C">
        <w:rPr>
          <w:rFonts w:ascii="Times New Roman" w:hAnsi="Times New Roman" w:cs="Times New Roman"/>
          <w:sz w:val="24"/>
          <w:szCs w:val="24"/>
        </w:rPr>
        <w:t>:</w:t>
      </w:r>
      <w:r w:rsidRPr="00916F49">
        <w:rPr>
          <w:rFonts w:ascii="Times New Roman" w:hAnsi="Times New Roman" w:cs="Times New Roman"/>
          <w:sz w:val="24"/>
          <w:szCs w:val="24"/>
        </w:rPr>
        <w:t xml:space="preserve"> The next study should preregister the complete protocol before opening a full untouched forward year, evaluate at least one independent ASEAN or comparable emerging-market index and construct a consistently licensed point-in-time news archive with verifiable publication timestamps and constituent membership. The Leader-derived forecasting arm should be frozen and assessed on an identical common cohort with article coverage, latency, cost, failures and paired uncertainty reported alongside predictive metrics. Model development should then focus on a single prespecified architecture and calibration strategy, followed by prospective shadow evaluation, rather than further selection on the already inspected 2022-2026 outcomes.</w:t>
      </w:r>
    </w:p>
    <w:p w14:paraId="7C05D8FF" w14:textId="77777777" w:rsidR="00916F49" w:rsidRPr="00916F49" w:rsidRDefault="00916F49" w:rsidP="009960B6">
      <w:pPr>
        <w:spacing w:line="360" w:lineRule="auto"/>
        <w:rPr>
          <w:rFonts w:ascii="Times New Roman" w:hAnsi="Times New Roman" w:cs="Times New Roman"/>
          <w:b/>
          <w:sz w:val="24"/>
          <w:szCs w:val="24"/>
        </w:rPr>
      </w:pPr>
      <w:r w:rsidRPr="00D0143A">
        <w:rPr>
          <w:rFonts w:ascii="Times New Roman" w:hAnsi="Times New Roman" w:cs="Times New Roman"/>
          <w:b/>
          <w:sz w:val="24"/>
          <w:szCs w:val="24"/>
        </w:rPr>
        <w:lastRenderedPageBreak/>
        <w:t>Acknowledgements</w:t>
      </w:r>
    </w:p>
    <w:p w14:paraId="0762AE51" w14:textId="77777777"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The authors thank their respective institutions for providing the research environment in which this study was conducted.</w:t>
      </w:r>
    </w:p>
    <w:p w14:paraId="6FC620AE" w14:textId="77777777" w:rsidR="00916F49" w:rsidRPr="00916F49" w:rsidRDefault="00916F49" w:rsidP="009960B6">
      <w:pPr>
        <w:spacing w:line="360" w:lineRule="auto"/>
        <w:rPr>
          <w:rFonts w:ascii="Times New Roman" w:hAnsi="Times New Roman" w:cs="Times New Roman"/>
          <w:b/>
          <w:sz w:val="24"/>
          <w:szCs w:val="24"/>
        </w:rPr>
      </w:pPr>
      <w:r w:rsidRPr="00D0143A">
        <w:rPr>
          <w:rFonts w:ascii="Times New Roman" w:hAnsi="Times New Roman" w:cs="Times New Roman"/>
          <w:b/>
          <w:sz w:val="24"/>
          <w:szCs w:val="24"/>
        </w:rPr>
        <w:t>Reproducibility and data availability</w:t>
      </w:r>
    </w:p>
    <w:p w14:paraId="1EE0A973" w14:textId="77777777"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 xml:space="preserve">The reproducibility package contains the model and evaluation code, fixed seeds, architecture and window specifications, temporal split definitions, point-in-time data contracts, prompt and protocol hashes, aggregate outputs, runtime and cost ledgers and non-reconstructive integrity summaries. Raw SET50 and SET100 market rows are not redistributed; they can be obtained from the publicly accessible Investing.com </w:t>
      </w:r>
      <w:r w:rsidR="007949B2" w:rsidRPr="00916F49">
        <w:rPr>
          <w:rFonts w:ascii="Times New Roman" w:hAnsi="Times New Roman" w:cs="Times New Roman"/>
          <w:sz w:val="24"/>
          <w:szCs w:val="24"/>
        </w:rPr>
        <w:t>historical data</w:t>
      </w:r>
      <w:r w:rsidRPr="00916F49">
        <w:rPr>
          <w:rFonts w:ascii="Times New Roman" w:hAnsi="Times New Roman" w:cs="Times New Roman"/>
          <w:sz w:val="24"/>
          <w:szCs w:val="24"/>
        </w:rPr>
        <w:t xml:space="preserve"> pages subject to the provider's terms. Official 2024-2025 headlines remain subject to the Stock Exchange of Thailand website terms and Bilingual </w:t>
      </w:r>
      <w:proofErr w:type="spellStart"/>
      <w:r w:rsidRPr="00916F49">
        <w:rPr>
          <w:rFonts w:ascii="Times New Roman" w:hAnsi="Times New Roman" w:cs="Times New Roman"/>
          <w:sz w:val="24"/>
          <w:szCs w:val="24"/>
        </w:rPr>
        <w:t>StockTBSA</w:t>
      </w:r>
      <w:proofErr w:type="spellEnd"/>
      <w:r w:rsidRPr="00916F49">
        <w:rPr>
          <w:rFonts w:ascii="Times New Roman" w:hAnsi="Times New Roman" w:cs="Times New Roman"/>
          <w:sz w:val="24"/>
          <w:szCs w:val="24"/>
        </w:rPr>
        <w:t xml:space="preserve"> is available from its public repository under the </w:t>
      </w:r>
      <w:proofErr w:type="spellStart"/>
      <w:r w:rsidRPr="00916F49">
        <w:rPr>
          <w:rFonts w:ascii="Times New Roman" w:hAnsi="Times New Roman" w:cs="Times New Roman"/>
          <w:sz w:val="24"/>
          <w:szCs w:val="24"/>
        </w:rPr>
        <w:t>licence</w:t>
      </w:r>
      <w:proofErr w:type="spellEnd"/>
      <w:r w:rsidRPr="00916F49">
        <w:rPr>
          <w:rFonts w:ascii="Times New Roman" w:hAnsi="Times New Roman" w:cs="Times New Roman"/>
          <w:sz w:val="24"/>
          <w:szCs w:val="24"/>
        </w:rPr>
        <w:t xml:space="preserve"> stated in its dataset card. Processed artifacts are shared only when they do not permit reconstruction of restricted raw records. The archival repository URL or DOI will be added after deposit.</w:t>
      </w:r>
    </w:p>
    <w:p w14:paraId="2BD16C88" w14:textId="77777777" w:rsidR="00B76A4C" w:rsidRDefault="001539DB" w:rsidP="009960B6">
      <w:pPr>
        <w:keepNext/>
        <w:keepLines/>
        <w:spacing w:before="240" w:line="360" w:lineRule="auto"/>
        <w:rPr>
          <w:rFonts w:ascii="Times New Roman" w:hAnsi="Times New Roman" w:cs="Times New Roman"/>
          <w:b/>
          <w:sz w:val="24"/>
          <w:szCs w:val="24"/>
        </w:rPr>
      </w:pPr>
      <w:r w:rsidRPr="00D0143A">
        <w:rPr>
          <w:rFonts w:ascii="Times New Roman" w:hAnsi="Times New Roman" w:cs="Times New Roman"/>
          <w:b/>
          <w:sz w:val="24"/>
          <w:szCs w:val="24"/>
        </w:rPr>
        <w:t>References</w:t>
      </w:r>
    </w:p>
    <w:p w14:paraId="1C3D6963" w14:textId="77777777" w:rsidR="001B5519" w:rsidRPr="0024759C" w:rsidRDefault="00100CEA"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b/>
          <w:sz w:val="24"/>
          <w:szCs w:val="24"/>
        </w:rPr>
        <w:fldChar w:fldCharType="begin"/>
      </w:r>
      <w:r w:rsidRPr="0024759C">
        <w:rPr>
          <w:rFonts w:ascii="Times New Roman" w:hAnsi="Times New Roman" w:cs="Times New Roman"/>
          <w:b/>
          <w:sz w:val="24"/>
          <w:szCs w:val="24"/>
        </w:rPr>
        <w:instrText xml:space="preserve"> ADDIN ZOTERO_BIBL {"uncited":[],"omitted":[],"custom":[]} CSL_BIBLIOGRAPHY </w:instrText>
      </w:r>
      <w:r w:rsidRPr="0024759C">
        <w:rPr>
          <w:rFonts w:ascii="Times New Roman" w:hAnsi="Times New Roman" w:cs="Times New Roman"/>
          <w:b/>
          <w:sz w:val="24"/>
          <w:szCs w:val="24"/>
        </w:rPr>
        <w:fldChar w:fldCharType="separate"/>
      </w:r>
      <w:r w:rsidR="001B5519" w:rsidRPr="0024759C">
        <w:rPr>
          <w:rFonts w:ascii="Times New Roman" w:hAnsi="Times New Roman" w:cs="Times New Roman"/>
          <w:sz w:val="24"/>
          <w:szCs w:val="24"/>
        </w:rPr>
        <w:t xml:space="preserve">Adebayo, J., Gilmer, J., Muelly, M., Goodfellow, I., Hardt, M., &amp; Kim, B. (2018). Sanity Checks for Saliency Maps. </w:t>
      </w:r>
      <w:r w:rsidR="001B5519" w:rsidRPr="0024759C">
        <w:rPr>
          <w:rFonts w:ascii="Times New Roman" w:hAnsi="Times New Roman" w:cs="Times New Roman"/>
          <w:i/>
          <w:iCs/>
          <w:sz w:val="24"/>
          <w:szCs w:val="24"/>
        </w:rPr>
        <w:t>Advances in Neural Information Processing Systems</w:t>
      </w:r>
      <w:r w:rsidR="001B5519" w:rsidRPr="0024759C">
        <w:rPr>
          <w:rFonts w:ascii="Times New Roman" w:hAnsi="Times New Roman" w:cs="Times New Roman"/>
          <w:sz w:val="24"/>
          <w:szCs w:val="24"/>
        </w:rPr>
        <w:t xml:space="preserve">, </w:t>
      </w:r>
      <w:r w:rsidR="001B5519" w:rsidRPr="0024759C">
        <w:rPr>
          <w:rFonts w:ascii="Times New Roman" w:hAnsi="Times New Roman" w:cs="Times New Roman"/>
          <w:i/>
          <w:iCs/>
          <w:sz w:val="24"/>
          <w:szCs w:val="24"/>
        </w:rPr>
        <w:t>31</w:t>
      </w:r>
      <w:r w:rsidR="001B5519" w:rsidRPr="0024759C">
        <w:rPr>
          <w:rFonts w:ascii="Times New Roman" w:hAnsi="Times New Roman" w:cs="Times New Roman"/>
          <w:sz w:val="24"/>
          <w:szCs w:val="24"/>
        </w:rPr>
        <w:t>. https://proceedings.neurips.cc/paper_files/paper/2018/hash/294a8ed24b1ad22ec2e7efea049b8737-Abstract.html</w:t>
      </w:r>
    </w:p>
    <w:p w14:paraId="7B00B57B"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Arnott, R. D., Harvey, C. R., &amp; Markowitz, H. (2019). A Backtesting Protocol in the Era of Machine Learning. </w:t>
      </w:r>
      <w:r w:rsidRPr="0024759C">
        <w:rPr>
          <w:rFonts w:ascii="Times New Roman" w:hAnsi="Times New Roman" w:cs="Times New Roman"/>
          <w:i/>
          <w:iCs/>
          <w:sz w:val="24"/>
          <w:szCs w:val="24"/>
        </w:rPr>
        <w:t>The Journal of Financial Data Science</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w:t>
      </w:r>
      <w:r w:rsidRPr="0024759C">
        <w:rPr>
          <w:rFonts w:ascii="Times New Roman" w:hAnsi="Times New Roman" w:cs="Times New Roman"/>
          <w:sz w:val="24"/>
          <w:szCs w:val="24"/>
        </w:rPr>
        <w:t>(1), 64–74. https://doi.org/10.3905/jfds.2019.1.064</w:t>
      </w:r>
    </w:p>
    <w:p w14:paraId="653F2A90"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Bailey, D. H., &amp; López de Prado, M. (2014). The Deflated Sharpe Ratio: Correcting for Selection Bias, Backtest Overfitting, and Non-Normality. </w:t>
      </w:r>
      <w:r w:rsidRPr="0024759C">
        <w:rPr>
          <w:rFonts w:ascii="Times New Roman" w:hAnsi="Times New Roman" w:cs="Times New Roman"/>
          <w:i/>
          <w:iCs/>
          <w:sz w:val="24"/>
          <w:szCs w:val="24"/>
        </w:rPr>
        <w:t>The Journal of Portfolio Management</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40</w:t>
      </w:r>
      <w:r w:rsidRPr="0024759C">
        <w:rPr>
          <w:rFonts w:ascii="Times New Roman" w:hAnsi="Times New Roman" w:cs="Times New Roman"/>
          <w:sz w:val="24"/>
          <w:szCs w:val="24"/>
        </w:rPr>
        <w:t>(5), 94–107. https://doi.org/10.3905/jpm.2014.40.5.094</w:t>
      </w:r>
    </w:p>
    <w:p w14:paraId="4350D252"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Bergmeir, C., Hyndman, R. J., &amp; Koo, B. (2018). A Note on the Validity of Cross-Validation for Evaluating Autoregressive Time Series Prediction. </w:t>
      </w:r>
      <w:r w:rsidRPr="0024759C">
        <w:rPr>
          <w:rFonts w:ascii="Times New Roman" w:hAnsi="Times New Roman" w:cs="Times New Roman"/>
          <w:i/>
          <w:iCs/>
          <w:sz w:val="24"/>
          <w:szCs w:val="24"/>
        </w:rPr>
        <w:t>Computational Statistics &amp; Data Analysis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120</w:t>
      </w:r>
      <w:r w:rsidRPr="0024759C">
        <w:rPr>
          <w:rFonts w:ascii="Times New Roman" w:hAnsi="Times New Roman" w:cs="Times New Roman"/>
          <w:sz w:val="24"/>
          <w:szCs w:val="24"/>
        </w:rPr>
        <w:t>, 70–83. https://doi.org/10.1016/j.csda.2017.11.003</w:t>
      </w:r>
    </w:p>
    <w:p w14:paraId="0EA15EDF"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lastRenderedPageBreak/>
        <w:t xml:space="preserve">Brodersen, K. H., Ong, C. S., Stephan, K. E., &amp; Buhmann, J. M. (2010). The Balanced Accuracy and Its Posterior Distribution. </w:t>
      </w:r>
      <w:r w:rsidRPr="0024759C">
        <w:rPr>
          <w:rFonts w:ascii="Times New Roman" w:hAnsi="Times New Roman" w:cs="Times New Roman"/>
          <w:i/>
          <w:iCs/>
          <w:sz w:val="24"/>
          <w:szCs w:val="24"/>
        </w:rPr>
        <w:t>2010 20th International Conference on Pattern Recognition</w:t>
      </w:r>
      <w:r w:rsidRPr="0024759C">
        <w:rPr>
          <w:rFonts w:ascii="Times New Roman" w:hAnsi="Times New Roman" w:cs="Times New Roman"/>
          <w:sz w:val="24"/>
          <w:szCs w:val="24"/>
        </w:rPr>
        <w:t>, 3121–3124. https://doi.org/10.1109/ICPR.2010.764</w:t>
      </w:r>
    </w:p>
    <w:p w14:paraId="5FC144A3"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Dong, Y., Wu, F., Zhang, K., Dai, Y., Zhang, S., Ye, W., Chen, S., &amp; Cheng, Z.-Q. (2025). Large Language Model Agents in Finance: A Survey Bridging Research, Practice, and Real-World Deployment. </w:t>
      </w:r>
      <w:r w:rsidRPr="0024759C">
        <w:rPr>
          <w:rFonts w:ascii="Times New Roman" w:hAnsi="Times New Roman" w:cs="Times New Roman"/>
          <w:i/>
          <w:iCs/>
          <w:sz w:val="24"/>
          <w:szCs w:val="24"/>
        </w:rPr>
        <w:t>Findings of the Association for Computational Linguistics: EMNLP 2025</w:t>
      </w:r>
      <w:r w:rsidRPr="0024759C">
        <w:rPr>
          <w:rFonts w:ascii="Times New Roman" w:hAnsi="Times New Roman" w:cs="Times New Roman"/>
          <w:sz w:val="24"/>
          <w:szCs w:val="24"/>
        </w:rPr>
        <w:t>, 17889–17907. https://doi.org/10.18653/v1/2025.findings-emnlp.972</w:t>
      </w:r>
    </w:p>
    <w:p w14:paraId="147300D4"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Dragomiretskiy, K., &amp; Zosso, D. (2014). Variational Mode Decomposition. </w:t>
      </w:r>
      <w:r w:rsidRPr="0024759C">
        <w:rPr>
          <w:rFonts w:ascii="Times New Roman" w:hAnsi="Times New Roman" w:cs="Times New Roman"/>
          <w:i/>
          <w:iCs/>
          <w:sz w:val="24"/>
          <w:szCs w:val="24"/>
        </w:rPr>
        <w:t>IEEE Transactions on Signal Processing</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62</w:t>
      </w:r>
      <w:r w:rsidRPr="0024759C">
        <w:rPr>
          <w:rFonts w:ascii="Times New Roman" w:hAnsi="Times New Roman" w:cs="Times New Roman"/>
          <w:sz w:val="24"/>
          <w:szCs w:val="24"/>
        </w:rPr>
        <w:t>(3), 531–544. https://doi.org/10.1109/TSP.2013.2288675</w:t>
      </w:r>
    </w:p>
    <w:p w14:paraId="1AF36FCD"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Du, Y., Li, S., Torralba, A., Tenenbaum, J. B., &amp; Mordatch, I. (2024). Improving Factuality and Reasoning in Language Models through Multiagent Debate. </w:t>
      </w:r>
      <w:r w:rsidRPr="0024759C">
        <w:rPr>
          <w:rFonts w:ascii="Times New Roman" w:hAnsi="Times New Roman" w:cs="Times New Roman"/>
          <w:i/>
          <w:iCs/>
          <w:sz w:val="24"/>
          <w:szCs w:val="24"/>
        </w:rPr>
        <w:t>Proceedings of the 41st International Conference on Machine Learning, Proceedings of Machine Learning Research</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235</w:t>
      </w:r>
      <w:r w:rsidRPr="0024759C">
        <w:rPr>
          <w:rFonts w:ascii="Times New Roman" w:hAnsi="Times New Roman" w:cs="Times New Roman"/>
          <w:sz w:val="24"/>
          <w:szCs w:val="24"/>
        </w:rPr>
        <w:t>, 11733–11763. https://proceedings.mlr.press/v235/du24e.html</w:t>
      </w:r>
    </w:p>
    <w:p w14:paraId="0814DA73"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Fama, E. F. (1970). Efficient Capital Markets: A Review of Theory and Empirical Work. </w:t>
      </w:r>
      <w:r w:rsidRPr="0024759C">
        <w:rPr>
          <w:rFonts w:ascii="Times New Roman" w:hAnsi="Times New Roman" w:cs="Times New Roman"/>
          <w:i/>
          <w:iCs/>
          <w:sz w:val="24"/>
          <w:szCs w:val="24"/>
        </w:rPr>
        <w:t>The Journal of Finance</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25</w:t>
      </w:r>
      <w:r w:rsidRPr="0024759C">
        <w:rPr>
          <w:rFonts w:ascii="Times New Roman" w:hAnsi="Times New Roman" w:cs="Times New Roman"/>
          <w:sz w:val="24"/>
          <w:szCs w:val="24"/>
        </w:rPr>
        <w:t>(2), 383–417. https://doi.org/10.1111/j.1540-6261.1970.tb00518.x</w:t>
      </w:r>
    </w:p>
    <w:p w14:paraId="230D327D"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Fischer, T., &amp; Krauss, C. (2018). Deep Learning with Long Short-Term Memory Networks for Financial Market Predictions. </w:t>
      </w:r>
      <w:r w:rsidRPr="0024759C">
        <w:rPr>
          <w:rFonts w:ascii="Times New Roman" w:hAnsi="Times New Roman" w:cs="Times New Roman"/>
          <w:i/>
          <w:iCs/>
          <w:sz w:val="24"/>
          <w:szCs w:val="24"/>
        </w:rPr>
        <w:t>European Journal of Operational Research</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270</w:t>
      </w:r>
      <w:r w:rsidRPr="0024759C">
        <w:rPr>
          <w:rFonts w:ascii="Times New Roman" w:hAnsi="Times New Roman" w:cs="Times New Roman"/>
          <w:sz w:val="24"/>
          <w:szCs w:val="24"/>
        </w:rPr>
        <w:t>(2), 654–669. https://doi.org/10.1016/j.ejor.2017.11.054</w:t>
      </w:r>
    </w:p>
    <w:p w14:paraId="4C56AE8A"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Hochreiter, S., &amp; Schmidhuber, J. (1997). Long Short-Term Memory. </w:t>
      </w:r>
      <w:r w:rsidRPr="0024759C">
        <w:rPr>
          <w:rFonts w:ascii="Times New Roman" w:hAnsi="Times New Roman" w:cs="Times New Roman"/>
          <w:i/>
          <w:iCs/>
          <w:sz w:val="24"/>
          <w:szCs w:val="24"/>
        </w:rPr>
        <w:t>Neural Computation</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9</w:t>
      </w:r>
      <w:r w:rsidRPr="0024759C">
        <w:rPr>
          <w:rFonts w:ascii="Times New Roman" w:hAnsi="Times New Roman" w:cs="Times New Roman"/>
          <w:sz w:val="24"/>
          <w:szCs w:val="24"/>
        </w:rPr>
        <w:t>(8), 1735–1780. https://doi.org/10.1162/neco.1997.9.8.1735</w:t>
      </w:r>
    </w:p>
    <w:p w14:paraId="3472C8C3"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Holm, S. (1979). A Simple Sequentially Rejective Multiple Test Procedure. </w:t>
      </w:r>
      <w:r w:rsidRPr="0024759C">
        <w:rPr>
          <w:rFonts w:ascii="Times New Roman" w:hAnsi="Times New Roman" w:cs="Times New Roman"/>
          <w:i/>
          <w:iCs/>
          <w:sz w:val="24"/>
          <w:szCs w:val="24"/>
        </w:rPr>
        <w:t>Scandinavian Journal of Statistics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6</w:t>
      </w:r>
      <w:r w:rsidRPr="0024759C">
        <w:rPr>
          <w:rFonts w:ascii="Times New Roman" w:hAnsi="Times New Roman" w:cs="Times New Roman"/>
          <w:sz w:val="24"/>
          <w:szCs w:val="24"/>
        </w:rPr>
        <w:t>(2), 65–70. https://doi.org/10.2307/4615733</w:t>
      </w:r>
    </w:p>
    <w:p w14:paraId="328CB882"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Hoseinzade, E., &amp; Haratizadeh, S. (2019). CNNpred: CNN-Based Stock Market Prediction Using a Diverse Set of Variables. </w:t>
      </w:r>
      <w:r w:rsidRPr="0024759C">
        <w:rPr>
          <w:rFonts w:ascii="Times New Roman" w:hAnsi="Times New Roman" w:cs="Times New Roman"/>
          <w:i/>
          <w:iCs/>
          <w:sz w:val="24"/>
          <w:szCs w:val="24"/>
        </w:rPr>
        <w:t>Expert Systems with Applications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129</w:t>
      </w:r>
      <w:r w:rsidRPr="0024759C">
        <w:rPr>
          <w:rFonts w:ascii="Times New Roman" w:hAnsi="Times New Roman" w:cs="Times New Roman"/>
          <w:sz w:val="24"/>
          <w:szCs w:val="24"/>
        </w:rPr>
        <w:t>, 273–285. https://doi.org/10.1016/j.eswa.2019.03.029</w:t>
      </w:r>
    </w:p>
    <w:p w14:paraId="5B8F1AA2"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Investing.com. (n.d.-a). </w:t>
      </w:r>
      <w:r w:rsidRPr="0024759C">
        <w:rPr>
          <w:rFonts w:ascii="Times New Roman" w:hAnsi="Times New Roman" w:cs="Times New Roman"/>
          <w:i/>
          <w:iCs/>
          <w:sz w:val="24"/>
          <w:szCs w:val="24"/>
        </w:rPr>
        <w:t>SET 50 Historical Data</w:t>
      </w:r>
      <w:r w:rsidRPr="0024759C">
        <w:rPr>
          <w:rFonts w:ascii="Times New Roman" w:hAnsi="Times New Roman" w:cs="Times New Roman"/>
          <w:sz w:val="24"/>
          <w:szCs w:val="24"/>
        </w:rPr>
        <w:t>. Retrieved https://th.investing.com/indices/set-50-historical-data</w:t>
      </w:r>
    </w:p>
    <w:p w14:paraId="1BFD96AA"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lastRenderedPageBreak/>
        <w:t xml:space="preserve">Investing.com. (n.d.-b). </w:t>
      </w:r>
      <w:r w:rsidRPr="0024759C">
        <w:rPr>
          <w:rFonts w:ascii="Times New Roman" w:hAnsi="Times New Roman" w:cs="Times New Roman"/>
          <w:i/>
          <w:iCs/>
          <w:sz w:val="24"/>
          <w:szCs w:val="24"/>
        </w:rPr>
        <w:t>SET 100 Historical Data</w:t>
      </w:r>
      <w:r w:rsidRPr="0024759C">
        <w:rPr>
          <w:rFonts w:ascii="Times New Roman" w:hAnsi="Times New Roman" w:cs="Times New Roman"/>
          <w:sz w:val="24"/>
          <w:szCs w:val="24"/>
        </w:rPr>
        <w:t>. Retrieved https://www.investing.com/indices/set-100-historical-data</w:t>
      </w:r>
    </w:p>
    <w:p w14:paraId="6A89BB1E"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Liang, T., He, Z., Jiao, W., Wang, X., Wang, Y., Wang, R., Yang, Y., Shi, S., &amp; Tu, Z. (2024). Encouraging Divergent Thinking in Large Language Models through Multi-Agent Debate. </w:t>
      </w:r>
      <w:r w:rsidRPr="0024759C">
        <w:rPr>
          <w:rFonts w:ascii="Times New Roman" w:hAnsi="Times New Roman" w:cs="Times New Roman"/>
          <w:i/>
          <w:iCs/>
          <w:sz w:val="24"/>
          <w:szCs w:val="24"/>
        </w:rPr>
        <w:t>Proceedings of the 2024 Conference on Empirical Methods in Natural Language Processing</w:t>
      </w:r>
      <w:r w:rsidRPr="0024759C">
        <w:rPr>
          <w:rFonts w:ascii="Times New Roman" w:hAnsi="Times New Roman" w:cs="Times New Roman"/>
          <w:sz w:val="24"/>
          <w:szCs w:val="24"/>
        </w:rPr>
        <w:t>, 17889–17904. https://doi.org/10.18653/v1/2024.emnlp-main.992</w:t>
      </w:r>
    </w:p>
    <w:p w14:paraId="40DC530D"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Liu, T., Ma, X., Li, S., Li, X., &amp; Zhang, C. (2022). A Stock Price Prediction Method Based on Meta-Learning and Variational Mode Decomposition. </w:t>
      </w:r>
      <w:r w:rsidRPr="0024759C">
        <w:rPr>
          <w:rFonts w:ascii="Times New Roman" w:hAnsi="Times New Roman" w:cs="Times New Roman"/>
          <w:i/>
          <w:iCs/>
          <w:sz w:val="24"/>
          <w:szCs w:val="24"/>
        </w:rPr>
        <w:t>Knowledge-Based Systems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252</w:t>
      </w:r>
      <w:r w:rsidRPr="0024759C">
        <w:rPr>
          <w:rFonts w:ascii="Times New Roman" w:hAnsi="Times New Roman" w:cs="Times New Roman"/>
          <w:sz w:val="24"/>
          <w:szCs w:val="24"/>
        </w:rPr>
        <w:t>, 109324. https://doi.org/10.1016/j.knosys.2022.109324</w:t>
      </w:r>
    </w:p>
    <w:p w14:paraId="5F6AFBCD"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Liu, W.-J., Ge, Y.-B., &amp; Gu, Y.-C. (2024). News-Driven Stock Market Index Prediction Based on Trellis Network and Sentiment Attention Mechanism. </w:t>
      </w:r>
      <w:r w:rsidRPr="0024759C">
        <w:rPr>
          <w:rFonts w:ascii="Times New Roman" w:hAnsi="Times New Roman" w:cs="Times New Roman"/>
          <w:i/>
          <w:iCs/>
          <w:sz w:val="24"/>
          <w:szCs w:val="24"/>
        </w:rPr>
        <w:t>Expert Systems with Applications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250</w:t>
      </w:r>
      <w:r w:rsidRPr="0024759C">
        <w:rPr>
          <w:rFonts w:ascii="Times New Roman" w:hAnsi="Times New Roman" w:cs="Times New Roman"/>
          <w:sz w:val="24"/>
          <w:szCs w:val="24"/>
        </w:rPr>
        <w:t>, 123966. https://doi.org/10.1016/j.eswa.2024.123966</w:t>
      </w:r>
    </w:p>
    <w:p w14:paraId="264ADEC3"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Liu, Y., Huang, S., Tian, X., Zhang, F., Zhao, F., &amp; Zhang, C. (2024). A Stock Series Prediction Model Based on Variational Mode Decomposition and Dual-Channel Attention Network. </w:t>
      </w:r>
      <w:r w:rsidRPr="0024759C">
        <w:rPr>
          <w:rFonts w:ascii="Times New Roman" w:hAnsi="Times New Roman" w:cs="Times New Roman"/>
          <w:i/>
          <w:iCs/>
          <w:sz w:val="24"/>
          <w:szCs w:val="24"/>
        </w:rPr>
        <w:t>Expert Systems with Applications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238</w:t>
      </w:r>
      <w:r w:rsidRPr="0024759C">
        <w:rPr>
          <w:rFonts w:ascii="Times New Roman" w:hAnsi="Times New Roman" w:cs="Times New Roman"/>
          <w:sz w:val="24"/>
          <w:szCs w:val="24"/>
        </w:rPr>
        <w:t>, 121708. https://doi.org/10.1016/j.eswa.2023.121708</w:t>
      </w:r>
    </w:p>
    <w:p w14:paraId="215098E9"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Lundberg, S. M., &amp; Lee, S.-I. (2017). A Unified Approach to Interpreting Model Predictions. </w:t>
      </w:r>
      <w:r w:rsidRPr="0024759C">
        <w:rPr>
          <w:rFonts w:ascii="Times New Roman" w:hAnsi="Times New Roman" w:cs="Times New Roman"/>
          <w:i/>
          <w:iCs/>
          <w:sz w:val="24"/>
          <w:szCs w:val="24"/>
        </w:rPr>
        <w:t>Advances in Neural Information Processing Systems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30</w:t>
      </w:r>
      <w:r w:rsidRPr="0024759C">
        <w:rPr>
          <w:rFonts w:ascii="Times New Roman" w:hAnsi="Times New Roman" w:cs="Times New Roman"/>
          <w:sz w:val="24"/>
          <w:szCs w:val="24"/>
        </w:rPr>
        <w:t>. https://proceedings.neurips.cc/paper_files/paper/2017/hash/8a20a8621978632d76c43dfd28b67767-Abstract.html</w:t>
      </w:r>
    </w:p>
    <w:p w14:paraId="2C06F3B8"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Luo, D., Liao, W., Li, S., Cheng, X., &amp; Yan, R. (2023). Causality-Guided Multi-Memory Interaction Network for Multivariate Stock Price Movement Prediction. </w:t>
      </w:r>
      <w:r w:rsidRPr="0024759C">
        <w:rPr>
          <w:rFonts w:ascii="Times New Roman" w:hAnsi="Times New Roman" w:cs="Times New Roman"/>
          <w:i/>
          <w:iCs/>
          <w:sz w:val="24"/>
          <w:szCs w:val="24"/>
        </w:rPr>
        <w:t>Proceedings of the 61st Annual Meeting of the Association for Computational Linguistics (Volume 1: Long Papers)</w:t>
      </w:r>
      <w:r w:rsidRPr="0024759C">
        <w:rPr>
          <w:rFonts w:ascii="Times New Roman" w:hAnsi="Times New Roman" w:cs="Times New Roman"/>
          <w:sz w:val="24"/>
          <w:szCs w:val="24"/>
        </w:rPr>
        <w:t>, 12164–12176. https://doi.org/10.18653/v1/2023.acl-long.679</w:t>
      </w:r>
    </w:p>
    <w:p w14:paraId="21C0A1DA"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Moskowitz, T. J., Ooi, Y. H., &amp; Pedersen, L. H. (2012). Time Series Momentum. </w:t>
      </w:r>
      <w:r w:rsidRPr="0024759C">
        <w:rPr>
          <w:rFonts w:ascii="Times New Roman" w:hAnsi="Times New Roman" w:cs="Times New Roman"/>
          <w:i/>
          <w:iCs/>
          <w:sz w:val="24"/>
          <w:szCs w:val="24"/>
        </w:rPr>
        <w:t>Journal of Financial Economics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104</w:t>
      </w:r>
      <w:r w:rsidRPr="0024759C">
        <w:rPr>
          <w:rFonts w:ascii="Times New Roman" w:hAnsi="Times New Roman" w:cs="Times New Roman"/>
          <w:sz w:val="24"/>
          <w:szCs w:val="24"/>
        </w:rPr>
        <w:t>(2), 228–250. https://doi.org/10.1016/j.jfineco.2011.11.003</w:t>
      </w:r>
    </w:p>
    <w:p w14:paraId="760DF106"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Olorunnimbe, K., &amp; Viktor, H. (2023). Deep Learning in the Stock Market—A Systematic Survey of Practice, Backtesting, and Applications. </w:t>
      </w:r>
      <w:r w:rsidRPr="0024759C">
        <w:rPr>
          <w:rFonts w:ascii="Times New Roman" w:hAnsi="Times New Roman" w:cs="Times New Roman"/>
          <w:i/>
          <w:iCs/>
          <w:sz w:val="24"/>
          <w:szCs w:val="24"/>
        </w:rPr>
        <w:t>Artificial Intelligence Review</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56</w:t>
      </w:r>
      <w:r w:rsidRPr="0024759C">
        <w:rPr>
          <w:rFonts w:ascii="Times New Roman" w:hAnsi="Times New Roman" w:cs="Times New Roman"/>
          <w:sz w:val="24"/>
          <w:szCs w:val="24"/>
        </w:rPr>
        <w:t>(3), 2057–2109. https://doi.org/10.1007/s10462-022-10226-0</w:t>
      </w:r>
    </w:p>
    <w:p w14:paraId="0FE4624D"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lastRenderedPageBreak/>
        <w:t xml:space="preserve">Pagan, A. R., &amp; Sossounov, K. A. (2003). A Simple Framework for Analysing Bull and Bear Markets. </w:t>
      </w:r>
      <w:r w:rsidRPr="0024759C">
        <w:rPr>
          <w:rFonts w:ascii="Times New Roman" w:hAnsi="Times New Roman" w:cs="Times New Roman"/>
          <w:i/>
          <w:iCs/>
          <w:sz w:val="24"/>
          <w:szCs w:val="24"/>
        </w:rPr>
        <w:t>Journal of Applied Econometrics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18</w:t>
      </w:r>
      <w:r w:rsidRPr="0024759C">
        <w:rPr>
          <w:rFonts w:ascii="Times New Roman" w:hAnsi="Times New Roman" w:cs="Times New Roman"/>
          <w:sz w:val="24"/>
          <w:szCs w:val="24"/>
        </w:rPr>
        <w:t>(1), 23–46. https://doi.org/10.1002/jae.664</w:t>
      </w:r>
    </w:p>
    <w:p w14:paraId="479BE5D6"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Politis, D. N., &amp; Romano, J. P. (1992). A Circular Block-Resampling Procedure for Stationary Data. In R. LePage &amp; L. Billard (Eds.), </w:t>
      </w:r>
      <w:r w:rsidRPr="0024759C">
        <w:rPr>
          <w:rFonts w:ascii="Times New Roman" w:hAnsi="Times New Roman" w:cs="Times New Roman"/>
          <w:i/>
          <w:iCs/>
          <w:sz w:val="24"/>
          <w:szCs w:val="24"/>
        </w:rPr>
        <w:t>Exploring the Limits of Bootstrap</w:t>
      </w:r>
      <w:r w:rsidRPr="0024759C">
        <w:rPr>
          <w:rFonts w:ascii="Times New Roman" w:hAnsi="Times New Roman" w:cs="Times New Roman"/>
          <w:sz w:val="24"/>
          <w:szCs w:val="24"/>
        </w:rPr>
        <w:t xml:space="preserve"> (pp. 263–270). John Wiley &amp; Sons.</w:t>
      </w:r>
    </w:p>
    <w:p w14:paraId="42CD0F9E"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Qin, Y., Song, D., Chen, H., Cheng, W., Jiang, G., &amp; Cottrell, G. W. (2017). A Dual-Stage Attention-Based Recurrent Neural Network for Time Series Prediction. </w:t>
      </w:r>
      <w:r w:rsidRPr="0024759C">
        <w:rPr>
          <w:rFonts w:ascii="Times New Roman" w:hAnsi="Times New Roman" w:cs="Times New Roman"/>
          <w:i/>
          <w:iCs/>
          <w:sz w:val="24"/>
          <w:szCs w:val="24"/>
        </w:rPr>
        <w:t>Proceedings of the Twenty-Sixth International Joint Conference on Artificial Intelligence</w:t>
      </w:r>
      <w:r w:rsidRPr="0024759C">
        <w:rPr>
          <w:rFonts w:ascii="Times New Roman" w:hAnsi="Times New Roman" w:cs="Times New Roman"/>
          <w:sz w:val="24"/>
          <w:szCs w:val="24"/>
        </w:rPr>
        <w:t>, 2627–2633. https://doi.org/10.24963/ijcai.2017/366</w:t>
      </w:r>
    </w:p>
    <w:p w14:paraId="4FDD082C"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Ribeiro, M. T., Singh, S., &amp; Guestrin, C. (2016). “Why Should I Trust You?”: Explaining the Predictions of Any Classifier. </w:t>
      </w:r>
      <w:r w:rsidRPr="0024759C">
        <w:rPr>
          <w:rFonts w:ascii="Times New Roman" w:hAnsi="Times New Roman" w:cs="Times New Roman"/>
          <w:i/>
          <w:iCs/>
          <w:sz w:val="24"/>
          <w:szCs w:val="24"/>
        </w:rPr>
        <w:t>Proceedings of the 22nd ACM SIGKDD International Conference on Knowledge Discovery and Data Mining</w:t>
      </w:r>
      <w:r w:rsidRPr="0024759C">
        <w:rPr>
          <w:rFonts w:ascii="Times New Roman" w:hAnsi="Times New Roman" w:cs="Times New Roman"/>
          <w:sz w:val="24"/>
          <w:szCs w:val="24"/>
        </w:rPr>
        <w:t>, 1135–1144. https://doi.org/10.1145/2939672.2939778</w:t>
      </w:r>
    </w:p>
    <w:p w14:paraId="6D8F6FC6"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Sawhney, R., Agarwal, S., Wadhwa, A., &amp; Shah, R. R. (2020). Deep Attentive Learning for Stock Movement Prediction From Social Media Text and Company Correlations. </w:t>
      </w:r>
      <w:r w:rsidRPr="0024759C">
        <w:rPr>
          <w:rFonts w:ascii="Times New Roman" w:hAnsi="Times New Roman" w:cs="Times New Roman"/>
          <w:i/>
          <w:iCs/>
          <w:sz w:val="24"/>
          <w:szCs w:val="24"/>
        </w:rPr>
        <w:t>Proceedings of the 2020 Conference on Empirical Methods in Natural Language Processing</w:t>
      </w:r>
      <w:r w:rsidRPr="0024759C">
        <w:rPr>
          <w:rFonts w:ascii="Times New Roman" w:hAnsi="Times New Roman" w:cs="Times New Roman"/>
          <w:sz w:val="24"/>
          <w:szCs w:val="24"/>
        </w:rPr>
        <w:t>, 8415–8426. https://doi.org/10.18653/v1/2020.emnlp-main.676</w:t>
      </w:r>
    </w:p>
    <w:p w14:paraId="32BFFF6F"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Sezer, O. B., Gudelek, M. U., &amp; Ozbayoglu, A. M. (2020). Financial Time Series Forecasting with Deep Learning: A Systematic Literature Review: 2005–2019. </w:t>
      </w:r>
      <w:r w:rsidRPr="0024759C">
        <w:rPr>
          <w:rFonts w:ascii="Times New Roman" w:hAnsi="Times New Roman" w:cs="Times New Roman"/>
          <w:i/>
          <w:iCs/>
          <w:sz w:val="24"/>
          <w:szCs w:val="24"/>
        </w:rPr>
        <w:t>Applied Soft Computing</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90</w:t>
      </w:r>
      <w:r w:rsidRPr="0024759C">
        <w:rPr>
          <w:rFonts w:ascii="Times New Roman" w:hAnsi="Times New Roman" w:cs="Times New Roman"/>
          <w:sz w:val="24"/>
          <w:szCs w:val="24"/>
        </w:rPr>
        <w:t>, 106181. https://doi.org/10.1016/j.asoc.2020.106181</w:t>
      </w:r>
    </w:p>
    <w:p w14:paraId="0AB70C96"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The Stock Exchange of Thailand. (n.d.-a). </w:t>
      </w:r>
      <w:r w:rsidRPr="0024759C">
        <w:rPr>
          <w:rFonts w:ascii="Times New Roman" w:hAnsi="Times New Roman" w:cs="Times New Roman"/>
          <w:i/>
          <w:iCs/>
          <w:sz w:val="24"/>
          <w:szCs w:val="24"/>
        </w:rPr>
        <w:t>SET50 Index and SET50FF Index Profile</w:t>
      </w:r>
      <w:r w:rsidRPr="0024759C">
        <w:rPr>
          <w:rFonts w:ascii="Times New Roman" w:hAnsi="Times New Roman" w:cs="Times New Roman"/>
          <w:sz w:val="24"/>
          <w:szCs w:val="24"/>
        </w:rPr>
        <w:t>. Retrieved https://www.set.or.th/en/market/index/set50/profile</w:t>
      </w:r>
    </w:p>
    <w:p w14:paraId="2B6A8001"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The Stock Exchange of Thailand. (n.d.-b). </w:t>
      </w:r>
      <w:r w:rsidRPr="0024759C">
        <w:rPr>
          <w:rFonts w:ascii="Times New Roman" w:hAnsi="Times New Roman" w:cs="Times New Roman"/>
          <w:i/>
          <w:iCs/>
          <w:sz w:val="24"/>
          <w:szCs w:val="24"/>
        </w:rPr>
        <w:t>SET100 Index and SET100FF Index Profile</w:t>
      </w:r>
      <w:r w:rsidRPr="0024759C">
        <w:rPr>
          <w:rFonts w:ascii="Times New Roman" w:hAnsi="Times New Roman" w:cs="Times New Roman"/>
          <w:sz w:val="24"/>
          <w:szCs w:val="24"/>
        </w:rPr>
        <w:t>. Retrieved https://www.set.or.th/en/market/index/set100/profile</w:t>
      </w:r>
    </w:p>
    <w:p w14:paraId="2FBD71F8"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Uthayopas, C., Mai-On, C., Phatthiyaphaibun, W., Buaphet, W., Sawatphol, J., Sae Lim, S., Vongkulbhisal, J., Vorawathanabuncha, J., Nutanong, S., &amp; Udomcharoenchaikit, C. (2025). </w:t>
      </w:r>
      <w:r w:rsidRPr="0024759C">
        <w:rPr>
          <w:rFonts w:ascii="Times New Roman" w:hAnsi="Times New Roman" w:cs="Times New Roman"/>
          <w:i/>
          <w:iCs/>
          <w:sz w:val="24"/>
          <w:szCs w:val="24"/>
        </w:rPr>
        <w:t>Thai-English Target-Based Stock Sentiment Dataset for Financial News with ICL-Based Evaluation</w:t>
      </w:r>
      <w:r w:rsidRPr="0024759C">
        <w:rPr>
          <w:rFonts w:ascii="Times New Roman" w:hAnsi="Times New Roman" w:cs="Times New Roman"/>
          <w:sz w:val="24"/>
          <w:szCs w:val="24"/>
        </w:rPr>
        <w:t>. https://huggingface.co/datasets/airesearch/Bilingual_StockTBSA</w:t>
      </w:r>
    </w:p>
    <w:p w14:paraId="11C9F523"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lastRenderedPageBreak/>
        <w:t xml:space="preserve">Vaswani, A., Shazeer, N., Parmar, N., Uszkoreit, J., Jones, L., Gomez, A. N., Kaiser, Ł., &amp; Polosukhin, I. (2017). Attention Is All You Need. </w:t>
      </w:r>
      <w:r w:rsidRPr="0024759C">
        <w:rPr>
          <w:rFonts w:ascii="Times New Roman" w:hAnsi="Times New Roman" w:cs="Times New Roman"/>
          <w:i/>
          <w:iCs/>
          <w:sz w:val="24"/>
          <w:szCs w:val="24"/>
        </w:rPr>
        <w:t>Advances in Neural Information Processing Systems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30</w:t>
      </w:r>
      <w:r w:rsidRPr="0024759C">
        <w:rPr>
          <w:rFonts w:ascii="Times New Roman" w:hAnsi="Times New Roman" w:cs="Times New Roman"/>
          <w:sz w:val="24"/>
          <w:szCs w:val="24"/>
        </w:rPr>
        <w:t>. https://proceedings.neurips.cc/paper_files/paper/2017/hash/3f5ee243547dee91fbd053c1c4a845aa-Abstract.html</w:t>
      </w:r>
    </w:p>
    <w:p w14:paraId="0BCE027B"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Wang, H., Wang, T., &amp; Li, Y. (2020). Incorporating Expert-Based Investment Opinion Signals in Stock Prediction: A Deep Learning Framework. </w:t>
      </w:r>
      <w:r w:rsidRPr="0024759C">
        <w:rPr>
          <w:rFonts w:ascii="Times New Roman" w:hAnsi="Times New Roman" w:cs="Times New Roman"/>
          <w:i/>
          <w:iCs/>
          <w:sz w:val="24"/>
          <w:szCs w:val="24"/>
        </w:rPr>
        <w:t>Proceedings of the AAAI Conference on Artificial Intelligence</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34</w:t>
      </w:r>
      <w:r w:rsidRPr="0024759C">
        <w:rPr>
          <w:rFonts w:ascii="Times New Roman" w:hAnsi="Times New Roman" w:cs="Times New Roman"/>
          <w:sz w:val="24"/>
          <w:szCs w:val="24"/>
        </w:rPr>
        <w:t>(1), 971–978. https://doi.org/10.1609/aaai.v34i01.5445</w:t>
      </w:r>
    </w:p>
    <w:p w14:paraId="7941D616"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Wang, M., Cohen, S. B., &amp; Ma, T. (2024). Modeling News Interactions and Influence for Financial Market Prediction. </w:t>
      </w:r>
      <w:r w:rsidRPr="0024759C">
        <w:rPr>
          <w:rFonts w:ascii="Times New Roman" w:hAnsi="Times New Roman" w:cs="Times New Roman"/>
          <w:i/>
          <w:iCs/>
          <w:sz w:val="24"/>
          <w:szCs w:val="24"/>
        </w:rPr>
        <w:t>Findings of the Association for Computational Linguistics: EMNLP 2024</w:t>
      </w:r>
      <w:r w:rsidRPr="0024759C">
        <w:rPr>
          <w:rFonts w:ascii="Times New Roman" w:hAnsi="Times New Roman" w:cs="Times New Roman"/>
          <w:sz w:val="24"/>
          <w:szCs w:val="24"/>
        </w:rPr>
        <w:t>, 3302–3314. https://doi.org/10.18653/v1/2024.findings-emnlp.189</w:t>
      </w:r>
    </w:p>
    <w:p w14:paraId="6DBF0D0A"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Wang, X., Wei, J., Schuurmans, D., Le, Q. V., Chi, E. H., Narang, S., Chowdhery, A., &amp; Zhou, D. (2023). Self-Consistency Improves Chain of Thought Reasoning in Language Models. </w:t>
      </w:r>
      <w:r w:rsidRPr="0024759C">
        <w:rPr>
          <w:rFonts w:ascii="Times New Roman" w:hAnsi="Times New Roman" w:cs="Times New Roman"/>
          <w:i/>
          <w:iCs/>
          <w:sz w:val="24"/>
          <w:szCs w:val="24"/>
        </w:rPr>
        <w:t>The Eleventh International Conference on Learning Representations</w:t>
      </w:r>
      <w:r w:rsidRPr="0024759C">
        <w:rPr>
          <w:rFonts w:ascii="Times New Roman" w:hAnsi="Times New Roman" w:cs="Times New Roman"/>
          <w:sz w:val="24"/>
          <w:szCs w:val="24"/>
        </w:rPr>
        <w:t>. https://openreview.net/forum?id=1PL1NIMMrw</w:t>
      </w:r>
    </w:p>
    <w:p w14:paraId="55642CFF"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Wilder, J. W. Jr. (1978). </w:t>
      </w:r>
      <w:r w:rsidRPr="0024759C">
        <w:rPr>
          <w:rFonts w:ascii="Times New Roman" w:hAnsi="Times New Roman" w:cs="Times New Roman"/>
          <w:i/>
          <w:iCs/>
          <w:sz w:val="24"/>
          <w:szCs w:val="24"/>
        </w:rPr>
        <w:t>New Concepts in Technical Trading Systems</w:t>
      </w:r>
      <w:r w:rsidRPr="0024759C">
        <w:rPr>
          <w:rFonts w:ascii="Times New Roman" w:hAnsi="Times New Roman" w:cs="Times New Roman"/>
          <w:sz w:val="24"/>
          <w:szCs w:val="24"/>
        </w:rPr>
        <w:t>. Trend Research.</w:t>
      </w:r>
    </w:p>
    <w:p w14:paraId="7F1F0FEB"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Yeo, W. J., Van Der Heever, W., Mao, R., Cambria, E., Satapathy, R., &amp; Mengaldo, G. (2025). A Comprehensive Review on Financial Explainable AI. </w:t>
      </w:r>
      <w:r w:rsidRPr="0024759C">
        <w:rPr>
          <w:rFonts w:ascii="Times New Roman" w:hAnsi="Times New Roman" w:cs="Times New Roman"/>
          <w:i/>
          <w:iCs/>
          <w:sz w:val="24"/>
          <w:szCs w:val="24"/>
        </w:rPr>
        <w:t>Artificial Intelligence Review</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58</w:t>
      </w:r>
      <w:r w:rsidRPr="0024759C">
        <w:rPr>
          <w:rFonts w:ascii="Times New Roman" w:hAnsi="Times New Roman" w:cs="Times New Roman"/>
          <w:sz w:val="24"/>
          <w:szCs w:val="24"/>
        </w:rPr>
        <w:t>(6), 189. https://doi.org/10.1007/s10462-024-11077-7</w:t>
      </w:r>
    </w:p>
    <w:p w14:paraId="65B2B00B" w14:textId="77777777" w:rsidR="00100CEA" w:rsidRPr="0024759C" w:rsidRDefault="00100CEA" w:rsidP="009960B6">
      <w:pPr>
        <w:keepNext/>
        <w:spacing w:after="0" w:line="240" w:lineRule="auto"/>
        <w:rPr>
          <w:rFonts w:ascii="Times New Roman" w:hAnsi="Times New Roman" w:cs="Times New Roman"/>
          <w:b/>
          <w:sz w:val="24"/>
          <w:szCs w:val="24"/>
        </w:rPr>
      </w:pPr>
      <w:r w:rsidRPr="0024759C">
        <w:rPr>
          <w:rFonts w:ascii="Times New Roman" w:hAnsi="Times New Roman" w:cs="Times New Roman"/>
          <w:b/>
          <w:sz w:val="24"/>
          <w:szCs w:val="24"/>
        </w:rPr>
        <w:fldChar w:fldCharType="end"/>
      </w:r>
    </w:p>
    <w:sectPr w:rsidR="00100CEA" w:rsidRPr="0024759C" w:rsidSect="008F1467">
      <w:headerReference w:type="default" r:id="rId21"/>
      <w:pgSz w:w="12240" w:h="15840"/>
      <w:pgMar w:top="1440" w:right="1440" w:bottom="1440" w:left="1440" w:header="720" w:footer="720"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68379" w14:textId="77777777" w:rsidR="006E5E4E" w:rsidRDefault="006E5E4E" w:rsidP="0021264C">
      <w:pPr>
        <w:spacing w:after="0" w:line="240" w:lineRule="auto"/>
      </w:pPr>
      <w:r>
        <w:separator/>
      </w:r>
    </w:p>
  </w:endnote>
  <w:endnote w:type="continuationSeparator" w:id="0">
    <w:p w14:paraId="7D990B52" w14:textId="77777777" w:rsidR="006E5E4E" w:rsidRDefault="006E5E4E" w:rsidP="002126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URWPalladioL-Roma">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81240" w14:textId="77777777" w:rsidR="006E5E4E" w:rsidRDefault="006E5E4E" w:rsidP="0021264C">
      <w:pPr>
        <w:spacing w:after="0" w:line="240" w:lineRule="auto"/>
      </w:pPr>
      <w:r>
        <w:separator/>
      </w:r>
    </w:p>
  </w:footnote>
  <w:footnote w:type="continuationSeparator" w:id="0">
    <w:p w14:paraId="6706C0AD" w14:textId="77777777" w:rsidR="006E5E4E" w:rsidRDefault="006E5E4E" w:rsidP="002126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5728607"/>
      <w:docPartObj>
        <w:docPartGallery w:val="Page Numbers (Top of Page)"/>
        <w:docPartUnique/>
      </w:docPartObj>
    </w:sdtPr>
    <w:sdtEndPr>
      <w:rPr>
        <w:noProof/>
      </w:rPr>
    </w:sdtEndPr>
    <w:sdtContent>
      <w:p w14:paraId="6E591821" w14:textId="77777777" w:rsidR="0021264C" w:rsidRDefault="0021264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AFF9762" w14:textId="77777777" w:rsidR="0021264C" w:rsidRDefault="002126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8ACE82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1235912"/>
    <w:multiLevelType w:val="multilevel"/>
    <w:tmpl w:val="A820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9A0F94"/>
    <w:multiLevelType w:val="multilevel"/>
    <w:tmpl w:val="A000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055E8"/>
    <w:multiLevelType w:val="hybridMultilevel"/>
    <w:tmpl w:val="71846FA0"/>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28616D"/>
    <w:multiLevelType w:val="multilevel"/>
    <w:tmpl w:val="CD1E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1777F"/>
    <w:multiLevelType w:val="hybridMultilevel"/>
    <w:tmpl w:val="FD52C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F149FF"/>
    <w:multiLevelType w:val="hybridMultilevel"/>
    <w:tmpl w:val="508A3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A010B0"/>
    <w:multiLevelType w:val="hybridMultilevel"/>
    <w:tmpl w:val="BBDC8CBC"/>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820FDA"/>
    <w:multiLevelType w:val="hybridMultilevel"/>
    <w:tmpl w:val="EFD8E108"/>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D5731D"/>
    <w:multiLevelType w:val="multilevel"/>
    <w:tmpl w:val="D6D2BF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6F33BD"/>
    <w:multiLevelType w:val="multilevel"/>
    <w:tmpl w:val="310C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5375C"/>
    <w:multiLevelType w:val="hybridMultilevel"/>
    <w:tmpl w:val="1068AF84"/>
    <w:lvl w:ilvl="0" w:tplc="CC042F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3F7770D"/>
    <w:multiLevelType w:val="hybridMultilevel"/>
    <w:tmpl w:val="652CE7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436A9C"/>
    <w:multiLevelType w:val="hybridMultilevel"/>
    <w:tmpl w:val="5C42C11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5F26B2D"/>
    <w:multiLevelType w:val="hybridMultilevel"/>
    <w:tmpl w:val="4DBEE870"/>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3147D5"/>
    <w:multiLevelType w:val="hybridMultilevel"/>
    <w:tmpl w:val="FE48C84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AC59FF"/>
    <w:multiLevelType w:val="multilevel"/>
    <w:tmpl w:val="8940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5D54EC"/>
    <w:multiLevelType w:val="hybridMultilevel"/>
    <w:tmpl w:val="81C24F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0D33B1"/>
    <w:multiLevelType w:val="hybridMultilevel"/>
    <w:tmpl w:val="B6C06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351616"/>
    <w:multiLevelType w:val="hybridMultilevel"/>
    <w:tmpl w:val="3C563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1B110A"/>
    <w:multiLevelType w:val="hybridMultilevel"/>
    <w:tmpl w:val="6044685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8E4CF9"/>
    <w:multiLevelType w:val="hybridMultilevel"/>
    <w:tmpl w:val="821256D0"/>
    <w:lvl w:ilvl="0" w:tplc="04090017">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ED3B6E"/>
    <w:multiLevelType w:val="hybridMultilevel"/>
    <w:tmpl w:val="EA6CD00E"/>
    <w:lvl w:ilvl="0" w:tplc="66460170">
      <w:start w:val="1"/>
      <w:numFmt w:val="upperRoman"/>
      <w:lvlText w:val="%1."/>
      <w:lvlJc w:val="right"/>
      <w:pPr>
        <w:ind w:left="720" w:hanging="360"/>
      </w:pPr>
      <w:rPr>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9570ED"/>
    <w:multiLevelType w:val="hybridMultilevel"/>
    <w:tmpl w:val="FA2AEA04"/>
    <w:lvl w:ilvl="0" w:tplc="36D604C2">
      <w:start w:val="5"/>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CE729BE"/>
    <w:multiLevelType w:val="hybridMultilevel"/>
    <w:tmpl w:val="596C08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D35D2B"/>
    <w:multiLevelType w:val="hybridMultilevel"/>
    <w:tmpl w:val="096A8D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A31496"/>
    <w:multiLevelType w:val="hybridMultilevel"/>
    <w:tmpl w:val="A2763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5BA30C3"/>
    <w:multiLevelType w:val="hybridMultilevel"/>
    <w:tmpl w:val="243C53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0A0E77"/>
    <w:multiLevelType w:val="hybridMultilevel"/>
    <w:tmpl w:val="463834C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30D63A7"/>
    <w:multiLevelType w:val="hybridMultilevel"/>
    <w:tmpl w:val="13D05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3E5A31"/>
    <w:multiLevelType w:val="hybridMultilevel"/>
    <w:tmpl w:val="898650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AC26A6"/>
    <w:multiLevelType w:val="multilevel"/>
    <w:tmpl w:val="C84E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18488A"/>
    <w:multiLevelType w:val="hybridMultilevel"/>
    <w:tmpl w:val="3A542E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F846EB"/>
    <w:multiLevelType w:val="multilevel"/>
    <w:tmpl w:val="E8CA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E3621A"/>
    <w:multiLevelType w:val="hybridMultilevel"/>
    <w:tmpl w:val="8F9E17BA"/>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A9B0A04"/>
    <w:multiLevelType w:val="hybridMultilevel"/>
    <w:tmpl w:val="3272B5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4E1E20"/>
    <w:multiLevelType w:val="multilevel"/>
    <w:tmpl w:val="AEBE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3F034D"/>
    <w:multiLevelType w:val="hybridMultilevel"/>
    <w:tmpl w:val="C3AC234A"/>
    <w:lvl w:ilvl="0" w:tplc="04090017">
      <w:start w:val="1"/>
      <w:numFmt w:val="lowerLetter"/>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0A294B"/>
    <w:multiLevelType w:val="hybridMultilevel"/>
    <w:tmpl w:val="AA5C1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EB2128"/>
    <w:multiLevelType w:val="hybridMultilevel"/>
    <w:tmpl w:val="F3140A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844454"/>
    <w:multiLevelType w:val="hybridMultilevel"/>
    <w:tmpl w:val="40B2525A"/>
    <w:lvl w:ilvl="0" w:tplc="F77614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5481134">
    <w:abstractNumId w:val="1"/>
  </w:num>
  <w:num w:numId="2" w16cid:durableId="33119151">
    <w:abstractNumId w:val="36"/>
  </w:num>
  <w:num w:numId="3" w16cid:durableId="1157770927">
    <w:abstractNumId w:val="31"/>
  </w:num>
  <w:num w:numId="4" w16cid:durableId="675379441">
    <w:abstractNumId w:val="34"/>
  </w:num>
  <w:num w:numId="5" w16cid:durableId="1940210056">
    <w:abstractNumId w:val="22"/>
  </w:num>
  <w:num w:numId="6" w16cid:durableId="1263342155">
    <w:abstractNumId w:val="35"/>
  </w:num>
  <w:num w:numId="7" w16cid:durableId="1636445127">
    <w:abstractNumId w:val="17"/>
  </w:num>
  <w:num w:numId="8" w16cid:durableId="1941253839">
    <w:abstractNumId w:val="27"/>
  </w:num>
  <w:num w:numId="9" w16cid:durableId="246890324">
    <w:abstractNumId w:val="24"/>
  </w:num>
  <w:num w:numId="10" w16cid:durableId="1800611154">
    <w:abstractNumId w:val="19"/>
  </w:num>
  <w:num w:numId="11" w16cid:durableId="1061176743">
    <w:abstractNumId w:val="9"/>
  </w:num>
  <w:num w:numId="12" w16cid:durableId="1777406586">
    <w:abstractNumId w:val="40"/>
  </w:num>
  <w:num w:numId="13" w16cid:durableId="354307506">
    <w:abstractNumId w:val="11"/>
  </w:num>
  <w:num w:numId="14" w16cid:durableId="732586048">
    <w:abstractNumId w:val="28"/>
  </w:num>
  <w:num w:numId="15" w16cid:durableId="1373530393">
    <w:abstractNumId w:val="20"/>
  </w:num>
  <w:num w:numId="16" w16cid:durableId="1804611357">
    <w:abstractNumId w:val="13"/>
  </w:num>
  <w:num w:numId="17" w16cid:durableId="46075254">
    <w:abstractNumId w:val="15"/>
  </w:num>
  <w:num w:numId="18" w16cid:durableId="1148325261">
    <w:abstractNumId w:val="4"/>
  </w:num>
  <w:num w:numId="19" w16cid:durableId="851723583">
    <w:abstractNumId w:val="2"/>
  </w:num>
  <w:num w:numId="20" w16cid:durableId="28379541">
    <w:abstractNumId w:val="10"/>
  </w:num>
  <w:num w:numId="21" w16cid:durableId="136528951">
    <w:abstractNumId w:val="33"/>
  </w:num>
  <w:num w:numId="22" w16cid:durableId="1119640233">
    <w:abstractNumId w:val="16"/>
  </w:num>
  <w:num w:numId="23" w16cid:durableId="205921127">
    <w:abstractNumId w:val="39"/>
  </w:num>
  <w:num w:numId="24" w16cid:durableId="1530218674">
    <w:abstractNumId w:val="29"/>
  </w:num>
  <w:num w:numId="25" w16cid:durableId="978151519">
    <w:abstractNumId w:val="38"/>
  </w:num>
  <w:num w:numId="26" w16cid:durableId="2055081154">
    <w:abstractNumId w:val="6"/>
  </w:num>
  <w:num w:numId="27" w16cid:durableId="1158619098">
    <w:abstractNumId w:val="3"/>
  </w:num>
  <w:num w:numId="28" w16cid:durableId="850334599">
    <w:abstractNumId w:val="30"/>
  </w:num>
  <w:num w:numId="29" w16cid:durableId="316811051">
    <w:abstractNumId w:val="37"/>
  </w:num>
  <w:num w:numId="30" w16cid:durableId="302664606">
    <w:abstractNumId w:val="8"/>
  </w:num>
  <w:num w:numId="31" w16cid:durableId="1079450649">
    <w:abstractNumId w:val="14"/>
  </w:num>
  <w:num w:numId="32" w16cid:durableId="171259043">
    <w:abstractNumId w:val="23"/>
  </w:num>
  <w:num w:numId="33" w16cid:durableId="1560898919">
    <w:abstractNumId w:val="7"/>
  </w:num>
  <w:num w:numId="34" w16cid:durableId="1160190254">
    <w:abstractNumId w:val="21"/>
  </w:num>
  <w:num w:numId="35" w16cid:durableId="946624877">
    <w:abstractNumId w:val="25"/>
  </w:num>
  <w:num w:numId="36" w16cid:durableId="399258904">
    <w:abstractNumId w:val="32"/>
  </w:num>
  <w:num w:numId="37" w16cid:durableId="5064101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51103644">
    <w:abstractNumId w:val="5"/>
  </w:num>
  <w:num w:numId="39" w16cid:durableId="1918006905">
    <w:abstractNumId w:val="26"/>
  </w:num>
  <w:num w:numId="40" w16cid:durableId="1141456974">
    <w:abstractNumId w:val="12"/>
  </w:num>
  <w:num w:numId="41" w16cid:durableId="211806091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rc0NjY0sTSwNLAwMbdU0lEKTi0uzszPAykwqQUAZMy9iCwAAAA="/>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2xrdae0bdpwexevaabpfs5z5svzra5pppwv&quot;&gt;20230925 Arsanchai&lt;record-ids&gt;&lt;item&gt;81&lt;/item&gt;&lt;item&gt;377&lt;/item&gt;&lt;item&gt;378&lt;/item&gt;&lt;item&gt;379&lt;/item&gt;&lt;item&gt;380&lt;/item&gt;&lt;item&gt;381&lt;/item&gt;&lt;item&gt;382&lt;/item&gt;&lt;item&gt;383&lt;/item&gt;&lt;item&gt;384&lt;/item&gt;&lt;item&gt;385&lt;/item&gt;&lt;item&gt;386&lt;/item&gt;&lt;item&gt;388&lt;/item&gt;&lt;item&gt;389&lt;/item&gt;&lt;item&gt;390&lt;/item&gt;&lt;item&gt;391&lt;/item&gt;&lt;item&gt;392&lt;/item&gt;&lt;item&gt;393&lt;/item&gt;&lt;item&gt;394&lt;/item&gt;&lt;item&gt;395&lt;/item&gt;&lt;item&gt;396&lt;/item&gt;&lt;item&gt;397&lt;/item&gt;&lt;item&gt;481&lt;/item&gt;&lt;item&gt;482&lt;/item&gt;&lt;item&gt;483&lt;/item&gt;&lt;item&gt;484&lt;/item&gt;&lt;item&gt;487&lt;/item&gt;&lt;item&gt;590&lt;/item&gt;&lt;item&gt;602&lt;/item&gt;&lt;item&gt;847&lt;/item&gt;&lt;item&gt;961&lt;/item&gt;&lt;item&gt;962&lt;/item&gt;&lt;item&gt;963&lt;/item&gt;&lt;item&gt;964&lt;/item&gt;&lt;item&gt;965&lt;/item&gt;&lt;item&gt;966&lt;/item&gt;&lt;item&gt;967&lt;/item&gt;&lt;item&gt;968&lt;/item&gt;&lt;item&gt;969&lt;/item&gt;&lt;item&gt;972&lt;/item&gt;&lt;item&gt;973&lt;/item&gt;&lt;item&gt;974&lt;/item&gt;&lt;item&gt;975&lt;/item&gt;&lt;item&gt;977&lt;/item&gt;&lt;/record-ids&gt;&lt;/item&gt;&lt;/Libraries&gt;"/>
  </w:docVars>
  <w:rsids>
    <w:rsidRoot w:val="00E930F6"/>
    <w:rsid w:val="0000017E"/>
    <w:rsid w:val="0000043E"/>
    <w:rsid w:val="00001299"/>
    <w:rsid w:val="00002FDD"/>
    <w:rsid w:val="000031F2"/>
    <w:rsid w:val="00003980"/>
    <w:rsid w:val="00004A15"/>
    <w:rsid w:val="000050B0"/>
    <w:rsid w:val="00005202"/>
    <w:rsid w:val="000059BE"/>
    <w:rsid w:val="00011CFB"/>
    <w:rsid w:val="000123CC"/>
    <w:rsid w:val="0001396C"/>
    <w:rsid w:val="00013C54"/>
    <w:rsid w:val="00014FF1"/>
    <w:rsid w:val="00015576"/>
    <w:rsid w:val="00017400"/>
    <w:rsid w:val="00017AA6"/>
    <w:rsid w:val="00017B31"/>
    <w:rsid w:val="00020305"/>
    <w:rsid w:val="00020B65"/>
    <w:rsid w:val="000219FB"/>
    <w:rsid w:val="000246C5"/>
    <w:rsid w:val="00026201"/>
    <w:rsid w:val="000301FD"/>
    <w:rsid w:val="00030202"/>
    <w:rsid w:val="00033907"/>
    <w:rsid w:val="00033A2E"/>
    <w:rsid w:val="000370D3"/>
    <w:rsid w:val="00037462"/>
    <w:rsid w:val="000407DC"/>
    <w:rsid w:val="000410FE"/>
    <w:rsid w:val="00042AA5"/>
    <w:rsid w:val="000437DC"/>
    <w:rsid w:val="00043A1A"/>
    <w:rsid w:val="00043D07"/>
    <w:rsid w:val="00044809"/>
    <w:rsid w:val="000471CD"/>
    <w:rsid w:val="00047BA3"/>
    <w:rsid w:val="00047E15"/>
    <w:rsid w:val="000506A3"/>
    <w:rsid w:val="0005073C"/>
    <w:rsid w:val="00051D88"/>
    <w:rsid w:val="00053A68"/>
    <w:rsid w:val="000552D8"/>
    <w:rsid w:val="00056CBD"/>
    <w:rsid w:val="000577B6"/>
    <w:rsid w:val="00057D60"/>
    <w:rsid w:val="000605B9"/>
    <w:rsid w:val="00061273"/>
    <w:rsid w:val="00063D26"/>
    <w:rsid w:val="00066460"/>
    <w:rsid w:val="000664F1"/>
    <w:rsid w:val="0006763F"/>
    <w:rsid w:val="00067ADB"/>
    <w:rsid w:val="0007085C"/>
    <w:rsid w:val="00071264"/>
    <w:rsid w:val="00071CC0"/>
    <w:rsid w:val="00072BE6"/>
    <w:rsid w:val="00074167"/>
    <w:rsid w:val="00074BAB"/>
    <w:rsid w:val="00074D6A"/>
    <w:rsid w:val="00075B03"/>
    <w:rsid w:val="00076F67"/>
    <w:rsid w:val="00077870"/>
    <w:rsid w:val="00077E87"/>
    <w:rsid w:val="00085327"/>
    <w:rsid w:val="000860C9"/>
    <w:rsid w:val="0008614F"/>
    <w:rsid w:val="00086B65"/>
    <w:rsid w:val="000923EA"/>
    <w:rsid w:val="0009474A"/>
    <w:rsid w:val="00095480"/>
    <w:rsid w:val="0009552B"/>
    <w:rsid w:val="000959B0"/>
    <w:rsid w:val="00097EDE"/>
    <w:rsid w:val="000A05D2"/>
    <w:rsid w:val="000A07D0"/>
    <w:rsid w:val="000A16A6"/>
    <w:rsid w:val="000A17E2"/>
    <w:rsid w:val="000A30A1"/>
    <w:rsid w:val="000A3DC1"/>
    <w:rsid w:val="000A4D7E"/>
    <w:rsid w:val="000A5C5D"/>
    <w:rsid w:val="000B0E10"/>
    <w:rsid w:val="000B166F"/>
    <w:rsid w:val="000B323C"/>
    <w:rsid w:val="000B3580"/>
    <w:rsid w:val="000B41E6"/>
    <w:rsid w:val="000B49B2"/>
    <w:rsid w:val="000B4AA2"/>
    <w:rsid w:val="000B729A"/>
    <w:rsid w:val="000B7E4B"/>
    <w:rsid w:val="000C1383"/>
    <w:rsid w:val="000C13D1"/>
    <w:rsid w:val="000C3684"/>
    <w:rsid w:val="000C4681"/>
    <w:rsid w:val="000C490F"/>
    <w:rsid w:val="000C4FA2"/>
    <w:rsid w:val="000C5D3A"/>
    <w:rsid w:val="000C6914"/>
    <w:rsid w:val="000C7AF8"/>
    <w:rsid w:val="000D08AF"/>
    <w:rsid w:val="000D1D52"/>
    <w:rsid w:val="000D1FFC"/>
    <w:rsid w:val="000D22E2"/>
    <w:rsid w:val="000D53B1"/>
    <w:rsid w:val="000E0A6C"/>
    <w:rsid w:val="000E0E76"/>
    <w:rsid w:val="000E3AD4"/>
    <w:rsid w:val="000E3C55"/>
    <w:rsid w:val="000E417A"/>
    <w:rsid w:val="000E43E0"/>
    <w:rsid w:val="000E49A3"/>
    <w:rsid w:val="000E5A01"/>
    <w:rsid w:val="000E7BF0"/>
    <w:rsid w:val="000F32B1"/>
    <w:rsid w:val="000F352B"/>
    <w:rsid w:val="000F7184"/>
    <w:rsid w:val="000F7CB2"/>
    <w:rsid w:val="00100CEA"/>
    <w:rsid w:val="00102979"/>
    <w:rsid w:val="001041B3"/>
    <w:rsid w:val="001046B2"/>
    <w:rsid w:val="00104E0F"/>
    <w:rsid w:val="00106E36"/>
    <w:rsid w:val="001071AE"/>
    <w:rsid w:val="0011168E"/>
    <w:rsid w:val="00111E4F"/>
    <w:rsid w:val="00112303"/>
    <w:rsid w:val="0011282B"/>
    <w:rsid w:val="0011346A"/>
    <w:rsid w:val="001176A5"/>
    <w:rsid w:val="00117868"/>
    <w:rsid w:val="0012061E"/>
    <w:rsid w:val="001231DE"/>
    <w:rsid w:val="00123A2B"/>
    <w:rsid w:val="00124AA7"/>
    <w:rsid w:val="00126C9D"/>
    <w:rsid w:val="001273DD"/>
    <w:rsid w:val="00127568"/>
    <w:rsid w:val="00133D01"/>
    <w:rsid w:val="0013524C"/>
    <w:rsid w:val="00136C8C"/>
    <w:rsid w:val="001376D4"/>
    <w:rsid w:val="00137BF6"/>
    <w:rsid w:val="00140026"/>
    <w:rsid w:val="001407DD"/>
    <w:rsid w:val="00141232"/>
    <w:rsid w:val="001419FE"/>
    <w:rsid w:val="00143AD0"/>
    <w:rsid w:val="00144B2D"/>
    <w:rsid w:val="00147EF7"/>
    <w:rsid w:val="001509BF"/>
    <w:rsid w:val="00150A8D"/>
    <w:rsid w:val="00152638"/>
    <w:rsid w:val="001539DB"/>
    <w:rsid w:val="001543EC"/>
    <w:rsid w:val="00154769"/>
    <w:rsid w:val="00154CC5"/>
    <w:rsid w:val="001559F7"/>
    <w:rsid w:val="00155DE0"/>
    <w:rsid w:val="00157639"/>
    <w:rsid w:val="00157ED9"/>
    <w:rsid w:val="0016062A"/>
    <w:rsid w:val="00163475"/>
    <w:rsid w:val="00163A96"/>
    <w:rsid w:val="00163B12"/>
    <w:rsid w:val="00163D9B"/>
    <w:rsid w:val="00164D30"/>
    <w:rsid w:val="00170200"/>
    <w:rsid w:val="00172710"/>
    <w:rsid w:val="00173164"/>
    <w:rsid w:val="001737A2"/>
    <w:rsid w:val="001738F1"/>
    <w:rsid w:val="00173ADF"/>
    <w:rsid w:val="00174467"/>
    <w:rsid w:val="00176299"/>
    <w:rsid w:val="00177767"/>
    <w:rsid w:val="001778DD"/>
    <w:rsid w:val="00180B12"/>
    <w:rsid w:val="0018163E"/>
    <w:rsid w:val="00184088"/>
    <w:rsid w:val="001864E7"/>
    <w:rsid w:val="0018695C"/>
    <w:rsid w:val="00186969"/>
    <w:rsid w:val="00186D8E"/>
    <w:rsid w:val="001870AA"/>
    <w:rsid w:val="0018782A"/>
    <w:rsid w:val="00187B55"/>
    <w:rsid w:val="00190AEC"/>
    <w:rsid w:val="0019191E"/>
    <w:rsid w:val="001937FA"/>
    <w:rsid w:val="001A009E"/>
    <w:rsid w:val="001A010E"/>
    <w:rsid w:val="001A1041"/>
    <w:rsid w:val="001A1C0A"/>
    <w:rsid w:val="001A352E"/>
    <w:rsid w:val="001A59A3"/>
    <w:rsid w:val="001A67A5"/>
    <w:rsid w:val="001A7135"/>
    <w:rsid w:val="001B39DB"/>
    <w:rsid w:val="001B4763"/>
    <w:rsid w:val="001B504D"/>
    <w:rsid w:val="001B52C0"/>
    <w:rsid w:val="001B5519"/>
    <w:rsid w:val="001B7F97"/>
    <w:rsid w:val="001C033F"/>
    <w:rsid w:val="001C03DF"/>
    <w:rsid w:val="001C12F5"/>
    <w:rsid w:val="001C3F66"/>
    <w:rsid w:val="001C413C"/>
    <w:rsid w:val="001C465A"/>
    <w:rsid w:val="001C4F86"/>
    <w:rsid w:val="001C6D5E"/>
    <w:rsid w:val="001D1E2A"/>
    <w:rsid w:val="001D50B5"/>
    <w:rsid w:val="001E09A2"/>
    <w:rsid w:val="001E14E0"/>
    <w:rsid w:val="001E1687"/>
    <w:rsid w:val="001E173C"/>
    <w:rsid w:val="001E1F2E"/>
    <w:rsid w:val="001E2A79"/>
    <w:rsid w:val="001E361E"/>
    <w:rsid w:val="001E4D73"/>
    <w:rsid w:val="001E5896"/>
    <w:rsid w:val="001E5FD2"/>
    <w:rsid w:val="001E6840"/>
    <w:rsid w:val="001E6C49"/>
    <w:rsid w:val="001E70F2"/>
    <w:rsid w:val="001E7B39"/>
    <w:rsid w:val="001E7DB8"/>
    <w:rsid w:val="001F1BCF"/>
    <w:rsid w:val="001F1F8A"/>
    <w:rsid w:val="001F2793"/>
    <w:rsid w:val="001F2EF1"/>
    <w:rsid w:val="001F3AEE"/>
    <w:rsid w:val="001F5224"/>
    <w:rsid w:val="001F740F"/>
    <w:rsid w:val="001F75E7"/>
    <w:rsid w:val="0020123C"/>
    <w:rsid w:val="00203B84"/>
    <w:rsid w:val="002044B3"/>
    <w:rsid w:val="00207E38"/>
    <w:rsid w:val="0021264C"/>
    <w:rsid w:val="00215AA6"/>
    <w:rsid w:val="0021698D"/>
    <w:rsid w:val="00217891"/>
    <w:rsid w:val="002210B5"/>
    <w:rsid w:val="002214DA"/>
    <w:rsid w:val="0022251F"/>
    <w:rsid w:val="00223E38"/>
    <w:rsid w:val="0022536F"/>
    <w:rsid w:val="002255E8"/>
    <w:rsid w:val="00226A58"/>
    <w:rsid w:val="00230018"/>
    <w:rsid w:val="002305E8"/>
    <w:rsid w:val="00230863"/>
    <w:rsid w:val="0023308D"/>
    <w:rsid w:val="002347E6"/>
    <w:rsid w:val="002368E4"/>
    <w:rsid w:val="002415B1"/>
    <w:rsid w:val="00245872"/>
    <w:rsid w:val="0024667E"/>
    <w:rsid w:val="0024759C"/>
    <w:rsid w:val="00250D5A"/>
    <w:rsid w:val="00251CB7"/>
    <w:rsid w:val="002528C5"/>
    <w:rsid w:val="00253909"/>
    <w:rsid w:val="00253E73"/>
    <w:rsid w:val="0025595B"/>
    <w:rsid w:val="002575A8"/>
    <w:rsid w:val="002604BA"/>
    <w:rsid w:val="002612D4"/>
    <w:rsid w:val="0026196C"/>
    <w:rsid w:val="00266DFC"/>
    <w:rsid w:val="00267083"/>
    <w:rsid w:val="002706FD"/>
    <w:rsid w:val="00271735"/>
    <w:rsid w:val="002731DC"/>
    <w:rsid w:val="00273F5F"/>
    <w:rsid w:val="002740D9"/>
    <w:rsid w:val="00274CFE"/>
    <w:rsid w:val="00274FAD"/>
    <w:rsid w:val="00275F6B"/>
    <w:rsid w:val="00277D02"/>
    <w:rsid w:val="00280833"/>
    <w:rsid w:val="00280914"/>
    <w:rsid w:val="00282406"/>
    <w:rsid w:val="00284A25"/>
    <w:rsid w:val="00284F2A"/>
    <w:rsid w:val="00287697"/>
    <w:rsid w:val="00290AA9"/>
    <w:rsid w:val="002971E0"/>
    <w:rsid w:val="00297A57"/>
    <w:rsid w:val="002A030A"/>
    <w:rsid w:val="002A12F6"/>
    <w:rsid w:val="002A3109"/>
    <w:rsid w:val="002A460E"/>
    <w:rsid w:val="002A4B44"/>
    <w:rsid w:val="002A533E"/>
    <w:rsid w:val="002A5769"/>
    <w:rsid w:val="002A5F5D"/>
    <w:rsid w:val="002A7E2D"/>
    <w:rsid w:val="002B26B4"/>
    <w:rsid w:val="002B2781"/>
    <w:rsid w:val="002B4A66"/>
    <w:rsid w:val="002B5A1D"/>
    <w:rsid w:val="002B74C5"/>
    <w:rsid w:val="002B7657"/>
    <w:rsid w:val="002C3BBD"/>
    <w:rsid w:val="002C5B2C"/>
    <w:rsid w:val="002C6417"/>
    <w:rsid w:val="002C7D0A"/>
    <w:rsid w:val="002D147D"/>
    <w:rsid w:val="002D1F86"/>
    <w:rsid w:val="002D424E"/>
    <w:rsid w:val="002D4BE1"/>
    <w:rsid w:val="002D63CF"/>
    <w:rsid w:val="002D64D6"/>
    <w:rsid w:val="002D69D4"/>
    <w:rsid w:val="002D72AF"/>
    <w:rsid w:val="002E3548"/>
    <w:rsid w:val="002E385E"/>
    <w:rsid w:val="002E5BD9"/>
    <w:rsid w:val="002F00A9"/>
    <w:rsid w:val="002F039B"/>
    <w:rsid w:val="002F1B43"/>
    <w:rsid w:val="002F201C"/>
    <w:rsid w:val="002F3E3A"/>
    <w:rsid w:val="002F43F5"/>
    <w:rsid w:val="002F44C4"/>
    <w:rsid w:val="002F48FF"/>
    <w:rsid w:val="002F72D4"/>
    <w:rsid w:val="002F7BC6"/>
    <w:rsid w:val="00300EB6"/>
    <w:rsid w:val="00303296"/>
    <w:rsid w:val="003042B9"/>
    <w:rsid w:val="003046B9"/>
    <w:rsid w:val="00306D33"/>
    <w:rsid w:val="00313276"/>
    <w:rsid w:val="00313DF9"/>
    <w:rsid w:val="00314A0D"/>
    <w:rsid w:val="0031658B"/>
    <w:rsid w:val="003171FC"/>
    <w:rsid w:val="00317E4D"/>
    <w:rsid w:val="003223CC"/>
    <w:rsid w:val="00322E81"/>
    <w:rsid w:val="00323631"/>
    <w:rsid w:val="0032397A"/>
    <w:rsid w:val="00324B8B"/>
    <w:rsid w:val="003267DE"/>
    <w:rsid w:val="00327509"/>
    <w:rsid w:val="00327D06"/>
    <w:rsid w:val="00330E46"/>
    <w:rsid w:val="0033528A"/>
    <w:rsid w:val="003354CD"/>
    <w:rsid w:val="003361A4"/>
    <w:rsid w:val="00336239"/>
    <w:rsid w:val="00336C96"/>
    <w:rsid w:val="00340593"/>
    <w:rsid w:val="00340A97"/>
    <w:rsid w:val="003412F9"/>
    <w:rsid w:val="00342C57"/>
    <w:rsid w:val="003430C1"/>
    <w:rsid w:val="003445AE"/>
    <w:rsid w:val="0034462D"/>
    <w:rsid w:val="00344D85"/>
    <w:rsid w:val="00344E94"/>
    <w:rsid w:val="00345C67"/>
    <w:rsid w:val="00345F25"/>
    <w:rsid w:val="00347437"/>
    <w:rsid w:val="003509A4"/>
    <w:rsid w:val="00351871"/>
    <w:rsid w:val="00355DBC"/>
    <w:rsid w:val="00355E04"/>
    <w:rsid w:val="003626E8"/>
    <w:rsid w:val="003633C7"/>
    <w:rsid w:val="00363D3D"/>
    <w:rsid w:val="00363D61"/>
    <w:rsid w:val="0036420B"/>
    <w:rsid w:val="00365D65"/>
    <w:rsid w:val="0037059F"/>
    <w:rsid w:val="00370E5E"/>
    <w:rsid w:val="00370F39"/>
    <w:rsid w:val="00371D44"/>
    <w:rsid w:val="003737BB"/>
    <w:rsid w:val="00373D19"/>
    <w:rsid w:val="00376435"/>
    <w:rsid w:val="00376472"/>
    <w:rsid w:val="00376631"/>
    <w:rsid w:val="00376814"/>
    <w:rsid w:val="00376EFB"/>
    <w:rsid w:val="0037778E"/>
    <w:rsid w:val="00381D7F"/>
    <w:rsid w:val="003836E2"/>
    <w:rsid w:val="00383919"/>
    <w:rsid w:val="0038564F"/>
    <w:rsid w:val="00386B90"/>
    <w:rsid w:val="00390446"/>
    <w:rsid w:val="0039054C"/>
    <w:rsid w:val="00390FB2"/>
    <w:rsid w:val="003926CD"/>
    <w:rsid w:val="00394564"/>
    <w:rsid w:val="003A0679"/>
    <w:rsid w:val="003A1CB3"/>
    <w:rsid w:val="003A1D36"/>
    <w:rsid w:val="003A1D6E"/>
    <w:rsid w:val="003A1EA7"/>
    <w:rsid w:val="003A2BC4"/>
    <w:rsid w:val="003A303D"/>
    <w:rsid w:val="003A35E6"/>
    <w:rsid w:val="003A4016"/>
    <w:rsid w:val="003A54B4"/>
    <w:rsid w:val="003A7005"/>
    <w:rsid w:val="003B0949"/>
    <w:rsid w:val="003B0AF3"/>
    <w:rsid w:val="003B145E"/>
    <w:rsid w:val="003B1577"/>
    <w:rsid w:val="003B4495"/>
    <w:rsid w:val="003B479B"/>
    <w:rsid w:val="003B5F58"/>
    <w:rsid w:val="003B6245"/>
    <w:rsid w:val="003B6E58"/>
    <w:rsid w:val="003B7685"/>
    <w:rsid w:val="003C0398"/>
    <w:rsid w:val="003C050C"/>
    <w:rsid w:val="003C0534"/>
    <w:rsid w:val="003C0DA6"/>
    <w:rsid w:val="003C133D"/>
    <w:rsid w:val="003C21A6"/>
    <w:rsid w:val="003C26FD"/>
    <w:rsid w:val="003C3852"/>
    <w:rsid w:val="003C6A8C"/>
    <w:rsid w:val="003C6F1F"/>
    <w:rsid w:val="003D0D77"/>
    <w:rsid w:val="003D2135"/>
    <w:rsid w:val="003D5177"/>
    <w:rsid w:val="003D616A"/>
    <w:rsid w:val="003D73CB"/>
    <w:rsid w:val="003D7907"/>
    <w:rsid w:val="003D7D52"/>
    <w:rsid w:val="003E2920"/>
    <w:rsid w:val="003E2E3F"/>
    <w:rsid w:val="003E3B67"/>
    <w:rsid w:val="003E3E1A"/>
    <w:rsid w:val="003E46A3"/>
    <w:rsid w:val="003E5156"/>
    <w:rsid w:val="003E51E5"/>
    <w:rsid w:val="003E61E8"/>
    <w:rsid w:val="003E6CC0"/>
    <w:rsid w:val="003E6D44"/>
    <w:rsid w:val="003F087D"/>
    <w:rsid w:val="003F0EB6"/>
    <w:rsid w:val="003F1541"/>
    <w:rsid w:val="003F20C6"/>
    <w:rsid w:val="003F3660"/>
    <w:rsid w:val="003F3974"/>
    <w:rsid w:val="003F5B7B"/>
    <w:rsid w:val="004001F1"/>
    <w:rsid w:val="004015B5"/>
    <w:rsid w:val="00402F75"/>
    <w:rsid w:val="00405A5A"/>
    <w:rsid w:val="00405DE7"/>
    <w:rsid w:val="004061C3"/>
    <w:rsid w:val="00406D3D"/>
    <w:rsid w:val="004105C3"/>
    <w:rsid w:val="00411641"/>
    <w:rsid w:val="00413060"/>
    <w:rsid w:val="00414C7E"/>
    <w:rsid w:val="00417DC6"/>
    <w:rsid w:val="00417DE8"/>
    <w:rsid w:val="00417E50"/>
    <w:rsid w:val="00417F46"/>
    <w:rsid w:val="004216C1"/>
    <w:rsid w:val="004228E5"/>
    <w:rsid w:val="004238C2"/>
    <w:rsid w:val="00423BAD"/>
    <w:rsid w:val="00424B80"/>
    <w:rsid w:val="0042540D"/>
    <w:rsid w:val="004255CA"/>
    <w:rsid w:val="00426B60"/>
    <w:rsid w:val="004311ED"/>
    <w:rsid w:val="00431E0B"/>
    <w:rsid w:val="00435C4F"/>
    <w:rsid w:val="00436D51"/>
    <w:rsid w:val="004377D0"/>
    <w:rsid w:val="0044059F"/>
    <w:rsid w:val="00440C35"/>
    <w:rsid w:val="00441F42"/>
    <w:rsid w:val="00442412"/>
    <w:rsid w:val="00445F2B"/>
    <w:rsid w:val="00447586"/>
    <w:rsid w:val="0045060F"/>
    <w:rsid w:val="00452C4D"/>
    <w:rsid w:val="0045354B"/>
    <w:rsid w:val="004538F5"/>
    <w:rsid w:val="00453F81"/>
    <w:rsid w:val="00454311"/>
    <w:rsid w:val="00455CB8"/>
    <w:rsid w:val="00461EEF"/>
    <w:rsid w:val="00464A3C"/>
    <w:rsid w:val="004656EB"/>
    <w:rsid w:val="00466E3D"/>
    <w:rsid w:val="00470D1D"/>
    <w:rsid w:val="004711F4"/>
    <w:rsid w:val="0047347C"/>
    <w:rsid w:val="0047472D"/>
    <w:rsid w:val="00475529"/>
    <w:rsid w:val="00476E86"/>
    <w:rsid w:val="00477435"/>
    <w:rsid w:val="004776D2"/>
    <w:rsid w:val="00477D55"/>
    <w:rsid w:val="0048003D"/>
    <w:rsid w:val="00480345"/>
    <w:rsid w:val="00480E6B"/>
    <w:rsid w:val="00480F0E"/>
    <w:rsid w:val="004811F1"/>
    <w:rsid w:val="004816BA"/>
    <w:rsid w:val="00482A13"/>
    <w:rsid w:val="00482B69"/>
    <w:rsid w:val="00483043"/>
    <w:rsid w:val="00483C69"/>
    <w:rsid w:val="00483F9D"/>
    <w:rsid w:val="00492234"/>
    <w:rsid w:val="00496CEE"/>
    <w:rsid w:val="00497048"/>
    <w:rsid w:val="004A07FF"/>
    <w:rsid w:val="004A3C24"/>
    <w:rsid w:val="004A46F8"/>
    <w:rsid w:val="004A59BE"/>
    <w:rsid w:val="004A5F41"/>
    <w:rsid w:val="004A78B6"/>
    <w:rsid w:val="004B0237"/>
    <w:rsid w:val="004B02B2"/>
    <w:rsid w:val="004B07BD"/>
    <w:rsid w:val="004B152D"/>
    <w:rsid w:val="004B17F1"/>
    <w:rsid w:val="004B185E"/>
    <w:rsid w:val="004B4ACD"/>
    <w:rsid w:val="004B4CD7"/>
    <w:rsid w:val="004B5AEC"/>
    <w:rsid w:val="004B60AA"/>
    <w:rsid w:val="004B6687"/>
    <w:rsid w:val="004C02BE"/>
    <w:rsid w:val="004C119B"/>
    <w:rsid w:val="004C1266"/>
    <w:rsid w:val="004C17DF"/>
    <w:rsid w:val="004C4D6C"/>
    <w:rsid w:val="004C4FD6"/>
    <w:rsid w:val="004C61EC"/>
    <w:rsid w:val="004C7109"/>
    <w:rsid w:val="004D11A1"/>
    <w:rsid w:val="004D2D2C"/>
    <w:rsid w:val="004D3C85"/>
    <w:rsid w:val="004D491C"/>
    <w:rsid w:val="004D59C4"/>
    <w:rsid w:val="004D751A"/>
    <w:rsid w:val="004E1259"/>
    <w:rsid w:val="004E19FE"/>
    <w:rsid w:val="004E1A2C"/>
    <w:rsid w:val="004E58F6"/>
    <w:rsid w:val="004E5AB4"/>
    <w:rsid w:val="004E6860"/>
    <w:rsid w:val="004E74AB"/>
    <w:rsid w:val="004F0A50"/>
    <w:rsid w:val="004F1743"/>
    <w:rsid w:val="004F185C"/>
    <w:rsid w:val="004F2411"/>
    <w:rsid w:val="004F359F"/>
    <w:rsid w:val="004F3934"/>
    <w:rsid w:val="004F3B3C"/>
    <w:rsid w:val="004F5648"/>
    <w:rsid w:val="004F6446"/>
    <w:rsid w:val="00501A58"/>
    <w:rsid w:val="005032E3"/>
    <w:rsid w:val="00506E88"/>
    <w:rsid w:val="005077EA"/>
    <w:rsid w:val="00510259"/>
    <w:rsid w:val="005106E7"/>
    <w:rsid w:val="00510DAA"/>
    <w:rsid w:val="00511544"/>
    <w:rsid w:val="00511664"/>
    <w:rsid w:val="00511E59"/>
    <w:rsid w:val="00513303"/>
    <w:rsid w:val="00515F9B"/>
    <w:rsid w:val="00516A94"/>
    <w:rsid w:val="00517E61"/>
    <w:rsid w:val="00520F2D"/>
    <w:rsid w:val="00520F37"/>
    <w:rsid w:val="0052196E"/>
    <w:rsid w:val="00521BE1"/>
    <w:rsid w:val="00521C1A"/>
    <w:rsid w:val="00522F7C"/>
    <w:rsid w:val="0052304E"/>
    <w:rsid w:val="00524254"/>
    <w:rsid w:val="00527172"/>
    <w:rsid w:val="005336AA"/>
    <w:rsid w:val="005342BA"/>
    <w:rsid w:val="00534330"/>
    <w:rsid w:val="00535F61"/>
    <w:rsid w:val="0053692D"/>
    <w:rsid w:val="00536EFB"/>
    <w:rsid w:val="005370C7"/>
    <w:rsid w:val="00537FFD"/>
    <w:rsid w:val="00541F97"/>
    <w:rsid w:val="005428D8"/>
    <w:rsid w:val="00546497"/>
    <w:rsid w:val="00546CB1"/>
    <w:rsid w:val="00552341"/>
    <w:rsid w:val="00552928"/>
    <w:rsid w:val="00553415"/>
    <w:rsid w:val="00554C94"/>
    <w:rsid w:val="00556AD5"/>
    <w:rsid w:val="00556C46"/>
    <w:rsid w:val="00560BEF"/>
    <w:rsid w:val="00561152"/>
    <w:rsid w:val="00561B8A"/>
    <w:rsid w:val="00562440"/>
    <w:rsid w:val="00562E29"/>
    <w:rsid w:val="00563FD0"/>
    <w:rsid w:val="0056441A"/>
    <w:rsid w:val="00565AB9"/>
    <w:rsid w:val="00567CD9"/>
    <w:rsid w:val="00570E2C"/>
    <w:rsid w:val="005715DE"/>
    <w:rsid w:val="00571BDF"/>
    <w:rsid w:val="00572209"/>
    <w:rsid w:val="0057361D"/>
    <w:rsid w:val="00575836"/>
    <w:rsid w:val="00576183"/>
    <w:rsid w:val="005832F0"/>
    <w:rsid w:val="0058669B"/>
    <w:rsid w:val="00586A25"/>
    <w:rsid w:val="00586C32"/>
    <w:rsid w:val="0059073F"/>
    <w:rsid w:val="00591795"/>
    <w:rsid w:val="005929F1"/>
    <w:rsid w:val="00595989"/>
    <w:rsid w:val="00595A35"/>
    <w:rsid w:val="00597741"/>
    <w:rsid w:val="00597936"/>
    <w:rsid w:val="005A02BE"/>
    <w:rsid w:val="005A30F5"/>
    <w:rsid w:val="005A62CC"/>
    <w:rsid w:val="005A6DF0"/>
    <w:rsid w:val="005A7112"/>
    <w:rsid w:val="005A7597"/>
    <w:rsid w:val="005A771B"/>
    <w:rsid w:val="005B057C"/>
    <w:rsid w:val="005B060A"/>
    <w:rsid w:val="005B1633"/>
    <w:rsid w:val="005B3F9E"/>
    <w:rsid w:val="005B4CAF"/>
    <w:rsid w:val="005B6D9E"/>
    <w:rsid w:val="005C1D39"/>
    <w:rsid w:val="005C1DA2"/>
    <w:rsid w:val="005C37EB"/>
    <w:rsid w:val="005C38B3"/>
    <w:rsid w:val="005C3C2C"/>
    <w:rsid w:val="005C47F9"/>
    <w:rsid w:val="005C7C84"/>
    <w:rsid w:val="005D0094"/>
    <w:rsid w:val="005D077A"/>
    <w:rsid w:val="005D0B60"/>
    <w:rsid w:val="005D12E0"/>
    <w:rsid w:val="005D1D8D"/>
    <w:rsid w:val="005D211A"/>
    <w:rsid w:val="005D32B5"/>
    <w:rsid w:val="005D3486"/>
    <w:rsid w:val="005D760C"/>
    <w:rsid w:val="005D7839"/>
    <w:rsid w:val="005E004E"/>
    <w:rsid w:val="005E03E1"/>
    <w:rsid w:val="005E1750"/>
    <w:rsid w:val="005E2466"/>
    <w:rsid w:val="005E400F"/>
    <w:rsid w:val="005E40F7"/>
    <w:rsid w:val="005F01A6"/>
    <w:rsid w:val="005F0A3F"/>
    <w:rsid w:val="005F0ACB"/>
    <w:rsid w:val="005F1561"/>
    <w:rsid w:val="005F26F7"/>
    <w:rsid w:val="005F2878"/>
    <w:rsid w:val="005F29E5"/>
    <w:rsid w:val="005F34C4"/>
    <w:rsid w:val="005F41FE"/>
    <w:rsid w:val="005F5854"/>
    <w:rsid w:val="005F5EAE"/>
    <w:rsid w:val="005F70AC"/>
    <w:rsid w:val="005F75C0"/>
    <w:rsid w:val="006005A9"/>
    <w:rsid w:val="0060208E"/>
    <w:rsid w:val="006026E7"/>
    <w:rsid w:val="00602D89"/>
    <w:rsid w:val="00603EC2"/>
    <w:rsid w:val="00605C7D"/>
    <w:rsid w:val="00607DB1"/>
    <w:rsid w:val="00610FC9"/>
    <w:rsid w:val="006114BF"/>
    <w:rsid w:val="0061216D"/>
    <w:rsid w:val="00612492"/>
    <w:rsid w:val="00613948"/>
    <w:rsid w:val="006162B2"/>
    <w:rsid w:val="00616555"/>
    <w:rsid w:val="00616577"/>
    <w:rsid w:val="006167E2"/>
    <w:rsid w:val="00621136"/>
    <w:rsid w:val="0062165A"/>
    <w:rsid w:val="0062363D"/>
    <w:rsid w:val="006260C9"/>
    <w:rsid w:val="00630375"/>
    <w:rsid w:val="00630C21"/>
    <w:rsid w:val="00630E83"/>
    <w:rsid w:val="006350E8"/>
    <w:rsid w:val="00635839"/>
    <w:rsid w:val="00635AFC"/>
    <w:rsid w:val="00636EDF"/>
    <w:rsid w:val="00641036"/>
    <w:rsid w:val="0064412F"/>
    <w:rsid w:val="00644A4D"/>
    <w:rsid w:val="00645790"/>
    <w:rsid w:val="0064707B"/>
    <w:rsid w:val="00647547"/>
    <w:rsid w:val="00647D7D"/>
    <w:rsid w:val="0065208D"/>
    <w:rsid w:val="00652E94"/>
    <w:rsid w:val="00653684"/>
    <w:rsid w:val="00654C14"/>
    <w:rsid w:val="006559E8"/>
    <w:rsid w:val="006567F6"/>
    <w:rsid w:val="00656D98"/>
    <w:rsid w:val="006609B5"/>
    <w:rsid w:val="00660CF8"/>
    <w:rsid w:val="0066218C"/>
    <w:rsid w:val="00663F7C"/>
    <w:rsid w:val="0066545F"/>
    <w:rsid w:val="006664A9"/>
    <w:rsid w:val="006667AA"/>
    <w:rsid w:val="00667B7F"/>
    <w:rsid w:val="00667D9C"/>
    <w:rsid w:val="00667DAE"/>
    <w:rsid w:val="00667F0E"/>
    <w:rsid w:val="0067020C"/>
    <w:rsid w:val="006713CE"/>
    <w:rsid w:val="006715EE"/>
    <w:rsid w:val="00671ECD"/>
    <w:rsid w:val="00674EE8"/>
    <w:rsid w:val="006768E1"/>
    <w:rsid w:val="00676CC5"/>
    <w:rsid w:val="00682A84"/>
    <w:rsid w:val="00682E85"/>
    <w:rsid w:val="0068464B"/>
    <w:rsid w:val="006846BD"/>
    <w:rsid w:val="00684BC6"/>
    <w:rsid w:val="00691708"/>
    <w:rsid w:val="00691F39"/>
    <w:rsid w:val="00692D94"/>
    <w:rsid w:val="006934AA"/>
    <w:rsid w:val="006945C7"/>
    <w:rsid w:val="006952B9"/>
    <w:rsid w:val="006959F3"/>
    <w:rsid w:val="006976F9"/>
    <w:rsid w:val="006A0782"/>
    <w:rsid w:val="006A0A4B"/>
    <w:rsid w:val="006A1312"/>
    <w:rsid w:val="006A14F2"/>
    <w:rsid w:val="006A28C4"/>
    <w:rsid w:val="006A2E80"/>
    <w:rsid w:val="006A5D67"/>
    <w:rsid w:val="006A69FB"/>
    <w:rsid w:val="006A6ABB"/>
    <w:rsid w:val="006B0293"/>
    <w:rsid w:val="006B06A8"/>
    <w:rsid w:val="006B2BA7"/>
    <w:rsid w:val="006B36E6"/>
    <w:rsid w:val="006B370F"/>
    <w:rsid w:val="006B46CA"/>
    <w:rsid w:val="006B4E1B"/>
    <w:rsid w:val="006B523B"/>
    <w:rsid w:val="006B5B1E"/>
    <w:rsid w:val="006B5D04"/>
    <w:rsid w:val="006B6EC1"/>
    <w:rsid w:val="006C206C"/>
    <w:rsid w:val="006C5C48"/>
    <w:rsid w:val="006C7D4A"/>
    <w:rsid w:val="006D0AF3"/>
    <w:rsid w:val="006D2CBE"/>
    <w:rsid w:val="006D398F"/>
    <w:rsid w:val="006D3A4D"/>
    <w:rsid w:val="006D5246"/>
    <w:rsid w:val="006D670B"/>
    <w:rsid w:val="006D6F65"/>
    <w:rsid w:val="006D7827"/>
    <w:rsid w:val="006E4458"/>
    <w:rsid w:val="006E4576"/>
    <w:rsid w:val="006E475E"/>
    <w:rsid w:val="006E4DC0"/>
    <w:rsid w:val="006E5E4E"/>
    <w:rsid w:val="006E711D"/>
    <w:rsid w:val="006E7336"/>
    <w:rsid w:val="006F0848"/>
    <w:rsid w:val="006F278B"/>
    <w:rsid w:val="006F442C"/>
    <w:rsid w:val="006F5802"/>
    <w:rsid w:val="007007BB"/>
    <w:rsid w:val="00700C07"/>
    <w:rsid w:val="007015CF"/>
    <w:rsid w:val="00702CBB"/>
    <w:rsid w:val="007038F4"/>
    <w:rsid w:val="00704390"/>
    <w:rsid w:val="0070444E"/>
    <w:rsid w:val="00704FC1"/>
    <w:rsid w:val="00705E0B"/>
    <w:rsid w:val="0070657C"/>
    <w:rsid w:val="007068E0"/>
    <w:rsid w:val="00707E32"/>
    <w:rsid w:val="00710C26"/>
    <w:rsid w:val="00710D09"/>
    <w:rsid w:val="00712D39"/>
    <w:rsid w:val="00713098"/>
    <w:rsid w:val="0071362B"/>
    <w:rsid w:val="00713783"/>
    <w:rsid w:val="00714975"/>
    <w:rsid w:val="00716838"/>
    <w:rsid w:val="00721F90"/>
    <w:rsid w:val="00725085"/>
    <w:rsid w:val="00726316"/>
    <w:rsid w:val="007332BC"/>
    <w:rsid w:val="00733D9F"/>
    <w:rsid w:val="007343F9"/>
    <w:rsid w:val="00734609"/>
    <w:rsid w:val="0073478F"/>
    <w:rsid w:val="0073769F"/>
    <w:rsid w:val="0074076F"/>
    <w:rsid w:val="00740CE4"/>
    <w:rsid w:val="00741C78"/>
    <w:rsid w:val="00741F89"/>
    <w:rsid w:val="00742730"/>
    <w:rsid w:val="00742C3E"/>
    <w:rsid w:val="00743CA6"/>
    <w:rsid w:val="00744E6E"/>
    <w:rsid w:val="00750799"/>
    <w:rsid w:val="00761F3D"/>
    <w:rsid w:val="00761FFA"/>
    <w:rsid w:val="00762B43"/>
    <w:rsid w:val="00762EBB"/>
    <w:rsid w:val="00764878"/>
    <w:rsid w:val="00764CAC"/>
    <w:rsid w:val="0076753D"/>
    <w:rsid w:val="00770D5B"/>
    <w:rsid w:val="0077136D"/>
    <w:rsid w:val="00772B6E"/>
    <w:rsid w:val="00774313"/>
    <w:rsid w:val="00774554"/>
    <w:rsid w:val="00774D12"/>
    <w:rsid w:val="00775F05"/>
    <w:rsid w:val="007776C0"/>
    <w:rsid w:val="00780F3E"/>
    <w:rsid w:val="00782075"/>
    <w:rsid w:val="00784807"/>
    <w:rsid w:val="007848A8"/>
    <w:rsid w:val="007901A5"/>
    <w:rsid w:val="00791AF3"/>
    <w:rsid w:val="00791E0D"/>
    <w:rsid w:val="00792E62"/>
    <w:rsid w:val="00792EC8"/>
    <w:rsid w:val="00793067"/>
    <w:rsid w:val="007932F1"/>
    <w:rsid w:val="00793CF4"/>
    <w:rsid w:val="0079479B"/>
    <w:rsid w:val="007949B2"/>
    <w:rsid w:val="00796B85"/>
    <w:rsid w:val="007A047B"/>
    <w:rsid w:val="007A05B2"/>
    <w:rsid w:val="007A086D"/>
    <w:rsid w:val="007A0FD4"/>
    <w:rsid w:val="007A1F0B"/>
    <w:rsid w:val="007A1FCB"/>
    <w:rsid w:val="007A2436"/>
    <w:rsid w:val="007A25D5"/>
    <w:rsid w:val="007A3560"/>
    <w:rsid w:val="007A3E4A"/>
    <w:rsid w:val="007A4426"/>
    <w:rsid w:val="007A60B6"/>
    <w:rsid w:val="007A7BF9"/>
    <w:rsid w:val="007A7D68"/>
    <w:rsid w:val="007B0A83"/>
    <w:rsid w:val="007B1F4A"/>
    <w:rsid w:val="007B2B6C"/>
    <w:rsid w:val="007B39F2"/>
    <w:rsid w:val="007B76D6"/>
    <w:rsid w:val="007C031D"/>
    <w:rsid w:val="007C0B2E"/>
    <w:rsid w:val="007C3D5F"/>
    <w:rsid w:val="007C3F09"/>
    <w:rsid w:val="007C5EA0"/>
    <w:rsid w:val="007C5F6F"/>
    <w:rsid w:val="007C647B"/>
    <w:rsid w:val="007C6ABE"/>
    <w:rsid w:val="007D13E9"/>
    <w:rsid w:val="007D151C"/>
    <w:rsid w:val="007D2850"/>
    <w:rsid w:val="007D295A"/>
    <w:rsid w:val="007D41A2"/>
    <w:rsid w:val="007D5509"/>
    <w:rsid w:val="007D771C"/>
    <w:rsid w:val="007D7A1A"/>
    <w:rsid w:val="007D7A94"/>
    <w:rsid w:val="007E0379"/>
    <w:rsid w:val="007E0D3D"/>
    <w:rsid w:val="007E0EAA"/>
    <w:rsid w:val="007E10E3"/>
    <w:rsid w:val="007E17E0"/>
    <w:rsid w:val="007E2050"/>
    <w:rsid w:val="007E2C6A"/>
    <w:rsid w:val="007E4C6E"/>
    <w:rsid w:val="007E4D21"/>
    <w:rsid w:val="007E5EB3"/>
    <w:rsid w:val="007E6A05"/>
    <w:rsid w:val="007E719D"/>
    <w:rsid w:val="007F102C"/>
    <w:rsid w:val="007F172E"/>
    <w:rsid w:val="007F31A7"/>
    <w:rsid w:val="007F3871"/>
    <w:rsid w:val="007F43B6"/>
    <w:rsid w:val="007F514C"/>
    <w:rsid w:val="007F61C7"/>
    <w:rsid w:val="007F6853"/>
    <w:rsid w:val="007F72BE"/>
    <w:rsid w:val="007F7553"/>
    <w:rsid w:val="007F7D1C"/>
    <w:rsid w:val="00805EB6"/>
    <w:rsid w:val="00810221"/>
    <w:rsid w:val="00810D0F"/>
    <w:rsid w:val="008150E4"/>
    <w:rsid w:val="008155EF"/>
    <w:rsid w:val="00815724"/>
    <w:rsid w:val="00817470"/>
    <w:rsid w:val="00817F7A"/>
    <w:rsid w:val="00820D17"/>
    <w:rsid w:val="00823AE8"/>
    <w:rsid w:val="00824331"/>
    <w:rsid w:val="00826C27"/>
    <w:rsid w:val="00830A66"/>
    <w:rsid w:val="008326D7"/>
    <w:rsid w:val="008329F9"/>
    <w:rsid w:val="00833F94"/>
    <w:rsid w:val="00834D9D"/>
    <w:rsid w:val="00835209"/>
    <w:rsid w:val="00836374"/>
    <w:rsid w:val="00836D85"/>
    <w:rsid w:val="008377A9"/>
    <w:rsid w:val="00837DA1"/>
    <w:rsid w:val="00837E3B"/>
    <w:rsid w:val="00840C6E"/>
    <w:rsid w:val="00843401"/>
    <w:rsid w:val="0084473E"/>
    <w:rsid w:val="00844C2C"/>
    <w:rsid w:val="00844C94"/>
    <w:rsid w:val="00844FBB"/>
    <w:rsid w:val="00846A08"/>
    <w:rsid w:val="008470AB"/>
    <w:rsid w:val="00847ECA"/>
    <w:rsid w:val="00847FFA"/>
    <w:rsid w:val="0085049D"/>
    <w:rsid w:val="0085069D"/>
    <w:rsid w:val="00852198"/>
    <w:rsid w:val="008524CA"/>
    <w:rsid w:val="0085378A"/>
    <w:rsid w:val="008540EB"/>
    <w:rsid w:val="00854A2C"/>
    <w:rsid w:val="00854BB5"/>
    <w:rsid w:val="00855996"/>
    <w:rsid w:val="008561CD"/>
    <w:rsid w:val="00857FE5"/>
    <w:rsid w:val="00860071"/>
    <w:rsid w:val="00861495"/>
    <w:rsid w:val="008638BF"/>
    <w:rsid w:val="00863BA1"/>
    <w:rsid w:val="00867000"/>
    <w:rsid w:val="00867F5A"/>
    <w:rsid w:val="00871FE4"/>
    <w:rsid w:val="00872177"/>
    <w:rsid w:val="008739C6"/>
    <w:rsid w:val="00874124"/>
    <w:rsid w:val="00880488"/>
    <w:rsid w:val="00880654"/>
    <w:rsid w:val="00881A63"/>
    <w:rsid w:val="008836C1"/>
    <w:rsid w:val="00884B54"/>
    <w:rsid w:val="008869C1"/>
    <w:rsid w:val="00890356"/>
    <w:rsid w:val="00890D8F"/>
    <w:rsid w:val="00891BF0"/>
    <w:rsid w:val="00892865"/>
    <w:rsid w:val="00893558"/>
    <w:rsid w:val="00893FAD"/>
    <w:rsid w:val="008956F3"/>
    <w:rsid w:val="00895A21"/>
    <w:rsid w:val="008962C6"/>
    <w:rsid w:val="008968AF"/>
    <w:rsid w:val="008A061D"/>
    <w:rsid w:val="008A0EA5"/>
    <w:rsid w:val="008A1D4C"/>
    <w:rsid w:val="008A320A"/>
    <w:rsid w:val="008A33F9"/>
    <w:rsid w:val="008A4A0A"/>
    <w:rsid w:val="008A7730"/>
    <w:rsid w:val="008B19C6"/>
    <w:rsid w:val="008B1B9D"/>
    <w:rsid w:val="008B2FAA"/>
    <w:rsid w:val="008B5092"/>
    <w:rsid w:val="008B5DA6"/>
    <w:rsid w:val="008B5EB3"/>
    <w:rsid w:val="008B5EFB"/>
    <w:rsid w:val="008C0E85"/>
    <w:rsid w:val="008C466E"/>
    <w:rsid w:val="008C668E"/>
    <w:rsid w:val="008C6B7C"/>
    <w:rsid w:val="008C6F2C"/>
    <w:rsid w:val="008C71AD"/>
    <w:rsid w:val="008C7301"/>
    <w:rsid w:val="008D2A85"/>
    <w:rsid w:val="008D3C41"/>
    <w:rsid w:val="008D4EEA"/>
    <w:rsid w:val="008D547D"/>
    <w:rsid w:val="008D6F9E"/>
    <w:rsid w:val="008D746B"/>
    <w:rsid w:val="008E0388"/>
    <w:rsid w:val="008E12BA"/>
    <w:rsid w:val="008E13C0"/>
    <w:rsid w:val="008E3429"/>
    <w:rsid w:val="008E4266"/>
    <w:rsid w:val="008E46D5"/>
    <w:rsid w:val="008E5709"/>
    <w:rsid w:val="008E67C2"/>
    <w:rsid w:val="008E6B9A"/>
    <w:rsid w:val="008E7796"/>
    <w:rsid w:val="008E7A4A"/>
    <w:rsid w:val="008E7B71"/>
    <w:rsid w:val="008F0E9A"/>
    <w:rsid w:val="008F1467"/>
    <w:rsid w:val="008F334C"/>
    <w:rsid w:val="008F35F0"/>
    <w:rsid w:val="008F4557"/>
    <w:rsid w:val="008F6B81"/>
    <w:rsid w:val="00900517"/>
    <w:rsid w:val="00901B0D"/>
    <w:rsid w:val="00904062"/>
    <w:rsid w:val="009048A7"/>
    <w:rsid w:val="00904ACE"/>
    <w:rsid w:val="0090548D"/>
    <w:rsid w:val="00907285"/>
    <w:rsid w:val="00907E6B"/>
    <w:rsid w:val="0091073B"/>
    <w:rsid w:val="00910B12"/>
    <w:rsid w:val="00910DEE"/>
    <w:rsid w:val="00911666"/>
    <w:rsid w:val="009119E3"/>
    <w:rsid w:val="00911B2B"/>
    <w:rsid w:val="00912DEC"/>
    <w:rsid w:val="00916D69"/>
    <w:rsid w:val="00916F49"/>
    <w:rsid w:val="00925B43"/>
    <w:rsid w:val="00925D4A"/>
    <w:rsid w:val="00926F91"/>
    <w:rsid w:val="009279E2"/>
    <w:rsid w:val="00927EDE"/>
    <w:rsid w:val="00930108"/>
    <w:rsid w:val="00931116"/>
    <w:rsid w:val="00931DF5"/>
    <w:rsid w:val="00932632"/>
    <w:rsid w:val="0093365C"/>
    <w:rsid w:val="00935FC0"/>
    <w:rsid w:val="00936FB9"/>
    <w:rsid w:val="00937844"/>
    <w:rsid w:val="009406DE"/>
    <w:rsid w:val="00941B9C"/>
    <w:rsid w:val="00943A2F"/>
    <w:rsid w:val="009455DC"/>
    <w:rsid w:val="00946EE4"/>
    <w:rsid w:val="009475C8"/>
    <w:rsid w:val="00950733"/>
    <w:rsid w:val="00953BC6"/>
    <w:rsid w:val="00954A73"/>
    <w:rsid w:val="00955051"/>
    <w:rsid w:val="009556CD"/>
    <w:rsid w:val="00960129"/>
    <w:rsid w:val="00961D8C"/>
    <w:rsid w:val="00962146"/>
    <w:rsid w:val="0096338C"/>
    <w:rsid w:val="00963CE5"/>
    <w:rsid w:val="00964406"/>
    <w:rsid w:val="00966DDC"/>
    <w:rsid w:val="00971EB6"/>
    <w:rsid w:val="009723F3"/>
    <w:rsid w:val="009725E8"/>
    <w:rsid w:val="00974FC3"/>
    <w:rsid w:val="0097567B"/>
    <w:rsid w:val="009763DA"/>
    <w:rsid w:val="00977382"/>
    <w:rsid w:val="00977AF0"/>
    <w:rsid w:val="00980615"/>
    <w:rsid w:val="0098173C"/>
    <w:rsid w:val="0098197C"/>
    <w:rsid w:val="00983BF8"/>
    <w:rsid w:val="009855D2"/>
    <w:rsid w:val="00985B79"/>
    <w:rsid w:val="00986755"/>
    <w:rsid w:val="0099066C"/>
    <w:rsid w:val="00990DA5"/>
    <w:rsid w:val="00994F42"/>
    <w:rsid w:val="00995E2F"/>
    <w:rsid w:val="009960B6"/>
    <w:rsid w:val="009966BC"/>
    <w:rsid w:val="009A012D"/>
    <w:rsid w:val="009A018C"/>
    <w:rsid w:val="009A3227"/>
    <w:rsid w:val="009A3F7D"/>
    <w:rsid w:val="009A4222"/>
    <w:rsid w:val="009A4858"/>
    <w:rsid w:val="009A721E"/>
    <w:rsid w:val="009B1435"/>
    <w:rsid w:val="009B2585"/>
    <w:rsid w:val="009B3BB7"/>
    <w:rsid w:val="009B501D"/>
    <w:rsid w:val="009B5441"/>
    <w:rsid w:val="009B63DB"/>
    <w:rsid w:val="009B756B"/>
    <w:rsid w:val="009C061F"/>
    <w:rsid w:val="009C0CA5"/>
    <w:rsid w:val="009C14B8"/>
    <w:rsid w:val="009C238D"/>
    <w:rsid w:val="009C3698"/>
    <w:rsid w:val="009C660E"/>
    <w:rsid w:val="009D0138"/>
    <w:rsid w:val="009D0998"/>
    <w:rsid w:val="009D0A2D"/>
    <w:rsid w:val="009D0FDD"/>
    <w:rsid w:val="009D4D79"/>
    <w:rsid w:val="009D5959"/>
    <w:rsid w:val="009D7B9B"/>
    <w:rsid w:val="009E137E"/>
    <w:rsid w:val="009E26D5"/>
    <w:rsid w:val="009E50EF"/>
    <w:rsid w:val="009E524E"/>
    <w:rsid w:val="009E7182"/>
    <w:rsid w:val="009E7CDF"/>
    <w:rsid w:val="009F0021"/>
    <w:rsid w:val="009F01B5"/>
    <w:rsid w:val="009F1E3D"/>
    <w:rsid w:val="009F2BD5"/>
    <w:rsid w:val="009F4176"/>
    <w:rsid w:val="009F5691"/>
    <w:rsid w:val="009F587E"/>
    <w:rsid w:val="009F5968"/>
    <w:rsid w:val="009F614B"/>
    <w:rsid w:val="00A00C6D"/>
    <w:rsid w:val="00A00D71"/>
    <w:rsid w:val="00A027BB"/>
    <w:rsid w:val="00A0281C"/>
    <w:rsid w:val="00A028AE"/>
    <w:rsid w:val="00A033B3"/>
    <w:rsid w:val="00A04A09"/>
    <w:rsid w:val="00A04B6D"/>
    <w:rsid w:val="00A04D66"/>
    <w:rsid w:val="00A0735B"/>
    <w:rsid w:val="00A0793D"/>
    <w:rsid w:val="00A126C5"/>
    <w:rsid w:val="00A14D9B"/>
    <w:rsid w:val="00A160C6"/>
    <w:rsid w:val="00A167D8"/>
    <w:rsid w:val="00A20A20"/>
    <w:rsid w:val="00A215E7"/>
    <w:rsid w:val="00A2176C"/>
    <w:rsid w:val="00A21E8F"/>
    <w:rsid w:val="00A220CE"/>
    <w:rsid w:val="00A23ECA"/>
    <w:rsid w:val="00A24BE8"/>
    <w:rsid w:val="00A24D75"/>
    <w:rsid w:val="00A25D3D"/>
    <w:rsid w:val="00A25EAB"/>
    <w:rsid w:val="00A27524"/>
    <w:rsid w:val="00A27655"/>
    <w:rsid w:val="00A27689"/>
    <w:rsid w:val="00A32B4F"/>
    <w:rsid w:val="00A333BB"/>
    <w:rsid w:val="00A336EA"/>
    <w:rsid w:val="00A33890"/>
    <w:rsid w:val="00A34303"/>
    <w:rsid w:val="00A415E6"/>
    <w:rsid w:val="00A41696"/>
    <w:rsid w:val="00A424B7"/>
    <w:rsid w:val="00A42D97"/>
    <w:rsid w:val="00A4328C"/>
    <w:rsid w:val="00A435ED"/>
    <w:rsid w:val="00A4545A"/>
    <w:rsid w:val="00A455C8"/>
    <w:rsid w:val="00A4576C"/>
    <w:rsid w:val="00A460A1"/>
    <w:rsid w:val="00A469CF"/>
    <w:rsid w:val="00A470BE"/>
    <w:rsid w:val="00A47B5D"/>
    <w:rsid w:val="00A47CB1"/>
    <w:rsid w:val="00A522F8"/>
    <w:rsid w:val="00A54B7A"/>
    <w:rsid w:val="00A603CD"/>
    <w:rsid w:val="00A621C2"/>
    <w:rsid w:val="00A63997"/>
    <w:rsid w:val="00A63E07"/>
    <w:rsid w:val="00A65361"/>
    <w:rsid w:val="00A70B20"/>
    <w:rsid w:val="00A7196B"/>
    <w:rsid w:val="00A71B29"/>
    <w:rsid w:val="00A72106"/>
    <w:rsid w:val="00A7211D"/>
    <w:rsid w:val="00A72769"/>
    <w:rsid w:val="00A730FA"/>
    <w:rsid w:val="00A73C07"/>
    <w:rsid w:val="00A73CE2"/>
    <w:rsid w:val="00A76394"/>
    <w:rsid w:val="00A77308"/>
    <w:rsid w:val="00A7754E"/>
    <w:rsid w:val="00A77B98"/>
    <w:rsid w:val="00A80F2A"/>
    <w:rsid w:val="00A814DE"/>
    <w:rsid w:val="00A83B1E"/>
    <w:rsid w:val="00A841B3"/>
    <w:rsid w:val="00A84458"/>
    <w:rsid w:val="00A84696"/>
    <w:rsid w:val="00A870D2"/>
    <w:rsid w:val="00A87D02"/>
    <w:rsid w:val="00A90CF8"/>
    <w:rsid w:val="00A910E2"/>
    <w:rsid w:val="00A913DC"/>
    <w:rsid w:val="00A93C1A"/>
    <w:rsid w:val="00A94DE2"/>
    <w:rsid w:val="00A95F9C"/>
    <w:rsid w:val="00A97C40"/>
    <w:rsid w:val="00AA07D6"/>
    <w:rsid w:val="00AA18F4"/>
    <w:rsid w:val="00AA35EB"/>
    <w:rsid w:val="00AA3D8B"/>
    <w:rsid w:val="00AA43D3"/>
    <w:rsid w:val="00AA52E3"/>
    <w:rsid w:val="00AA543A"/>
    <w:rsid w:val="00AA76CB"/>
    <w:rsid w:val="00AA78D0"/>
    <w:rsid w:val="00AB08B6"/>
    <w:rsid w:val="00AB241F"/>
    <w:rsid w:val="00AB29BA"/>
    <w:rsid w:val="00AB2F65"/>
    <w:rsid w:val="00AB33B6"/>
    <w:rsid w:val="00AB3A50"/>
    <w:rsid w:val="00AB40BD"/>
    <w:rsid w:val="00AB4525"/>
    <w:rsid w:val="00AB4C8A"/>
    <w:rsid w:val="00AB5253"/>
    <w:rsid w:val="00AB5439"/>
    <w:rsid w:val="00AB5DA7"/>
    <w:rsid w:val="00AC0567"/>
    <w:rsid w:val="00AC1AC0"/>
    <w:rsid w:val="00AC440B"/>
    <w:rsid w:val="00AC4DD8"/>
    <w:rsid w:val="00AC6BAE"/>
    <w:rsid w:val="00AC70E1"/>
    <w:rsid w:val="00AD065C"/>
    <w:rsid w:val="00AD0A33"/>
    <w:rsid w:val="00AD1645"/>
    <w:rsid w:val="00AD35EF"/>
    <w:rsid w:val="00AD5A1A"/>
    <w:rsid w:val="00AD6E57"/>
    <w:rsid w:val="00AE0368"/>
    <w:rsid w:val="00AE11A9"/>
    <w:rsid w:val="00AE2907"/>
    <w:rsid w:val="00AE2DE2"/>
    <w:rsid w:val="00AE337E"/>
    <w:rsid w:val="00AE3DA0"/>
    <w:rsid w:val="00AE516E"/>
    <w:rsid w:val="00AE63C0"/>
    <w:rsid w:val="00AF01DB"/>
    <w:rsid w:val="00AF0A9D"/>
    <w:rsid w:val="00AF2568"/>
    <w:rsid w:val="00AF463B"/>
    <w:rsid w:val="00AF47E3"/>
    <w:rsid w:val="00B003EA"/>
    <w:rsid w:val="00B01BBE"/>
    <w:rsid w:val="00B0293F"/>
    <w:rsid w:val="00B0388E"/>
    <w:rsid w:val="00B03A7B"/>
    <w:rsid w:val="00B061D5"/>
    <w:rsid w:val="00B10BA0"/>
    <w:rsid w:val="00B11287"/>
    <w:rsid w:val="00B11D1A"/>
    <w:rsid w:val="00B11EDA"/>
    <w:rsid w:val="00B12A51"/>
    <w:rsid w:val="00B13AD3"/>
    <w:rsid w:val="00B13C1C"/>
    <w:rsid w:val="00B150B5"/>
    <w:rsid w:val="00B178F6"/>
    <w:rsid w:val="00B20490"/>
    <w:rsid w:val="00B20DCF"/>
    <w:rsid w:val="00B21E8A"/>
    <w:rsid w:val="00B21F17"/>
    <w:rsid w:val="00B23421"/>
    <w:rsid w:val="00B23441"/>
    <w:rsid w:val="00B24A61"/>
    <w:rsid w:val="00B25AC3"/>
    <w:rsid w:val="00B30992"/>
    <w:rsid w:val="00B316CF"/>
    <w:rsid w:val="00B32EBF"/>
    <w:rsid w:val="00B33E11"/>
    <w:rsid w:val="00B34E01"/>
    <w:rsid w:val="00B409B2"/>
    <w:rsid w:val="00B40B6E"/>
    <w:rsid w:val="00B4256E"/>
    <w:rsid w:val="00B4264C"/>
    <w:rsid w:val="00B4757C"/>
    <w:rsid w:val="00B51388"/>
    <w:rsid w:val="00B5155E"/>
    <w:rsid w:val="00B51DC7"/>
    <w:rsid w:val="00B52D8A"/>
    <w:rsid w:val="00B537EC"/>
    <w:rsid w:val="00B5487E"/>
    <w:rsid w:val="00B54B9B"/>
    <w:rsid w:val="00B54EE8"/>
    <w:rsid w:val="00B55BCD"/>
    <w:rsid w:val="00B55D4C"/>
    <w:rsid w:val="00B62EEE"/>
    <w:rsid w:val="00B633A8"/>
    <w:rsid w:val="00B654E7"/>
    <w:rsid w:val="00B659BE"/>
    <w:rsid w:val="00B65DDD"/>
    <w:rsid w:val="00B677C8"/>
    <w:rsid w:val="00B679F7"/>
    <w:rsid w:val="00B7005D"/>
    <w:rsid w:val="00B7081C"/>
    <w:rsid w:val="00B71920"/>
    <w:rsid w:val="00B72DF8"/>
    <w:rsid w:val="00B7388D"/>
    <w:rsid w:val="00B739FD"/>
    <w:rsid w:val="00B74F78"/>
    <w:rsid w:val="00B75515"/>
    <w:rsid w:val="00B75683"/>
    <w:rsid w:val="00B761CC"/>
    <w:rsid w:val="00B7679D"/>
    <w:rsid w:val="00B76A4C"/>
    <w:rsid w:val="00B7742C"/>
    <w:rsid w:val="00B800F5"/>
    <w:rsid w:val="00B813DB"/>
    <w:rsid w:val="00B82E6E"/>
    <w:rsid w:val="00B84811"/>
    <w:rsid w:val="00B872C4"/>
    <w:rsid w:val="00B87756"/>
    <w:rsid w:val="00B91D17"/>
    <w:rsid w:val="00B92F00"/>
    <w:rsid w:val="00B96D27"/>
    <w:rsid w:val="00BA2880"/>
    <w:rsid w:val="00BA3238"/>
    <w:rsid w:val="00BA3B28"/>
    <w:rsid w:val="00BA442C"/>
    <w:rsid w:val="00BA51E7"/>
    <w:rsid w:val="00BA5B7E"/>
    <w:rsid w:val="00BB28FB"/>
    <w:rsid w:val="00BB2A0A"/>
    <w:rsid w:val="00BB4A0F"/>
    <w:rsid w:val="00BB4B33"/>
    <w:rsid w:val="00BC22B6"/>
    <w:rsid w:val="00BC2B2B"/>
    <w:rsid w:val="00BC32B7"/>
    <w:rsid w:val="00BC3D8D"/>
    <w:rsid w:val="00BC5D97"/>
    <w:rsid w:val="00BC6A58"/>
    <w:rsid w:val="00BC6BD2"/>
    <w:rsid w:val="00BD0740"/>
    <w:rsid w:val="00BD15E8"/>
    <w:rsid w:val="00BD257C"/>
    <w:rsid w:val="00BD5B5C"/>
    <w:rsid w:val="00BD6459"/>
    <w:rsid w:val="00BD7300"/>
    <w:rsid w:val="00BE0DBB"/>
    <w:rsid w:val="00BE17A1"/>
    <w:rsid w:val="00BE384B"/>
    <w:rsid w:val="00BE4439"/>
    <w:rsid w:val="00BE488D"/>
    <w:rsid w:val="00BE5FE7"/>
    <w:rsid w:val="00BF1148"/>
    <w:rsid w:val="00BF1BBB"/>
    <w:rsid w:val="00BF1D41"/>
    <w:rsid w:val="00BF2BD5"/>
    <w:rsid w:val="00C02F79"/>
    <w:rsid w:val="00C02FFE"/>
    <w:rsid w:val="00C03B1B"/>
    <w:rsid w:val="00C03E77"/>
    <w:rsid w:val="00C05603"/>
    <w:rsid w:val="00C05D82"/>
    <w:rsid w:val="00C0608E"/>
    <w:rsid w:val="00C117AA"/>
    <w:rsid w:val="00C11C9A"/>
    <w:rsid w:val="00C13AE4"/>
    <w:rsid w:val="00C16664"/>
    <w:rsid w:val="00C16EC8"/>
    <w:rsid w:val="00C179B7"/>
    <w:rsid w:val="00C17ECC"/>
    <w:rsid w:val="00C22681"/>
    <w:rsid w:val="00C233FB"/>
    <w:rsid w:val="00C2388E"/>
    <w:rsid w:val="00C23DEA"/>
    <w:rsid w:val="00C25302"/>
    <w:rsid w:val="00C256AC"/>
    <w:rsid w:val="00C25A0D"/>
    <w:rsid w:val="00C264F4"/>
    <w:rsid w:val="00C27182"/>
    <w:rsid w:val="00C2723F"/>
    <w:rsid w:val="00C343DF"/>
    <w:rsid w:val="00C356D8"/>
    <w:rsid w:val="00C36948"/>
    <w:rsid w:val="00C36DB1"/>
    <w:rsid w:val="00C40011"/>
    <w:rsid w:val="00C4004A"/>
    <w:rsid w:val="00C40316"/>
    <w:rsid w:val="00C50360"/>
    <w:rsid w:val="00C50C7B"/>
    <w:rsid w:val="00C54624"/>
    <w:rsid w:val="00C555F5"/>
    <w:rsid w:val="00C56350"/>
    <w:rsid w:val="00C60344"/>
    <w:rsid w:val="00C623D9"/>
    <w:rsid w:val="00C62674"/>
    <w:rsid w:val="00C62984"/>
    <w:rsid w:val="00C62C86"/>
    <w:rsid w:val="00C660D1"/>
    <w:rsid w:val="00C6660D"/>
    <w:rsid w:val="00C669F8"/>
    <w:rsid w:val="00C66E1A"/>
    <w:rsid w:val="00C6735D"/>
    <w:rsid w:val="00C70194"/>
    <w:rsid w:val="00C7104E"/>
    <w:rsid w:val="00C726C9"/>
    <w:rsid w:val="00C738DA"/>
    <w:rsid w:val="00C7504B"/>
    <w:rsid w:val="00C754AF"/>
    <w:rsid w:val="00C75E52"/>
    <w:rsid w:val="00C800C4"/>
    <w:rsid w:val="00C83BDA"/>
    <w:rsid w:val="00C85A50"/>
    <w:rsid w:val="00C86E1A"/>
    <w:rsid w:val="00C8768C"/>
    <w:rsid w:val="00C90F6F"/>
    <w:rsid w:val="00C92D49"/>
    <w:rsid w:val="00C94B59"/>
    <w:rsid w:val="00C94C20"/>
    <w:rsid w:val="00C95F00"/>
    <w:rsid w:val="00C96D2D"/>
    <w:rsid w:val="00C97DF2"/>
    <w:rsid w:val="00CA52A1"/>
    <w:rsid w:val="00CA5458"/>
    <w:rsid w:val="00CB01CA"/>
    <w:rsid w:val="00CB14FA"/>
    <w:rsid w:val="00CB2F4B"/>
    <w:rsid w:val="00CB355F"/>
    <w:rsid w:val="00CB3E75"/>
    <w:rsid w:val="00CB5157"/>
    <w:rsid w:val="00CC0E2D"/>
    <w:rsid w:val="00CC1979"/>
    <w:rsid w:val="00CC350B"/>
    <w:rsid w:val="00CC46D9"/>
    <w:rsid w:val="00CD0066"/>
    <w:rsid w:val="00CD0620"/>
    <w:rsid w:val="00CD1B1D"/>
    <w:rsid w:val="00CD276C"/>
    <w:rsid w:val="00CD4ECD"/>
    <w:rsid w:val="00CD5A78"/>
    <w:rsid w:val="00CD7C95"/>
    <w:rsid w:val="00CD7F53"/>
    <w:rsid w:val="00CE168E"/>
    <w:rsid w:val="00CE1B1C"/>
    <w:rsid w:val="00CE1EB6"/>
    <w:rsid w:val="00CE2B5F"/>
    <w:rsid w:val="00CE3219"/>
    <w:rsid w:val="00CE3E52"/>
    <w:rsid w:val="00CE3F45"/>
    <w:rsid w:val="00CE61EB"/>
    <w:rsid w:val="00CE6654"/>
    <w:rsid w:val="00CE6A4F"/>
    <w:rsid w:val="00CF133C"/>
    <w:rsid w:val="00CF3133"/>
    <w:rsid w:val="00CF72EC"/>
    <w:rsid w:val="00D0143A"/>
    <w:rsid w:val="00D01A34"/>
    <w:rsid w:val="00D02843"/>
    <w:rsid w:val="00D04304"/>
    <w:rsid w:val="00D0536E"/>
    <w:rsid w:val="00D063B2"/>
    <w:rsid w:val="00D10086"/>
    <w:rsid w:val="00D10A3C"/>
    <w:rsid w:val="00D10A50"/>
    <w:rsid w:val="00D119CD"/>
    <w:rsid w:val="00D129A4"/>
    <w:rsid w:val="00D14433"/>
    <w:rsid w:val="00D148F0"/>
    <w:rsid w:val="00D1588A"/>
    <w:rsid w:val="00D15AC2"/>
    <w:rsid w:val="00D15DC2"/>
    <w:rsid w:val="00D1724D"/>
    <w:rsid w:val="00D1751D"/>
    <w:rsid w:val="00D22468"/>
    <w:rsid w:val="00D225A1"/>
    <w:rsid w:val="00D225D5"/>
    <w:rsid w:val="00D23576"/>
    <w:rsid w:val="00D239FD"/>
    <w:rsid w:val="00D25AEE"/>
    <w:rsid w:val="00D2649F"/>
    <w:rsid w:val="00D269C7"/>
    <w:rsid w:val="00D27E7A"/>
    <w:rsid w:val="00D32E04"/>
    <w:rsid w:val="00D330D9"/>
    <w:rsid w:val="00D33FCC"/>
    <w:rsid w:val="00D34609"/>
    <w:rsid w:val="00D36FC0"/>
    <w:rsid w:val="00D401DF"/>
    <w:rsid w:val="00D4109D"/>
    <w:rsid w:val="00D41FA7"/>
    <w:rsid w:val="00D44E4A"/>
    <w:rsid w:val="00D50DAC"/>
    <w:rsid w:val="00D51EE9"/>
    <w:rsid w:val="00D52B52"/>
    <w:rsid w:val="00D5534F"/>
    <w:rsid w:val="00D570F9"/>
    <w:rsid w:val="00D6013B"/>
    <w:rsid w:val="00D619F1"/>
    <w:rsid w:val="00D6471E"/>
    <w:rsid w:val="00D65024"/>
    <w:rsid w:val="00D704A5"/>
    <w:rsid w:val="00D71805"/>
    <w:rsid w:val="00D72B66"/>
    <w:rsid w:val="00D745D8"/>
    <w:rsid w:val="00D804D8"/>
    <w:rsid w:val="00D823A0"/>
    <w:rsid w:val="00D82507"/>
    <w:rsid w:val="00D83D8F"/>
    <w:rsid w:val="00D849C4"/>
    <w:rsid w:val="00D862A3"/>
    <w:rsid w:val="00D86569"/>
    <w:rsid w:val="00D9360A"/>
    <w:rsid w:val="00D9380C"/>
    <w:rsid w:val="00D94303"/>
    <w:rsid w:val="00D9538C"/>
    <w:rsid w:val="00D96A79"/>
    <w:rsid w:val="00D97087"/>
    <w:rsid w:val="00DA3491"/>
    <w:rsid w:val="00DA3AE9"/>
    <w:rsid w:val="00DA3B4C"/>
    <w:rsid w:val="00DA55B9"/>
    <w:rsid w:val="00DA5BEB"/>
    <w:rsid w:val="00DA71BD"/>
    <w:rsid w:val="00DA71D8"/>
    <w:rsid w:val="00DA78A8"/>
    <w:rsid w:val="00DB01C7"/>
    <w:rsid w:val="00DB0267"/>
    <w:rsid w:val="00DB02B7"/>
    <w:rsid w:val="00DB0AA1"/>
    <w:rsid w:val="00DB1E5A"/>
    <w:rsid w:val="00DB2A7C"/>
    <w:rsid w:val="00DB3A79"/>
    <w:rsid w:val="00DB3F58"/>
    <w:rsid w:val="00DB4DA0"/>
    <w:rsid w:val="00DB54A8"/>
    <w:rsid w:val="00DB6133"/>
    <w:rsid w:val="00DB6935"/>
    <w:rsid w:val="00DB6A36"/>
    <w:rsid w:val="00DB6D4F"/>
    <w:rsid w:val="00DC1029"/>
    <w:rsid w:val="00DC2148"/>
    <w:rsid w:val="00DC4D04"/>
    <w:rsid w:val="00DC5F77"/>
    <w:rsid w:val="00DC65A7"/>
    <w:rsid w:val="00DD024B"/>
    <w:rsid w:val="00DD099E"/>
    <w:rsid w:val="00DD0FA9"/>
    <w:rsid w:val="00DD30E3"/>
    <w:rsid w:val="00DD3E0B"/>
    <w:rsid w:val="00DD48E6"/>
    <w:rsid w:val="00DD51ED"/>
    <w:rsid w:val="00DE01A0"/>
    <w:rsid w:val="00DE01B6"/>
    <w:rsid w:val="00DE0BE8"/>
    <w:rsid w:val="00DE1F44"/>
    <w:rsid w:val="00DE201B"/>
    <w:rsid w:val="00DE3069"/>
    <w:rsid w:val="00DE3FDD"/>
    <w:rsid w:val="00DE5ED3"/>
    <w:rsid w:val="00DE7BEC"/>
    <w:rsid w:val="00DF0B95"/>
    <w:rsid w:val="00DF0C41"/>
    <w:rsid w:val="00DF162D"/>
    <w:rsid w:val="00DF2716"/>
    <w:rsid w:val="00DF29FA"/>
    <w:rsid w:val="00E00046"/>
    <w:rsid w:val="00E001DE"/>
    <w:rsid w:val="00E0036D"/>
    <w:rsid w:val="00E0128B"/>
    <w:rsid w:val="00E012A8"/>
    <w:rsid w:val="00E014FA"/>
    <w:rsid w:val="00E017F3"/>
    <w:rsid w:val="00E042A5"/>
    <w:rsid w:val="00E05A71"/>
    <w:rsid w:val="00E05B3B"/>
    <w:rsid w:val="00E06540"/>
    <w:rsid w:val="00E07003"/>
    <w:rsid w:val="00E10B47"/>
    <w:rsid w:val="00E12829"/>
    <w:rsid w:val="00E15861"/>
    <w:rsid w:val="00E15EFE"/>
    <w:rsid w:val="00E1609F"/>
    <w:rsid w:val="00E174AA"/>
    <w:rsid w:val="00E17862"/>
    <w:rsid w:val="00E21316"/>
    <w:rsid w:val="00E22AD8"/>
    <w:rsid w:val="00E266EA"/>
    <w:rsid w:val="00E268A8"/>
    <w:rsid w:val="00E2775D"/>
    <w:rsid w:val="00E279E2"/>
    <w:rsid w:val="00E30FBF"/>
    <w:rsid w:val="00E3111C"/>
    <w:rsid w:val="00E33D61"/>
    <w:rsid w:val="00E340C7"/>
    <w:rsid w:val="00E342E1"/>
    <w:rsid w:val="00E3683C"/>
    <w:rsid w:val="00E37498"/>
    <w:rsid w:val="00E4090C"/>
    <w:rsid w:val="00E4146E"/>
    <w:rsid w:val="00E42D37"/>
    <w:rsid w:val="00E43BF0"/>
    <w:rsid w:val="00E45BB1"/>
    <w:rsid w:val="00E50C00"/>
    <w:rsid w:val="00E51467"/>
    <w:rsid w:val="00E54A3D"/>
    <w:rsid w:val="00E55BA1"/>
    <w:rsid w:val="00E577E3"/>
    <w:rsid w:val="00E57D9E"/>
    <w:rsid w:val="00E60060"/>
    <w:rsid w:val="00E60452"/>
    <w:rsid w:val="00E62A18"/>
    <w:rsid w:val="00E63468"/>
    <w:rsid w:val="00E642C2"/>
    <w:rsid w:val="00E653A1"/>
    <w:rsid w:val="00E667CB"/>
    <w:rsid w:val="00E676B2"/>
    <w:rsid w:val="00E7075C"/>
    <w:rsid w:val="00E7133A"/>
    <w:rsid w:val="00E72670"/>
    <w:rsid w:val="00E74C23"/>
    <w:rsid w:val="00E774C9"/>
    <w:rsid w:val="00E77974"/>
    <w:rsid w:val="00E81341"/>
    <w:rsid w:val="00E813B9"/>
    <w:rsid w:val="00E82CBE"/>
    <w:rsid w:val="00E82FE8"/>
    <w:rsid w:val="00E832F8"/>
    <w:rsid w:val="00E837F1"/>
    <w:rsid w:val="00E8517E"/>
    <w:rsid w:val="00E85C3C"/>
    <w:rsid w:val="00E85CBE"/>
    <w:rsid w:val="00E8709C"/>
    <w:rsid w:val="00E91692"/>
    <w:rsid w:val="00E91F46"/>
    <w:rsid w:val="00E930F6"/>
    <w:rsid w:val="00E947FC"/>
    <w:rsid w:val="00E952A2"/>
    <w:rsid w:val="00E96F66"/>
    <w:rsid w:val="00E97CD1"/>
    <w:rsid w:val="00EA02CA"/>
    <w:rsid w:val="00EA0681"/>
    <w:rsid w:val="00EA1DFF"/>
    <w:rsid w:val="00EA278B"/>
    <w:rsid w:val="00EA33C9"/>
    <w:rsid w:val="00EA479C"/>
    <w:rsid w:val="00EA50C6"/>
    <w:rsid w:val="00EB02C5"/>
    <w:rsid w:val="00EB12C0"/>
    <w:rsid w:val="00EB1CE7"/>
    <w:rsid w:val="00EB2CCF"/>
    <w:rsid w:val="00EB312D"/>
    <w:rsid w:val="00EB329A"/>
    <w:rsid w:val="00EB3DCC"/>
    <w:rsid w:val="00EB3EFC"/>
    <w:rsid w:val="00EB4CED"/>
    <w:rsid w:val="00EB543F"/>
    <w:rsid w:val="00EB5E0A"/>
    <w:rsid w:val="00EB7450"/>
    <w:rsid w:val="00EB7841"/>
    <w:rsid w:val="00EB78EA"/>
    <w:rsid w:val="00EC044E"/>
    <w:rsid w:val="00EC07AA"/>
    <w:rsid w:val="00EC0C60"/>
    <w:rsid w:val="00EC119B"/>
    <w:rsid w:val="00EC2A89"/>
    <w:rsid w:val="00EC33D7"/>
    <w:rsid w:val="00EC49F6"/>
    <w:rsid w:val="00EC4DF0"/>
    <w:rsid w:val="00EC5350"/>
    <w:rsid w:val="00ED06F0"/>
    <w:rsid w:val="00ED0FB0"/>
    <w:rsid w:val="00ED15EB"/>
    <w:rsid w:val="00ED4110"/>
    <w:rsid w:val="00ED541B"/>
    <w:rsid w:val="00ED5636"/>
    <w:rsid w:val="00ED59AB"/>
    <w:rsid w:val="00EE13EB"/>
    <w:rsid w:val="00EE1FCC"/>
    <w:rsid w:val="00EE2B34"/>
    <w:rsid w:val="00EE4C82"/>
    <w:rsid w:val="00EE6660"/>
    <w:rsid w:val="00EE6883"/>
    <w:rsid w:val="00EF1651"/>
    <w:rsid w:val="00EF231A"/>
    <w:rsid w:val="00EF284A"/>
    <w:rsid w:val="00EF4A8E"/>
    <w:rsid w:val="00EF6110"/>
    <w:rsid w:val="00F009AD"/>
    <w:rsid w:val="00F00CD1"/>
    <w:rsid w:val="00F0133B"/>
    <w:rsid w:val="00F02A13"/>
    <w:rsid w:val="00F03CC7"/>
    <w:rsid w:val="00F051DC"/>
    <w:rsid w:val="00F06C66"/>
    <w:rsid w:val="00F06D64"/>
    <w:rsid w:val="00F06F20"/>
    <w:rsid w:val="00F06F32"/>
    <w:rsid w:val="00F06FA4"/>
    <w:rsid w:val="00F10AE5"/>
    <w:rsid w:val="00F110E4"/>
    <w:rsid w:val="00F1131B"/>
    <w:rsid w:val="00F11ACE"/>
    <w:rsid w:val="00F11C7D"/>
    <w:rsid w:val="00F12551"/>
    <w:rsid w:val="00F12C39"/>
    <w:rsid w:val="00F13CB9"/>
    <w:rsid w:val="00F13D53"/>
    <w:rsid w:val="00F14050"/>
    <w:rsid w:val="00F140B6"/>
    <w:rsid w:val="00F14671"/>
    <w:rsid w:val="00F15250"/>
    <w:rsid w:val="00F17372"/>
    <w:rsid w:val="00F20745"/>
    <w:rsid w:val="00F2260D"/>
    <w:rsid w:val="00F234FD"/>
    <w:rsid w:val="00F247F7"/>
    <w:rsid w:val="00F26562"/>
    <w:rsid w:val="00F266F4"/>
    <w:rsid w:val="00F30676"/>
    <w:rsid w:val="00F309B3"/>
    <w:rsid w:val="00F31532"/>
    <w:rsid w:val="00F323D5"/>
    <w:rsid w:val="00F33CD1"/>
    <w:rsid w:val="00F34E2D"/>
    <w:rsid w:val="00F355B9"/>
    <w:rsid w:val="00F3754A"/>
    <w:rsid w:val="00F40686"/>
    <w:rsid w:val="00F40D2B"/>
    <w:rsid w:val="00F418BA"/>
    <w:rsid w:val="00F42156"/>
    <w:rsid w:val="00F44967"/>
    <w:rsid w:val="00F45C4A"/>
    <w:rsid w:val="00F45ED8"/>
    <w:rsid w:val="00F47877"/>
    <w:rsid w:val="00F506D8"/>
    <w:rsid w:val="00F510A8"/>
    <w:rsid w:val="00F52426"/>
    <w:rsid w:val="00F5243A"/>
    <w:rsid w:val="00F52FB3"/>
    <w:rsid w:val="00F53103"/>
    <w:rsid w:val="00F54C5C"/>
    <w:rsid w:val="00F5506D"/>
    <w:rsid w:val="00F56659"/>
    <w:rsid w:val="00F574B9"/>
    <w:rsid w:val="00F60519"/>
    <w:rsid w:val="00F6088D"/>
    <w:rsid w:val="00F60AF1"/>
    <w:rsid w:val="00F60CDA"/>
    <w:rsid w:val="00F61022"/>
    <w:rsid w:val="00F61B59"/>
    <w:rsid w:val="00F62028"/>
    <w:rsid w:val="00F63A75"/>
    <w:rsid w:val="00F63F34"/>
    <w:rsid w:val="00F65412"/>
    <w:rsid w:val="00F704C5"/>
    <w:rsid w:val="00F710ED"/>
    <w:rsid w:val="00F734C7"/>
    <w:rsid w:val="00F74CD2"/>
    <w:rsid w:val="00F756DC"/>
    <w:rsid w:val="00F75A73"/>
    <w:rsid w:val="00F75F0E"/>
    <w:rsid w:val="00F76525"/>
    <w:rsid w:val="00F768ED"/>
    <w:rsid w:val="00F77574"/>
    <w:rsid w:val="00F80ADA"/>
    <w:rsid w:val="00F824F2"/>
    <w:rsid w:val="00F82577"/>
    <w:rsid w:val="00F83324"/>
    <w:rsid w:val="00F847D9"/>
    <w:rsid w:val="00F84FA9"/>
    <w:rsid w:val="00F85C59"/>
    <w:rsid w:val="00F85C76"/>
    <w:rsid w:val="00F86510"/>
    <w:rsid w:val="00F8770C"/>
    <w:rsid w:val="00F906E7"/>
    <w:rsid w:val="00F9191C"/>
    <w:rsid w:val="00F91AE6"/>
    <w:rsid w:val="00F9288F"/>
    <w:rsid w:val="00F92962"/>
    <w:rsid w:val="00F92BCB"/>
    <w:rsid w:val="00F935AF"/>
    <w:rsid w:val="00F96118"/>
    <w:rsid w:val="00FA0E95"/>
    <w:rsid w:val="00FA1E29"/>
    <w:rsid w:val="00FA2E4A"/>
    <w:rsid w:val="00FA356B"/>
    <w:rsid w:val="00FA4586"/>
    <w:rsid w:val="00FA4C19"/>
    <w:rsid w:val="00FB0D3A"/>
    <w:rsid w:val="00FB109B"/>
    <w:rsid w:val="00FB170A"/>
    <w:rsid w:val="00FB1F82"/>
    <w:rsid w:val="00FB2C35"/>
    <w:rsid w:val="00FB2EBB"/>
    <w:rsid w:val="00FB3E2A"/>
    <w:rsid w:val="00FB550E"/>
    <w:rsid w:val="00FB57E0"/>
    <w:rsid w:val="00FB7A89"/>
    <w:rsid w:val="00FB7D3A"/>
    <w:rsid w:val="00FC1F5E"/>
    <w:rsid w:val="00FC21F1"/>
    <w:rsid w:val="00FC3A21"/>
    <w:rsid w:val="00FC406C"/>
    <w:rsid w:val="00FC479C"/>
    <w:rsid w:val="00FC4CF6"/>
    <w:rsid w:val="00FC54E1"/>
    <w:rsid w:val="00FC551F"/>
    <w:rsid w:val="00FC6FC8"/>
    <w:rsid w:val="00FC7A77"/>
    <w:rsid w:val="00FD0A3B"/>
    <w:rsid w:val="00FD133C"/>
    <w:rsid w:val="00FD16CA"/>
    <w:rsid w:val="00FD1AD9"/>
    <w:rsid w:val="00FD1BD9"/>
    <w:rsid w:val="00FD35C3"/>
    <w:rsid w:val="00FD5169"/>
    <w:rsid w:val="00FD5724"/>
    <w:rsid w:val="00FD57CA"/>
    <w:rsid w:val="00FD6EA9"/>
    <w:rsid w:val="00FD6FC8"/>
    <w:rsid w:val="00FE1C15"/>
    <w:rsid w:val="00FE2AA8"/>
    <w:rsid w:val="00FE3662"/>
    <w:rsid w:val="00FE3C18"/>
    <w:rsid w:val="00FE52EE"/>
    <w:rsid w:val="00FE5ADB"/>
    <w:rsid w:val="00FE5BD7"/>
    <w:rsid w:val="00FE7A07"/>
    <w:rsid w:val="00FF00C9"/>
    <w:rsid w:val="00FF1948"/>
    <w:rsid w:val="00FF27E4"/>
    <w:rsid w:val="00FF2A0E"/>
    <w:rsid w:val="00FF3971"/>
    <w:rsid w:val="00FF39C8"/>
    <w:rsid w:val="00FF3A48"/>
    <w:rsid w:val="00FF3B2E"/>
    <w:rsid w:val="00FF4A84"/>
    <w:rsid w:val="00FF61D4"/>
    <w:rsid w:val="00FF687F"/>
    <w:rsid w:val="00FF7F0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BB37FA"/>
  <w15:docId w15:val="{D8FEFDB8-254D-417B-B55F-AA495CDC5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0B6"/>
    <w:pPr>
      <w:spacing w:after="120" w:line="264" w:lineRule="auto"/>
    </w:pPr>
    <w:rPr>
      <w:rFonts w:eastAsiaTheme="minorEastAsia"/>
      <w:kern w:val="0"/>
      <w:sz w:val="20"/>
      <w:szCs w:val="20"/>
    </w:rPr>
  </w:style>
  <w:style w:type="paragraph" w:styleId="Heading1">
    <w:name w:val="heading 1"/>
    <w:basedOn w:val="Normal"/>
    <w:link w:val="Heading1Char"/>
    <w:uiPriority w:val="9"/>
    <w:qFormat/>
    <w:rsid w:val="0098061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2D424E"/>
    <w:pPr>
      <w:keepNext/>
      <w:keepLines/>
      <w:spacing w:before="40" w:after="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next w:val="Normal"/>
    <w:link w:val="Heading3Char"/>
    <w:uiPriority w:val="9"/>
    <w:semiHidden/>
    <w:unhideWhenUsed/>
    <w:qFormat/>
    <w:rsid w:val="00F85C76"/>
    <w:pPr>
      <w:keepNext/>
      <w:keepLines/>
      <w:spacing w:before="40" w:after="0"/>
      <w:outlineLvl w:val="2"/>
    </w:pPr>
    <w:rPr>
      <w:rFonts w:asciiTheme="majorHAnsi" w:eastAsiaTheme="majorEastAsia" w:hAnsiTheme="majorHAnsi" w:cstheme="majorBidi"/>
      <w:color w:val="1F3763" w:themeColor="accent1" w:themeShade="7F"/>
      <w:sz w:val="24"/>
      <w:szCs w:val="30"/>
    </w:rPr>
  </w:style>
  <w:style w:type="paragraph" w:styleId="Heading4">
    <w:name w:val="heading 4"/>
    <w:basedOn w:val="Normal"/>
    <w:next w:val="Normal"/>
    <w:link w:val="Heading4Char"/>
    <w:uiPriority w:val="9"/>
    <w:semiHidden/>
    <w:unhideWhenUsed/>
    <w:qFormat/>
    <w:rsid w:val="00020B65"/>
    <w:pPr>
      <w:keepNext/>
      <w:keepLines/>
      <w:spacing w:before="40" w:after="0"/>
      <w:outlineLvl w:val="3"/>
    </w:pPr>
    <w:rPr>
      <w:rFonts w:asciiTheme="majorHAnsi" w:eastAsiaTheme="majorEastAsia" w:hAnsiTheme="majorHAnsi" w:cstheme="majorBidi"/>
      <w:i/>
      <w:iCs/>
      <w:color w:val="2F5496" w:themeColor="accent1" w:themeShade="BF"/>
      <w:szCs w:val="25"/>
    </w:rPr>
  </w:style>
  <w:style w:type="paragraph" w:styleId="Heading5">
    <w:name w:val="heading 5"/>
    <w:basedOn w:val="Normal"/>
    <w:next w:val="Normal"/>
    <w:link w:val="Heading5Char"/>
    <w:uiPriority w:val="9"/>
    <w:semiHidden/>
    <w:unhideWhenUsed/>
    <w:qFormat/>
    <w:rsid w:val="00570E2C"/>
    <w:pPr>
      <w:keepNext/>
      <w:keepLines/>
      <w:spacing w:before="40" w:after="0"/>
      <w:outlineLvl w:val="4"/>
    </w:pPr>
    <w:rPr>
      <w:rFonts w:asciiTheme="majorHAnsi" w:eastAsiaTheme="majorEastAsia" w:hAnsiTheme="majorHAnsi" w:cstheme="majorBidi"/>
      <w:color w:val="2F5496" w:themeColor="accent1" w:themeShade="BF"/>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3971"/>
    <w:rPr>
      <w:color w:val="0563C1" w:themeColor="hyperlink"/>
      <w:u w:val="single"/>
    </w:rPr>
  </w:style>
  <w:style w:type="character" w:styleId="Emphasis">
    <w:name w:val="Emphasis"/>
    <w:basedOn w:val="DefaultParagraphFont"/>
    <w:uiPriority w:val="20"/>
    <w:qFormat/>
    <w:rsid w:val="00FF3971"/>
    <w:rPr>
      <w:i/>
      <w:iCs/>
    </w:rPr>
  </w:style>
  <w:style w:type="table" w:styleId="TableGrid">
    <w:name w:val="Table Grid"/>
    <w:basedOn w:val="TableNormal"/>
    <w:uiPriority w:val="39"/>
    <w:rsid w:val="00FF3971"/>
    <w:pPr>
      <w:spacing w:after="0" w:line="240" w:lineRule="auto"/>
    </w:pPr>
    <w:rPr>
      <w:rFonts w:ascii="Times New Roman" w:eastAsia="Times New Roman" w:hAnsi="Times New Roman" w:cs="Times New Roman"/>
      <w:kern w:val="0"/>
      <w:sz w:val="20"/>
      <w:szCs w:val="20"/>
      <w:lang w:val="en-CA" w:eastAsia="en-CA"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tentauthor--name">
    <w:name w:val="content__author--name"/>
    <w:basedOn w:val="DefaultParagraphFont"/>
    <w:rsid w:val="00FF3971"/>
  </w:style>
  <w:style w:type="character" w:customStyle="1" w:styleId="contentauthor--date">
    <w:name w:val="content__author--date"/>
    <w:basedOn w:val="DefaultParagraphFont"/>
    <w:rsid w:val="00FF3971"/>
  </w:style>
  <w:style w:type="character" w:styleId="LineNumber">
    <w:name w:val="line number"/>
    <w:basedOn w:val="DefaultParagraphFont"/>
    <w:uiPriority w:val="99"/>
    <w:semiHidden/>
    <w:unhideWhenUsed/>
    <w:rsid w:val="00FF3971"/>
  </w:style>
  <w:style w:type="character" w:customStyle="1" w:styleId="UnresolvedMention1">
    <w:name w:val="Unresolved Mention1"/>
    <w:basedOn w:val="DefaultParagraphFont"/>
    <w:uiPriority w:val="99"/>
    <w:semiHidden/>
    <w:unhideWhenUsed/>
    <w:rsid w:val="000A4D7E"/>
    <w:rPr>
      <w:color w:val="605E5C"/>
      <w:shd w:val="clear" w:color="auto" w:fill="E1DFDD"/>
    </w:rPr>
  </w:style>
  <w:style w:type="character" w:customStyle="1" w:styleId="Heading1Char">
    <w:name w:val="Heading 1 Char"/>
    <w:basedOn w:val="DefaultParagraphFont"/>
    <w:link w:val="Heading1"/>
    <w:uiPriority w:val="9"/>
    <w:rsid w:val="00980615"/>
    <w:rPr>
      <w:rFonts w:ascii="Times New Roman" w:eastAsia="Times New Roman" w:hAnsi="Times New Roman" w:cs="Times New Roman"/>
      <w:b/>
      <w:bCs/>
      <w:kern w:val="36"/>
      <w:sz w:val="48"/>
      <w:szCs w:val="48"/>
      <w14:ligatures w14:val="none"/>
    </w:rPr>
  </w:style>
  <w:style w:type="paragraph" w:customStyle="1" w:styleId="mb-0">
    <w:name w:val="mb-0"/>
    <w:basedOn w:val="Normal"/>
    <w:rsid w:val="009806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wrap">
    <w:name w:val="nowrap"/>
    <w:basedOn w:val="DefaultParagraphFont"/>
    <w:rsid w:val="00980615"/>
  </w:style>
  <w:style w:type="paragraph" w:customStyle="1" w:styleId="small">
    <w:name w:val="small"/>
    <w:basedOn w:val="Normal"/>
    <w:rsid w:val="009806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d-jnl-art-pub-date">
    <w:name w:val="wd-jnl-art-pub-date"/>
    <w:basedOn w:val="DefaultParagraphFont"/>
    <w:rsid w:val="00980615"/>
  </w:style>
  <w:style w:type="character" w:customStyle="1" w:styleId="wd-jnl-art-copyright">
    <w:name w:val="wd-jnl-art-copyright"/>
    <w:basedOn w:val="DefaultParagraphFont"/>
    <w:rsid w:val="00980615"/>
  </w:style>
  <w:style w:type="character" w:customStyle="1" w:styleId="wd-jnl-art-breadcrumb-title">
    <w:name w:val="wd-jnl-art-breadcrumb-title"/>
    <w:basedOn w:val="DefaultParagraphFont"/>
    <w:rsid w:val="00980615"/>
  </w:style>
  <w:style w:type="character" w:customStyle="1" w:styleId="wd-jnl-art-breadcrumb-vol">
    <w:name w:val="wd-jnl-art-breadcrumb-vol"/>
    <w:basedOn w:val="DefaultParagraphFont"/>
    <w:rsid w:val="00980615"/>
  </w:style>
  <w:style w:type="character" w:customStyle="1" w:styleId="wd-jnl-art-breadcrumb-issue">
    <w:name w:val="wd-jnl-art-breadcrumb-issue"/>
    <w:basedOn w:val="DefaultParagraphFont"/>
    <w:rsid w:val="00980615"/>
  </w:style>
  <w:style w:type="character" w:styleId="Strong">
    <w:name w:val="Strong"/>
    <w:basedOn w:val="DefaultParagraphFont"/>
    <w:uiPriority w:val="22"/>
    <w:qFormat/>
    <w:rsid w:val="00980615"/>
    <w:rPr>
      <w:b/>
      <w:bCs/>
    </w:rPr>
  </w:style>
  <w:style w:type="character" w:customStyle="1" w:styleId="anchor-text">
    <w:name w:val="anchor-text"/>
    <w:basedOn w:val="DefaultParagraphFont"/>
    <w:rsid w:val="003F087D"/>
  </w:style>
  <w:style w:type="character" w:customStyle="1" w:styleId="Heading3Char">
    <w:name w:val="Heading 3 Char"/>
    <w:basedOn w:val="DefaultParagraphFont"/>
    <w:link w:val="Heading3"/>
    <w:uiPriority w:val="9"/>
    <w:semiHidden/>
    <w:rsid w:val="00F85C76"/>
    <w:rPr>
      <w:rFonts w:asciiTheme="majorHAnsi" w:eastAsiaTheme="majorEastAsia" w:hAnsiTheme="majorHAnsi" w:cstheme="majorBidi"/>
      <w:color w:val="1F3763" w:themeColor="accent1" w:themeShade="7F"/>
      <w:kern w:val="0"/>
      <w:sz w:val="24"/>
      <w:szCs w:val="30"/>
      <w14:ligatures w14:val="none"/>
    </w:rPr>
  </w:style>
  <w:style w:type="paragraph" w:styleId="ListParagraph">
    <w:name w:val="List Paragraph"/>
    <w:basedOn w:val="Normal"/>
    <w:uiPriority w:val="34"/>
    <w:qFormat/>
    <w:rsid w:val="0052304E"/>
    <w:pPr>
      <w:ind w:left="720"/>
      <w:contextualSpacing/>
    </w:pPr>
    <w:rPr>
      <w:szCs w:val="25"/>
    </w:rPr>
  </w:style>
  <w:style w:type="character" w:customStyle="1" w:styleId="fontstyle01">
    <w:name w:val="fontstyle01"/>
    <w:basedOn w:val="DefaultParagraphFont"/>
    <w:rsid w:val="00941B9C"/>
    <w:rPr>
      <w:rFonts w:ascii="URWPalladioL-Roma" w:hAnsi="URWPalladioL-Roma" w:hint="default"/>
      <w:b w:val="0"/>
      <w:bCs w:val="0"/>
      <w:i w:val="0"/>
      <w:iCs w:val="0"/>
      <w:color w:val="000000"/>
      <w:sz w:val="18"/>
      <w:szCs w:val="18"/>
    </w:rPr>
  </w:style>
  <w:style w:type="character" w:customStyle="1" w:styleId="html-italic">
    <w:name w:val="html-italic"/>
    <w:basedOn w:val="DefaultParagraphFont"/>
    <w:rsid w:val="00203B84"/>
  </w:style>
  <w:style w:type="paragraph" w:styleId="CommentText">
    <w:name w:val="annotation text"/>
    <w:basedOn w:val="Normal"/>
    <w:link w:val="CommentTextChar"/>
    <w:uiPriority w:val="99"/>
    <w:unhideWhenUsed/>
    <w:rsid w:val="00B872C4"/>
    <w:pPr>
      <w:spacing w:line="240" w:lineRule="auto"/>
    </w:pPr>
    <w:rPr>
      <w:rFonts w:ascii="Times New Roman" w:hAnsi="Times New Roman" w:cs="Angsana New"/>
      <w:szCs w:val="25"/>
    </w:rPr>
  </w:style>
  <w:style w:type="character" w:customStyle="1" w:styleId="CommentTextChar">
    <w:name w:val="Comment Text Char"/>
    <w:basedOn w:val="DefaultParagraphFont"/>
    <w:link w:val="CommentText"/>
    <w:uiPriority w:val="99"/>
    <w:rsid w:val="00B872C4"/>
    <w:rPr>
      <w:rFonts w:ascii="Times New Roman" w:eastAsiaTheme="minorEastAsia" w:hAnsi="Times New Roman" w:cs="Angsana New"/>
      <w:kern w:val="0"/>
      <w:sz w:val="20"/>
      <w:szCs w:val="25"/>
      <w14:ligatures w14:val="none"/>
    </w:rPr>
  </w:style>
  <w:style w:type="character" w:styleId="CommentReference">
    <w:name w:val="annotation reference"/>
    <w:basedOn w:val="DefaultParagraphFont"/>
    <w:uiPriority w:val="99"/>
    <w:semiHidden/>
    <w:unhideWhenUsed/>
    <w:rsid w:val="00B872C4"/>
    <w:rPr>
      <w:sz w:val="16"/>
      <w:szCs w:val="16"/>
    </w:rPr>
  </w:style>
  <w:style w:type="character" w:customStyle="1" w:styleId="Heading2Char">
    <w:name w:val="Heading 2 Char"/>
    <w:basedOn w:val="DefaultParagraphFont"/>
    <w:link w:val="Heading2"/>
    <w:uiPriority w:val="9"/>
    <w:semiHidden/>
    <w:rsid w:val="002D424E"/>
    <w:rPr>
      <w:rFonts w:asciiTheme="majorHAnsi" w:eastAsiaTheme="majorEastAsia" w:hAnsiTheme="majorHAnsi" w:cstheme="majorBidi"/>
      <w:color w:val="2F5496" w:themeColor="accent1" w:themeShade="BF"/>
      <w:kern w:val="0"/>
      <w:sz w:val="26"/>
      <w:szCs w:val="33"/>
      <w14:ligatures w14:val="none"/>
    </w:rPr>
  </w:style>
  <w:style w:type="paragraph" w:styleId="NormalWeb">
    <w:name w:val="Normal (Web)"/>
    <w:basedOn w:val="Normal"/>
    <w:uiPriority w:val="99"/>
    <w:unhideWhenUsed/>
    <w:rsid w:val="009F596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9ycgxx">
    <w:name w:val="css-9ycgxx"/>
    <w:basedOn w:val="DefaultParagraphFont"/>
    <w:rsid w:val="00253E73"/>
  </w:style>
  <w:style w:type="character" w:customStyle="1" w:styleId="wdyuqq">
    <w:name w:val="wdyuqq"/>
    <w:basedOn w:val="DefaultParagraphFont"/>
    <w:rsid w:val="00414C7E"/>
  </w:style>
  <w:style w:type="paragraph" w:customStyle="1" w:styleId="04xlpa">
    <w:name w:val="_04xlpa"/>
    <w:basedOn w:val="Normal"/>
    <w:rsid w:val="000059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cursor">
    <w:name w:val="ql-cursor"/>
    <w:basedOn w:val="DefaultParagraphFont"/>
    <w:rsid w:val="000059BE"/>
  </w:style>
  <w:style w:type="character" w:customStyle="1" w:styleId="fontstyle21">
    <w:name w:val="fontstyle21"/>
    <w:basedOn w:val="DefaultParagraphFont"/>
    <w:rsid w:val="00C75E52"/>
    <w:rPr>
      <w:rFonts w:ascii="URWPalladioL-Roma" w:hAnsi="URWPalladioL-Roma" w:hint="default"/>
      <w:b w:val="0"/>
      <w:bCs w:val="0"/>
      <w:i w:val="0"/>
      <w:iCs w:val="0"/>
      <w:color w:val="000000"/>
      <w:sz w:val="16"/>
      <w:szCs w:val="16"/>
    </w:rPr>
  </w:style>
  <w:style w:type="paragraph" w:styleId="CommentSubject">
    <w:name w:val="annotation subject"/>
    <w:basedOn w:val="CommentText"/>
    <w:next w:val="CommentText"/>
    <w:link w:val="CommentSubjectChar"/>
    <w:uiPriority w:val="99"/>
    <w:semiHidden/>
    <w:unhideWhenUsed/>
    <w:rsid w:val="00CB14FA"/>
    <w:rPr>
      <w:rFonts w:asciiTheme="minorHAnsi" w:hAnsiTheme="minorHAnsi" w:cstheme="minorBidi"/>
      <w:b/>
      <w:bCs/>
    </w:rPr>
  </w:style>
  <w:style w:type="character" w:customStyle="1" w:styleId="CommentSubjectChar">
    <w:name w:val="Comment Subject Char"/>
    <w:basedOn w:val="CommentTextChar"/>
    <w:link w:val="CommentSubject"/>
    <w:uiPriority w:val="99"/>
    <w:semiHidden/>
    <w:rsid w:val="00CB14FA"/>
    <w:rPr>
      <w:rFonts w:ascii="Times New Roman" w:eastAsiaTheme="minorEastAsia" w:hAnsi="Times New Roman" w:cs="Angsana New"/>
      <w:b/>
      <w:bCs/>
      <w:kern w:val="0"/>
      <w:sz w:val="20"/>
      <w:szCs w:val="25"/>
      <w14:ligatures w14:val="none"/>
    </w:rPr>
  </w:style>
  <w:style w:type="paragraph" w:styleId="Revision">
    <w:name w:val="Revision"/>
    <w:hidden/>
    <w:uiPriority w:val="99"/>
    <w:semiHidden/>
    <w:rsid w:val="00CB14FA"/>
    <w:pPr>
      <w:spacing w:after="0" w:line="240" w:lineRule="auto"/>
    </w:pPr>
    <w:rPr>
      <w:rFonts w:eastAsiaTheme="minorEastAsia"/>
      <w:kern w:val="0"/>
      <w:sz w:val="20"/>
      <w:szCs w:val="25"/>
      <w14:ligatures w14:val="none"/>
    </w:rPr>
  </w:style>
  <w:style w:type="paragraph" w:styleId="BalloonText">
    <w:name w:val="Balloon Text"/>
    <w:basedOn w:val="Normal"/>
    <w:link w:val="BalloonTextChar"/>
    <w:uiPriority w:val="99"/>
    <w:semiHidden/>
    <w:unhideWhenUsed/>
    <w:rsid w:val="00CB14FA"/>
    <w:pPr>
      <w:spacing w:after="0" w:line="240" w:lineRule="auto"/>
    </w:pPr>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CB14FA"/>
    <w:rPr>
      <w:rFonts w:ascii="Segoe UI" w:eastAsiaTheme="minorEastAsia" w:hAnsi="Segoe UI" w:cs="Angsana New"/>
      <w:kern w:val="0"/>
      <w:sz w:val="18"/>
      <w:szCs w:val="22"/>
      <w14:ligatures w14:val="none"/>
    </w:rPr>
  </w:style>
  <w:style w:type="paragraph" w:customStyle="1" w:styleId="EndNoteBibliographyTitle">
    <w:name w:val="EndNote Bibliography Title"/>
    <w:basedOn w:val="Normal"/>
    <w:link w:val="EndNoteBibliographyTitleChar"/>
    <w:rsid w:val="00F75A73"/>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F75A73"/>
    <w:rPr>
      <w:rFonts w:ascii="Calibri" w:eastAsiaTheme="minorEastAsia" w:hAnsi="Calibri" w:cs="Calibri"/>
      <w:noProof/>
      <w:kern w:val="0"/>
      <w:sz w:val="20"/>
      <w:szCs w:val="20"/>
    </w:rPr>
  </w:style>
  <w:style w:type="paragraph" w:customStyle="1" w:styleId="EndNoteBibliography">
    <w:name w:val="EndNote Bibliography"/>
    <w:basedOn w:val="Normal"/>
    <w:link w:val="EndNoteBibliographyChar"/>
    <w:rsid w:val="00F75A73"/>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F75A73"/>
    <w:rPr>
      <w:rFonts w:ascii="Calibri" w:eastAsiaTheme="minorEastAsia" w:hAnsi="Calibri" w:cs="Calibri"/>
      <w:noProof/>
      <w:kern w:val="0"/>
      <w:sz w:val="20"/>
      <w:szCs w:val="20"/>
    </w:rPr>
  </w:style>
  <w:style w:type="character" w:customStyle="1" w:styleId="UnresolvedMention2">
    <w:name w:val="Unresolved Mention2"/>
    <w:basedOn w:val="DefaultParagraphFont"/>
    <w:uiPriority w:val="99"/>
    <w:semiHidden/>
    <w:unhideWhenUsed/>
    <w:rsid w:val="00892865"/>
    <w:rPr>
      <w:color w:val="605E5C"/>
      <w:shd w:val="clear" w:color="auto" w:fill="E1DFDD"/>
    </w:rPr>
  </w:style>
  <w:style w:type="character" w:styleId="UnresolvedMention">
    <w:name w:val="Unresolved Mention"/>
    <w:basedOn w:val="DefaultParagraphFont"/>
    <w:uiPriority w:val="99"/>
    <w:semiHidden/>
    <w:unhideWhenUsed/>
    <w:rsid w:val="00431E0B"/>
    <w:rPr>
      <w:color w:val="605E5C"/>
      <w:shd w:val="clear" w:color="auto" w:fill="E1DFDD"/>
    </w:rPr>
  </w:style>
  <w:style w:type="character" w:styleId="PlaceholderText">
    <w:name w:val="Placeholder Text"/>
    <w:basedOn w:val="DefaultParagraphFont"/>
    <w:uiPriority w:val="99"/>
    <w:semiHidden/>
    <w:rsid w:val="00CE3219"/>
    <w:rPr>
      <w:color w:val="666666"/>
    </w:rPr>
  </w:style>
  <w:style w:type="character" w:customStyle="1" w:styleId="Heading4Char">
    <w:name w:val="Heading 4 Char"/>
    <w:basedOn w:val="DefaultParagraphFont"/>
    <w:link w:val="Heading4"/>
    <w:uiPriority w:val="9"/>
    <w:semiHidden/>
    <w:rsid w:val="00020B65"/>
    <w:rPr>
      <w:rFonts w:asciiTheme="majorHAnsi" w:eastAsiaTheme="majorEastAsia" w:hAnsiTheme="majorHAnsi" w:cstheme="majorBidi"/>
      <w:i/>
      <w:iCs/>
      <w:color w:val="2F5496" w:themeColor="accent1" w:themeShade="BF"/>
      <w:kern w:val="0"/>
      <w:sz w:val="20"/>
      <w:szCs w:val="25"/>
    </w:rPr>
  </w:style>
  <w:style w:type="character" w:customStyle="1" w:styleId="Heading5Char">
    <w:name w:val="Heading 5 Char"/>
    <w:basedOn w:val="DefaultParagraphFont"/>
    <w:link w:val="Heading5"/>
    <w:uiPriority w:val="9"/>
    <w:semiHidden/>
    <w:rsid w:val="00570E2C"/>
    <w:rPr>
      <w:rFonts w:asciiTheme="majorHAnsi" w:eastAsiaTheme="majorEastAsia" w:hAnsiTheme="majorHAnsi" w:cstheme="majorBidi"/>
      <w:color w:val="2F5496" w:themeColor="accent1" w:themeShade="BF"/>
      <w:kern w:val="0"/>
      <w:sz w:val="20"/>
      <w:szCs w:val="25"/>
    </w:rPr>
  </w:style>
  <w:style w:type="paragraph" w:styleId="Date">
    <w:name w:val="Date"/>
    <w:basedOn w:val="Normal"/>
    <w:next w:val="Normal"/>
    <w:link w:val="DateChar"/>
    <w:uiPriority w:val="99"/>
    <w:semiHidden/>
    <w:unhideWhenUsed/>
    <w:rsid w:val="00890356"/>
    <w:rPr>
      <w:szCs w:val="25"/>
    </w:rPr>
  </w:style>
  <w:style w:type="character" w:customStyle="1" w:styleId="DateChar">
    <w:name w:val="Date Char"/>
    <w:basedOn w:val="DefaultParagraphFont"/>
    <w:link w:val="Date"/>
    <w:uiPriority w:val="99"/>
    <w:semiHidden/>
    <w:rsid w:val="00890356"/>
    <w:rPr>
      <w:rFonts w:eastAsiaTheme="minorEastAsia"/>
      <w:kern w:val="0"/>
      <w:sz w:val="20"/>
      <w:szCs w:val="25"/>
    </w:rPr>
  </w:style>
  <w:style w:type="character" w:styleId="FollowedHyperlink">
    <w:name w:val="FollowedHyperlink"/>
    <w:basedOn w:val="DefaultParagraphFont"/>
    <w:uiPriority w:val="99"/>
    <w:semiHidden/>
    <w:unhideWhenUsed/>
    <w:rsid w:val="00FD1BD9"/>
    <w:rPr>
      <w:color w:val="954F72" w:themeColor="followedHyperlink"/>
      <w:u w:val="single"/>
    </w:rPr>
  </w:style>
  <w:style w:type="paragraph" w:styleId="Header">
    <w:name w:val="header"/>
    <w:basedOn w:val="Normal"/>
    <w:link w:val="HeaderChar"/>
    <w:uiPriority w:val="99"/>
    <w:unhideWhenUsed/>
    <w:rsid w:val="0021264C"/>
    <w:pPr>
      <w:tabs>
        <w:tab w:val="center" w:pos="4680"/>
        <w:tab w:val="right" w:pos="9360"/>
      </w:tabs>
      <w:spacing w:after="0" w:line="240" w:lineRule="auto"/>
    </w:pPr>
    <w:rPr>
      <w:szCs w:val="25"/>
    </w:rPr>
  </w:style>
  <w:style w:type="character" w:customStyle="1" w:styleId="HeaderChar">
    <w:name w:val="Header Char"/>
    <w:basedOn w:val="DefaultParagraphFont"/>
    <w:link w:val="Header"/>
    <w:uiPriority w:val="99"/>
    <w:rsid w:val="0021264C"/>
    <w:rPr>
      <w:rFonts w:eastAsiaTheme="minorEastAsia"/>
      <w:kern w:val="0"/>
      <w:sz w:val="20"/>
      <w:szCs w:val="25"/>
    </w:rPr>
  </w:style>
  <w:style w:type="paragraph" w:styleId="Footer">
    <w:name w:val="footer"/>
    <w:basedOn w:val="Normal"/>
    <w:link w:val="FooterChar"/>
    <w:uiPriority w:val="99"/>
    <w:unhideWhenUsed/>
    <w:rsid w:val="0021264C"/>
    <w:pPr>
      <w:tabs>
        <w:tab w:val="center" w:pos="4680"/>
        <w:tab w:val="right" w:pos="9360"/>
      </w:tabs>
      <w:spacing w:after="0" w:line="240" w:lineRule="auto"/>
    </w:pPr>
    <w:rPr>
      <w:szCs w:val="25"/>
    </w:rPr>
  </w:style>
  <w:style w:type="character" w:customStyle="1" w:styleId="FooterChar">
    <w:name w:val="Footer Char"/>
    <w:basedOn w:val="DefaultParagraphFont"/>
    <w:link w:val="Footer"/>
    <w:uiPriority w:val="99"/>
    <w:rsid w:val="0021264C"/>
    <w:rPr>
      <w:rFonts w:eastAsiaTheme="minorEastAsia"/>
      <w:kern w:val="0"/>
      <w:sz w:val="20"/>
      <w:szCs w:val="25"/>
    </w:rPr>
  </w:style>
  <w:style w:type="paragraph" w:styleId="BodyText">
    <w:name w:val="Body Text"/>
    <w:basedOn w:val="Normal"/>
    <w:link w:val="BodyTextChar"/>
    <w:qFormat/>
    <w:rsid w:val="001041B3"/>
    <w:pPr>
      <w:spacing w:before="180" w:after="180" w:line="240" w:lineRule="auto"/>
    </w:pPr>
    <w:rPr>
      <w:sz w:val="24"/>
      <w:szCs w:val="24"/>
      <w:lang w:eastAsia="zh-CN" w:bidi="ar-SA"/>
      <w14:ligatures w14:val="none"/>
    </w:rPr>
  </w:style>
  <w:style w:type="character" w:customStyle="1" w:styleId="BodyTextChar">
    <w:name w:val="Body Text Char"/>
    <w:basedOn w:val="DefaultParagraphFont"/>
    <w:link w:val="BodyText"/>
    <w:rsid w:val="001041B3"/>
    <w:rPr>
      <w:rFonts w:eastAsiaTheme="minorEastAsia"/>
      <w:kern w:val="0"/>
      <w:sz w:val="24"/>
      <w:szCs w:val="24"/>
      <w:lang w:eastAsia="zh-CN" w:bidi="ar-SA"/>
      <w14:ligatures w14:val="none"/>
    </w:rPr>
  </w:style>
  <w:style w:type="paragraph" w:customStyle="1" w:styleId="Compact">
    <w:name w:val="Compact"/>
    <w:basedOn w:val="BodyText"/>
    <w:qFormat/>
    <w:rsid w:val="00FD1AD9"/>
    <w:pPr>
      <w:spacing w:before="36" w:after="36"/>
    </w:pPr>
  </w:style>
  <w:style w:type="paragraph" w:customStyle="1" w:styleId="FirstParagraph">
    <w:name w:val="First Paragraph"/>
    <w:basedOn w:val="BodyText"/>
    <w:next w:val="BodyText"/>
    <w:qFormat/>
    <w:rsid w:val="00483F9D"/>
  </w:style>
  <w:style w:type="character" w:customStyle="1" w:styleId="VerbatimChar">
    <w:name w:val="Verbatim Char"/>
    <w:basedOn w:val="DefaultParagraphFont"/>
    <w:link w:val="SourceCode"/>
    <w:rsid w:val="00176299"/>
    <w:rPr>
      <w:rFonts w:ascii="Consolas" w:hAnsi="Consolas"/>
    </w:rPr>
  </w:style>
  <w:style w:type="paragraph" w:customStyle="1" w:styleId="SourceCode">
    <w:name w:val="Source Code"/>
    <w:basedOn w:val="Normal"/>
    <w:link w:val="VerbatimChar"/>
    <w:rsid w:val="00176299"/>
    <w:pPr>
      <w:wordWrap w:val="0"/>
      <w:spacing w:after="200" w:line="240" w:lineRule="auto"/>
    </w:pPr>
    <w:rPr>
      <w:rFonts w:ascii="Consolas" w:eastAsia="MS Mincho" w:hAnsi="Consolas"/>
      <w:kern w:val="2"/>
      <w:sz w:val="22"/>
      <w:szCs w:val="28"/>
    </w:rPr>
  </w:style>
  <w:style w:type="paragraph" w:styleId="Bibliography">
    <w:name w:val="Bibliography"/>
    <w:basedOn w:val="Normal"/>
    <w:next w:val="Normal"/>
    <w:uiPriority w:val="37"/>
    <w:unhideWhenUsed/>
    <w:rsid w:val="00100CEA"/>
    <w:pPr>
      <w:spacing w:after="0" w:line="480" w:lineRule="auto"/>
      <w:ind w:left="720" w:hanging="720"/>
    </w:pPr>
    <w:rPr>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1780">
      <w:bodyDiv w:val="1"/>
      <w:marLeft w:val="0"/>
      <w:marRight w:val="0"/>
      <w:marTop w:val="0"/>
      <w:marBottom w:val="0"/>
      <w:divBdr>
        <w:top w:val="none" w:sz="0" w:space="0" w:color="auto"/>
        <w:left w:val="none" w:sz="0" w:space="0" w:color="auto"/>
        <w:bottom w:val="none" w:sz="0" w:space="0" w:color="auto"/>
        <w:right w:val="none" w:sz="0" w:space="0" w:color="auto"/>
      </w:divBdr>
    </w:div>
    <w:div w:id="11808399">
      <w:bodyDiv w:val="1"/>
      <w:marLeft w:val="0"/>
      <w:marRight w:val="0"/>
      <w:marTop w:val="0"/>
      <w:marBottom w:val="0"/>
      <w:divBdr>
        <w:top w:val="none" w:sz="0" w:space="0" w:color="auto"/>
        <w:left w:val="none" w:sz="0" w:space="0" w:color="auto"/>
        <w:bottom w:val="none" w:sz="0" w:space="0" w:color="auto"/>
        <w:right w:val="none" w:sz="0" w:space="0" w:color="auto"/>
      </w:divBdr>
    </w:div>
    <w:div w:id="19166171">
      <w:bodyDiv w:val="1"/>
      <w:marLeft w:val="0"/>
      <w:marRight w:val="0"/>
      <w:marTop w:val="0"/>
      <w:marBottom w:val="0"/>
      <w:divBdr>
        <w:top w:val="none" w:sz="0" w:space="0" w:color="auto"/>
        <w:left w:val="none" w:sz="0" w:space="0" w:color="auto"/>
        <w:bottom w:val="none" w:sz="0" w:space="0" w:color="auto"/>
        <w:right w:val="none" w:sz="0" w:space="0" w:color="auto"/>
      </w:divBdr>
    </w:div>
    <w:div w:id="19865028">
      <w:bodyDiv w:val="1"/>
      <w:marLeft w:val="0"/>
      <w:marRight w:val="0"/>
      <w:marTop w:val="0"/>
      <w:marBottom w:val="0"/>
      <w:divBdr>
        <w:top w:val="none" w:sz="0" w:space="0" w:color="auto"/>
        <w:left w:val="none" w:sz="0" w:space="0" w:color="auto"/>
        <w:bottom w:val="none" w:sz="0" w:space="0" w:color="auto"/>
        <w:right w:val="none" w:sz="0" w:space="0" w:color="auto"/>
      </w:divBdr>
    </w:div>
    <w:div w:id="53938416">
      <w:bodyDiv w:val="1"/>
      <w:marLeft w:val="0"/>
      <w:marRight w:val="0"/>
      <w:marTop w:val="0"/>
      <w:marBottom w:val="0"/>
      <w:divBdr>
        <w:top w:val="none" w:sz="0" w:space="0" w:color="auto"/>
        <w:left w:val="none" w:sz="0" w:space="0" w:color="auto"/>
        <w:bottom w:val="none" w:sz="0" w:space="0" w:color="auto"/>
        <w:right w:val="none" w:sz="0" w:space="0" w:color="auto"/>
      </w:divBdr>
      <w:divsChild>
        <w:div w:id="1233395850">
          <w:marLeft w:val="0"/>
          <w:marRight w:val="0"/>
          <w:marTop w:val="0"/>
          <w:marBottom w:val="0"/>
          <w:divBdr>
            <w:top w:val="none" w:sz="0" w:space="0" w:color="auto"/>
            <w:left w:val="none" w:sz="0" w:space="0" w:color="auto"/>
            <w:bottom w:val="none" w:sz="0" w:space="0" w:color="auto"/>
            <w:right w:val="none" w:sz="0" w:space="0" w:color="auto"/>
          </w:divBdr>
          <w:divsChild>
            <w:div w:id="238095656">
              <w:marLeft w:val="0"/>
              <w:marRight w:val="0"/>
              <w:marTop w:val="0"/>
              <w:marBottom w:val="0"/>
              <w:divBdr>
                <w:top w:val="none" w:sz="0" w:space="0" w:color="auto"/>
                <w:left w:val="none" w:sz="0" w:space="0" w:color="auto"/>
                <w:bottom w:val="none" w:sz="0" w:space="0" w:color="auto"/>
                <w:right w:val="none" w:sz="0" w:space="0" w:color="auto"/>
              </w:divBdr>
              <w:divsChild>
                <w:div w:id="1057047747">
                  <w:marLeft w:val="0"/>
                  <w:marRight w:val="0"/>
                  <w:marTop w:val="0"/>
                  <w:marBottom w:val="0"/>
                  <w:divBdr>
                    <w:top w:val="none" w:sz="0" w:space="0" w:color="auto"/>
                    <w:left w:val="none" w:sz="0" w:space="0" w:color="auto"/>
                    <w:bottom w:val="none" w:sz="0" w:space="0" w:color="auto"/>
                    <w:right w:val="none" w:sz="0" w:space="0" w:color="auto"/>
                  </w:divBdr>
                  <w:divsChild>
                    <w:div w:id="72988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767865">
          <w:marLeft w:val="0"/>
          <w:marRight w:val="0"/>
          <w:marTop w:val="0"/>
          <w:marBottom w:val="0"/>
          <w:divBdr>
            <w:top w:val="none" w:sz="0" w:space="0" w:color="auto"/>
            <w:left w:val="none" w:sz="0" w:space="0" w:color="auto"/>
            <w:bottom w:val="none" w:sz="0" w:space="0" w:color="auto"/>
            <w:right w:val="none" w:sz="0" w:space="0" w:color="auto"/>
          </w:divBdr>
          <w:divsChild>
            <w:div w:id="706560961">
              <w:marLeft w:val="0"/>
              <w:marRight w:val="0"/>
              <w:marTop w:val="0"/>
              <w:marBottom w:val="0"/>
              <w:divBdr>
                <w:top w:val="none" w:sz="0" w:space="0" w:color="auto"/>
                <w:left w:val="none" w:sz="0" w:space="0" w:color="auto"/>
                <w:bottom w:val="none" w:sz="0" w:space="0" w:color="auto"/>
                <w:right w:val="none" w:sz="0" w:space="0" w:color="auto"/>
              </w:divBdr>
              <w:divsChild>
                <w:div w:id="429156874">
                  <w:marLeft w:val="0"/>
                  <w:marRight w:val="0"/>
                  <w:marTop w:val="0"/>
                  <w:marBottom w:val="0"/>
                  <w:divBdr>
                    <w:top w:val="none" w:sz="0" w:space="0" w:color="auto"/>
                    <w:left w:val="none" w:sz="0" w:space="0" w:color="auto"/>
                    <w:bottom w:val="none" w:sz="0" w:space="0" w:color="auto"/>
                    <w:right w:val="none" w:sz="0" w:space="0" w:color="auto"/>
                  </w:divBdr>
                  <w:divsChild>
                    <w:div w:id="191230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82539">
      <w:bodyDiv w:val="1"/>
      <w:marLeft w:val="0"/>
      <w:marRight w:val="0"/>
      <w:marTop w:val="0"/>
      <w:marBottom w:val="0"/>
      <w:divBdr>
        <w:top w:val="none" w:sz="0" w:space="0" w:color="auto"/>
        <w:left w:val="none" w:sz="0" w:space="0" w:color="auto"/>
        <w:bottom w:val="none" w:sz="0" w:space="0" w:color="auto"/>
        <w:right w:val="none" w:sz="0" w:space="0" w:color="auto"/>
      </w:divBdr>
    </w:div>
    <w:div w:id="86654021">
      <w:bodyDiv w:val="1"/>
      <w:marLeft w:val="0"/>
      <w:marRight w:val="0"/>
      <w:marTop w:val="0"/>
      <w:marBottom w:val="0"/>
      <w:divBdr>
        <w:top w:val="none" w:sz="0" w:space="0" w:color="auto"/>
        <w:left w:val="none" w:sz="0" w:space="0" w:color="auto"/>
        <w:bottom w:val="none" w:sz="0" w:space="0" w:color="auto"/>
        <w:right w:val="none" w:sz="0" w:space="0" w:color="auto"/>
      </w:divBdr>
    </w:div>
    <w:div w:id="88822041">
      <w:bodyDiv w:val="1"/>
      <w:marLeft w:val="0"/>
      <w:marRight w:val="0"/>
      <w:marTop w:val="0"/>
      <w:marBottom w:val="0"/>
      <w:divBdr>
        <w:top w:val="none" w:sz="0" w:space="0" w:color="auto"/>
        <w:left w:val="none" w:sz="0" w:space="0" w:color="auto"/>
        <w:bottom w:val="none" w:sz="0" w:space="0" w:color="auto"/>
        <w:right w:val="none" w:sz="0" w:space="0" w:color="auto"/>
      </w:divBdr>
    </w:div>
    <w:div w:id="111018307">
      <w:bodyDiv w:val="1"/>
      <w:marLeft w:val="0"/>
      <w:marRight w:val="0"/>
      <w:marTop w:val="0"/>
      <w:marBottom w:val="0"/>
      <w:divBdr>
        <w:top w:val="none" w:sz="0" w:space="0" w:color="auto"/>
        <w:left w:val="none" w:sz="0" w:space="0" w:color="auto"/>
        <w:bottom w:val="none" w:sz="0" w:space="0" w:color="auto"/>
        <w:right w:val="none" w:sz="0" w:space="0" w:color="auto"/>
      </w:divBdr>
    </w:div>
    <w:div w:id="128669850">
      <w:bodyDiv w:val="1"/>
      <w:marLeft w:val="0"/>
      <w:marRight w:val="0"/>
      <w:marTop w:val="0"/>
      <w:marBottom w:val="0"/>
      <w:divBdr>
        <w:top w:val="none" w:sz="0" w:space="0" w:color="auto"/>
        <w:left w:val="none" w:sz="0" w:space="0" w:color="auto"/>
        <w:bottom w:val="none" w:sz="0" w:space="0" w:color="auto"/>
        <w:right w:val="none" w:sz="0" w:space="0" w:color="auto"/>
      </w:divBdr>
    </w:div>
    <w:div w:id="140537058">
      <w:bodyDiv w:val="1"/>
      <w:marLeft w:val="0"/>
      <w:marRight w:val="0"/>
      <w:marTop w:val="0"/>
      <w:marBottom w:val="0"/>
      <w:divBdr>
        <w:top w:val="none" w:sz="0" w:space="0" w:color="auto"/>
        <w:left w:val="none" w:sz="0" w:space="0" w:color="auto"/>
        <w:bottom w:val="none" w:sz="0" w:space="0" w:color="auto"/>
        <w:right w:val="none" w:sz="0" w:space="0" w:color="auto"/>
      </w:divBdr>
    </w:div>
    <w:div w:id="153837491">
      <w:bodyDiv w:val="1"/>
      <w:marLeft w:val="0"/>
      <w:marRight w:val="0"/>
      <w:marTop w:val="0"/>
      <w:marBottom w:val="0"/>
      <w:divBdr>
        <w:top w:val="none" w:sz="0" w:space="0" w:color="auto"/>
        <w:left w:val="none" w:sz="0" w:space="0" w:color="auto"/>
        <w:bottom w:val="none" w:sz="0" w:space="0" w:color="auto"/>
        <w:right w:val="none" w:sz="0" w:space="0" w:color="auto"/>
      </w:divBdr>
    </w:div>
    <w:div w:id="171066804">
      <w:bodyDiv w:val="1"/>
      <w:marLeft w:val="0"/>
      <w:marRight w:val="0"/>
      <w:marTop w:val="0"/>
      <w:marBottom w:val="0"/>
      <w:divBdr>
        <w:top w:val="none" w:sz="0" w:space="0" w:color="auto"/>
        <w:left w:val="none" w:sz="0" w:space="0" w:color="auto"/>
        <w:bottom w:val="none" w:sz="0" w:space="0" w:color="auto"/>
        <w:right w:val="none" w:sz="0" w:space="0" w:color="auto"/>
      </w:divBdr>
    </w:div>
    <w:div w:id="213278514">
      <w:bodyDiv w:val="1"/>
      <w:marLeft w:val="0"/>
      <w:marRight w:val="0"/>
      <w:marTop w:val="0"/>
      <w:marBottom w:val="0"/>
      <w:divBdr>
        <w:top w:val="none" w:sz="0" w:space="0" w:color="auto"/>
        <w:left w:val="none" w:sz="0" w:space="0" w:color="auto"/>
        <w:bottom w:val="none" w:sz="0" w:space="0" w:color="auto"/>
        <w:right w:val="none" w:sz="0" w:space="0" w:color="auto"/>
      </w:divBdr>
    </w:div>
    <w:div w:id="216479886">
      <w:bodyDiv w:val="1"/>
      <w:marLeft w:val="0"/>
      <w:marRight w:val="0"/>
      <w:marTop w:val="0"/>
      <w:marBottom w:val="0"/>
      <w:divBdr>
        <w:top w:val="none" w:sz="0" w:space="0" w:color="auto"/>
        <w:left w:val="none" w:sz="0" w:space="0" w:color="auto"/>
        <w:bottom w:val="none" w:sz="0" w:space="0" w:color="auto"/>
        <w:right w:val="none" w:sz="0" w:space="0" w:color="auto"/>
      </w:divBdr>
    </w:div>
    <w:div w:id="216824913">
      <w:bodyDiv w:val="1"/>
      <w:marLeft w:val="0"/>
      <w:marRight w:val="0"/>
      <w:marTop w:val="0"/>
      <w:marBottom w:val="0"/>
      <w:divBdr>
        <w:top w:val="none" w:sz="0" w:space="0" w:color="auto"/>
        <w:left w:val="none" w:sz="0" w:space="0" w:color="auto"/>
        <w:bottom w:val="none" w:sz="0" w:space="0" w:color="auto"/>
        <w:right w:val="none" w:sz="0" w:space="0" w:color="auto"/>
      </w:divBdr>
    </w:div>
    <w:div w:id="221530249">
      <w:bodyDiv w:val="1"/>
      <w:marLeft w:val="0"/>
      <w:marRight w:val="0"/>
      <w:marTop w:val="0"/>
      <w:marBottom w:val="0"/>
      <w:divBdr>
        <w:top w:val="none" w:sz="0" w:space="0" w:color="auto"/>
        <w:left w:val="none" w:sz="0" w:space="0" w:color="auto"/>
        <w:bottom w:val="none" w:sz="0" w:space="0" w:color="auto"/>
        <w:right w:val="none" w:sz="0" w:space="0" w:color="auto"/>
      </w:divBdr>
      <w:divsChild>
        <w:div w:id="334580498">
          <w:marLeft w:val="0"/>
          <w:marRight w:val="0"/>
          <w:marTop w:val="0"/>
          <w:marBottom w:val="0"/>
          <w:divBdr>
            <w:top w:val="none" w:sz="0" w:space="0" w:color="auto"/>
            <w:left w:val="none" w:sz="0" w:space="0" w:color="auto"/>
            <w:bottom w:val="none" w:sz="0" w:space="0" w:color="auto"/>
            <w:right w:val="none" w:sz="0" w:space="0" w:color="auto"/>
          </w:divBdr>
        </w:div>
      </w:divsChild>
    </w:div>
    <w:div w:id="228424928">
      <w:bodyDiv w:val="1"/>
      <w:marLeft w:val="0"/>
      <w:marRight w:val="0"/>
      <w:marTop w:val="0"/>
      <w:marBottom w:val="0"/>
      <w:divBdr>
        <w:top w:val="none" w:sz="0" w:space="0" w:color="auto"/>
        <w:left w:val="none" w:sz="0" w:space="0" w:color="auto"/>
        <w:bottom w:val="none" w:sz="0" w:space="0" w:color="auto"/>
        <w:right w:val="none" w:sz="0" w:space="0" w:color="auto"/>
      </w:divBdr>
    </w:div>
    <w:div w:id="229654183">
      <w:bodyDiv w:val="1"/>
      <w:marLeft w:val="0"/>
      <w:marRight w:val="0"/>
      <w:marTop w:val="0"/>
      <w:marBottom w:val="0"/>
      <w:divBdr>
        <w:top w:val="none" w:sz="0" w:space="0" w:color="auto"/>
        <w:left w:val="none" w:sz="0" w:space="0" w:color="auto"/>
        <w:bottom w:val="none" w:sz="0" w:space="0" w:color="auto"/>
        <w:right w:val="none" w:sz="0" w:space="0" w:color="auto"/>
      </w:divBdr>
    </w:div>
    <w:div w:id="233703134">
      <w:bodyDiv w:val="1"/>
      <w:marLeft w:val="0"/>
      <w:marRight w:val="0"/>
      <w:marTop w:val="0"/>
      <w:marBottom w:val="0"/>
      <w:divBdr>
        <w:top w:val="none" w:sz="0" w:space="0" w:color="auto"/>
        <w:left w:val="none" w:sz="0" w:space="0" w:color="auto"/>
        <w:bottom w:val="none" w:sz="0" w:space="0" w:color="auto"/>
        <w:right w:val="none" w:sz="0" w:space="0" w:color="auto"/>
      </w:divBdr>
    </w:div>
    <w:div w:id="244342855">
      <w:bodyDiv w:val="1"/>
      <w:marLeft w:val="0"/>
      <w:marRight w:val="0"/>
      <w:marTop w:val="0"/>
      <w:marBottom w:val="0"/>
      <w:divBdr>
        <w:top w:val="none" w:sz="0" w:space="0" w:color="auto"/>
        <w:left w:val="none" w:sz="0" w:space="0" w:color="auto"/>
        <w:bottom w:val="none" w:sz="0" w:space="0" w:color="auto"/>
        <w:right w:val="none" w:sz="0" w:space="0" w:color="auto"/>
      </w:divBdr>
    </w:div>
    <w:div w:id="258761667">
      <w:bodyDiv w:val="1"/>
      <w:marLeft w:val="0"/>
      <w:marRight w:val="0"/>
      <w:marTop w:val="0"/>
      <w:marBottom w:val="0"/>
      <w:divBdr>
        <w:top w:val="none" w:sz="0" w:space="0" w:color="auto"/>
        <w:left w:val="none" w:sz="0" w:space="0" w:color="auto"/>
        <w:bottom w:val="none" w:sz="0" w:space="0" w:color="auto"/>
        <w:right w:val="none" w:sz="0" w:space="0" w:color="auto"/>
      </w:divBdr>
    </w:div>
    <w:div w:id="266742497">
      <w:bodyDiv w:val="1"/>
      <w:marLeft w:val="0"/>
      <w:marRight w:val="0"/>
      <w:marTop w:val="0"/>
      <w:marBottom w:val="0"/>
      <w:divBdr>
        <w:top w:val="none" w:sz="0" w:space="0" w:color="auto"/>
        <w:left w:val="none" w:sz="0" w:space="0" w:color="auto"/>
        <w:bottom w:val="none" w:sz="0" w:space="0" w:color="auto"/>
        <w:right w:val="none" w:sz="0" w:space="0" w:color="auto"/>
      </w:divBdr>
    </w:div>
    <w:div w:id="280260940">
      <w:bodyDiv w:val="1"/>
      <w:marLeft w:val="0"/>
      <w:marRight w:val="0"/>
      <w:marTop w:val="0"/>
      <w:marBottom w:val="0"/>
      <w:divBdr>
        <w:top w:val="none" w:sz="0" w:space="0" w:color="auto"/>
        <w:left w:val="none" w:sz="0" w:space="0" w:color="auto"/>
        <w:bottom w:val="none" w:sz="0" w:space="0" w:color="auto"/>
        <w:right w:val="none" w:sz="0" w:space="0" w:color="auto"/>
      </w:divBdr>
    </w:div>
    <w:div w:id="286854788">
      <w:bodyDiv w:val="1"/>
      <w:marLeft w:val="0"/>
      <w:marRight w:val="0"/>
      <w:marTop w:val="0"/>
      <w:marBottom w:val="0"/>
      <w:divBdr>
        <w:top w:val="none" w:sz="0" w:space="0" w:color="auto"/>
        <w:left w:val="none" w:sz="0" w:space="0" w:color="auto"/>
        <w:bottom w:val="none" w:sz="0" w:space="0" w:color="auto"/>
        <w:right w:val="none" w:sz="0" w:space="0" w:color="auto"/>
      </w:divBdr>
    </w:div>
    <w:div w:id="289359416">
      <w:bodyDiv w:val="1"/>
      <w:marLeft w:val="0"/>
      <w:marRight w:val="0"/>
      <w:marTop w:val="0"/>
      <w:marBottom w:val="0"/>
      <w:divBdr>
        <w:top w:val="none" w:sz="0" w:space="0" w:color="auto"/>
        <w:left w:val="none" w:sz="0" w:space="0" w:color="auto"/>
        <w:bottom w:val="none" w:sz="0" w:space="0" w:color="auto"/>
        <w:right w:val="none" w:sz="0" w:space="0" w:color="auto"/>
      </w:divBdr>
    </w:div>
    <w:div w:id="291442193">
      <w:bodyDiv w:val="1"/>
      <w:marLeft w:val="0"/>
      <w:marRight w:val="0"/>
      <w:marTop w:val="0"/>
      <w:marBottom w:val="0"/>
      <w:divBdr>
        <w:top w:val="none" w:sz="0" w:space="0" w:color="auto"/>
        <w:left w:val="none" w:sz="0" w:space="0" w:color="auto"/>
        <w:bottom w:val="none" w:sz="0" w:space="0" w:color="auto"/>
        <w:right w:val="none" w:sz="0" w:space="0" w:color="auto"/>
      </w:divBdr>
      <w:divsChild>
        <w:div w:id="1524784158">
          <w:marLeft w:val="300"/>
          <w:marRight w:val="0"/>
          <w:marTop w:val="120"/>
          <w:marBottom w:val="120"/>
          <w:divBdr>
            <w:top w:val="none" w:sz="0" w:space="0" w:color="auto"/>
            <w:left w:val="none" w:sz="0" w:space="0" w:color="auto"/>
            <w:bottom w:val="none" w:sz="0" w:space="0" w:color="auto"/>
            <w:right w:val="none" w:sz="0" w:space="0" w:color="auto"/>
          </w:divBdr>
        </w:div>
      </w:divsChild>
    </w:div>
    <w:div w:id="294456095">
      <w:bodyDiv w:val="1"/>
      <w:marLeft w:val="0"/>
      <w:marRight w:val="0"/>
      <w:marTop w:val="0"/>
      <w:marBottom w:val="0"/>
      <w:divBdr>
        <w:top w:val="none" w:sz="0" w:space="0" w:color="auto"/>
        <w:left w:val="none" w:sz="0" w:space="0" w:color="auto"/>
        <w:bottom w:val="none" w:sz="0" w:space="0" w:color="auto"/>
        <w:right w:val="none" w:sz="0" w:space="0" w:color="auto"/>
      </w:divBdr>
    </w:div>
    <w:div w:id="298461438">
      <w:bodyDiv w:val="1"/>
      <w:marLeft w:val="0"/>
      <w:marRight w:val="0"/>
      <w:marTop w:val="0"/>
      <w:marBottom w:val="0"/>
      <w:divBdr>
        <w:top w:val="none" w:sz="0" w:space="0" w:color="auto"/>
        <w:left w:val="none" w:sz="0" w:space="0" w:color="auto"/>
        <w:bottom w:val="none" w:sz="0" w:space="0" w:color="auto"/>
        <w:right w:val="none" w:sz="0" w:space="0" w:color="auto"/>
      </w:divBdr>
    </w:div>
    <w:div w:id="303583287">
      <w:bodyDiv w:val="1"/>
      <w:marLeft w:val="0"/>
      <w:marRight w:val="0"/>
      <w:marTop w:val="0"/>
      <w:marBottom w:val="0"/>
      <w:divBdr>
        <w:top w:val="none" w:sz="0" w:space="0" w:color="auto"/>
        <w:left w:val="none" w:sz="0" w:space="0" w:color="auto"/>
        <w:bottom w:val="none" w:sz="0" w:space="0" w:color="auto"/>
        <w:right w:val="none" w:sz="0" w:space="0" w:color="auto"/>
      </w:divBdr>
      <w:divsChild>
        <w:div w:id="738333007">
          <w:marLeft w:val="0"/>
          <w:marRight w:val="0"/>
          <w:marTop w:val="0"/>
          <w:marBottom w:val="0"/>
          <w:divBdr>
            <w:top w:val="none" w:sz="0" w:space="0" w:color="auto"/>
            <w:left w:val="none" w:sz="0" w:space="0" w:color="auto"/>
            <w:bottom w:val="none" w:sz="0" w:space="0" w:color="auto"/>
            <w:right w:val="none" w:sz="0" w:space="0" w:color="auto"/>
          </w:divBdr>
        </w:div>
      </w:divsChild>
    </w:div>
    <w:div w:id="303851994">
      <w:bodyDiv w:val="1"/>
      <w:marLeft w:val="0"/>
      <w:marRight w:val="0"/>
      <w:marTop w:val="0"/>
      <w:marBottom w:val="0"/>
      <w:divBdr>
        <w:top w:val="none" w:sz="0" w:space="0" w:color="auto"/>
        <w:left w:val="none" w:sz="0" w:space="0" w:color="auto"/>
        <w:bottom w:val="none" w:sz="0" w:space="0" w:color="auto"/>
        <w:right w:val="none" w:sz="0" w:space="0" w:color="auto"/>
      </w:divBdr>
    </w:div>
    <w:div w:id="307637688">
      <w:bodyDiv w:val="1"/>
      <w:marLeft w:val="0"/>
      <w:marRight w:val="0"/>
      <w:marTop w:val="0"/>
      <w:marBottom w:val="0"/>
      <w:divBdr>
        <w:top w:val="none" w:sz="0" w:space="0" w:color="auto"/>
        <w:left w:val="none" w:sz="0" w:space="0" w:color="auto"/>
        <w:bottom w:val="none" w:sz="0" w:space="0" w:color="auto"/>
        <w:right w:val="none" w:sz="0" w:space="0" w:color="auto"/>
      </w:divBdr>
    </w:div>
    <w:div w:id="309140977">
      <w:bodyDiv w:val="1"/>
      <w:marLeft w:val="0"/>
      <w:marRight w:val="0"/>
      <w:marTop w:val="0"/>
      <w:marBottom w:val="0"/>
      <w:divBdr>
        <w:top w:val="none" w:sz="0" w:space="0" w:color="auto"/>
        <w:left w:val="none" w:sz="0" w:space="0" w:color="auto"/>
        <w:bottom w:val="none" w:sz="0" w:space="0" w:color="auto"/>
        <w:right w:val="none" w:sz="0" w:space="0" w:color="auto"/>
      </w:divBdr>
    </w:div>
    <w:div w:id="310597365">
      <w:bodyDiv w:val="1"/>
      <w:marLeft w:val="0"/>
      <w:marRight w:val="0"/>
      <w:marTop w:val="0"/>
      <w:marBottom w:val="0"/>
      <w:divBdr>
        <w:top w:val="none" w:sz="0" w:space="0" w:color="auto"/>
        <w:left w:val="none" w:sz="0" w:space="0" w:color="auto"/>
        <w:bottom w:val="none" w:sz="0" w:space="0" w:color="auto"/>
        <w:right w:val="none" w:sz="0" w:space="0" w:color="auto"/>
      </w:divBdr>
    </w:div>
    <w:div w:id="312372651">
      <w:bodyDiv w:val="1"/>
      <w:marLeft w:val="0"/>
      <w:marRight w:val="0"/>
      <w:marTop w:val="0"/>
      <w:marBottom w:val="0"/>
      <w:divBdr>
        <w:top w:val="none" w:sz="0" w:space="0" w:color="auto"/>
        <w:left w:val="none" w:sz="0" w:space="0" w:color="auto"/>
        <w:bottom w:val="none" w:sz="0" w:space="0" w:color="auto"/>
        <w:right w:val="none" w:sz="0" w:space="0" w:color="auto"/>
      </w:divBdr>
    </w:div>
    <w:div w:id="331421343">
      <w:bodyDiv w:val="1"/>
      <w:marLeft w:val="0"/>
      <w:marRight w:val="0"/>
      <w:marTop w:val="0"/>
      <w:marBottom w:val="0"/>
      <w:divBdr>
        <w:top w:val="none" w:sz="0" w:space="0" w:color="auto"/>
        <w:left w:val="none" w:sz="0" w:space="0" w:color="auto"/>
        <w:bottom w:val="none" w:sz="0" w:space="0" w:color="auto"/>
        <w:right w:val="none" w:sz="0" w:space="0" w:color="auto"/>
      </w:divBdr>
    </w:div>
    <w:div w:id="343479233">
      <w:bodyDiv w:val="1"/>
      <w:marLeft w:val="0"/>
      <w:marRight w:val="0"/>
      <w:marTop w:val="0"/>
      <w:marBottom w:val="0"/>
      <w:divBdr>
        <w:top w:val="none" w:sz="0" w:space="0" w:color="auto"/>
        <w:left w:val="none" w:sz="0" w:space="0" w:color="auto"/>
        <w:bottom w:val="none" w:sz="0" w:space="0" w:color="auto"/>
        <w:right w:val="none" w:sz="0" w:space="0" w:color="auto"/>
      </w:divBdr>
    </w:div>
    <w:div w:id="344131969">
      <w:bodyDiv w:val="1"/>
      <w:marLeft w:val="0"/>
      <w:marRight w:val="0"/>
      <w:marTop w:val="0"/>
      <w:marBottom w:val="0"/>
      <w:divBdr>
        <w:top w:val="none" w:sz="0" w:space="0" w:color="auto"/>
        <w:left w:val="none" w:sz="0" w:space="0" w:color="auto"/>
        <w:bottom w:val="none" w:sz="0" w:space="0" w:color="auto"/>
        <w:right w:val="none" w:sz="0" w:space="0" w:color="auto"/>
      </w:divBdr>
    </w:div>
    <w:div w:id="351152389">
      <w:bodyDiv w:val="1"/>
      <w:marLeft w:val="0"/>
      <w:marRight w:val="0"/>
      <w:marTop w:val="0"/>
      <w:marBottom w:val="0"/>
      <w:divBdr>
        <w:top w:val="none" w:sz="0" w:space="0" w:color="auto"/>
        <w:left w:val="none" w:sz="0" w:space="0" w:color="auto"/>
        <w:bottom w:val="none" w:sz="0" w:space="0" w:color="auto"/>
        <w:right w:val="none" w:sz="0" w:space="0" w:color="auto"/>
      </w:divBdr>
    </w:div>
    <w:div w:id="354622902">
      <w:bodyDiv w:val="1"/>
      <w:marLeft w:val="0"/>
      <w:marRight w:val="0"/>
      <w:marTop w:val="0"/>
      <w:marBottom w:val="0"/>
      <w:divBdr>
        <w:top w:val="none" w:sz="0" w:space="0" w:color="auto"/>
        <w:left w:val="none" w:sz="0" w:space="0" w:color="auto"/>
        <w:bottom w:val="none" w:sz="0" w:space="0" w:color="auto"/>
        <w:right w:val="none" w:sz="0" w:space="0" w:color="auto"/>
      </w:divBdr>
    </w:div>
    <w:div w:id="355738532">
      <w:bodyDiv w:val="1"/>
      <w:marLeft w:val="0"/>
      <w:marRight w:val="0"/>
      <w:marTop w:val="0"/>
      <w:marBottom w:val="0"/>
      <w:divBdr>
        <w:top w:val="none" w:sz="0" w:space="0" w:color="auto"/>
        <w:left w:val="none" w:sz="0" w:space="0" w:color="auto"/>
        <w:bottom w:val="none" w:sz="0" w:space="0" w:color="auto"/>
        <w:right w:val="none" w:sz="0" w:space="0" w:color="auto"/>
      </w:divBdr>
    </w:div>
    <w:div w:id="357119951">
      <w:bodyDiv w:val="1"/>
      <w:marLeft w:val="0"/>
      <w:marRight w:val="0"/>
      <w:marTop w:val="0"/>
      <w:marBottom w:val="0"/>
      <w:divBdr>
        <w:top w:val="none" w:sz="0" w:space="0" w:color="auto"/>
        <w:left w:val="none" w:sz="0" w:space="0" w:color="auto"/>
        <w:bottom w:val="none" w:sz="0" w:space="0" w:color="auto"/>
        <w:right w:val="none" w:sz="0" w:space="0" w:color="auto"/>
      </w:divBdr>
    </w:div>
    <w:div w:id="364210128">
      <w:bodyDiv w:val="1"/>
      <w:marLeft w:val="0"/>
      <w:marRight w:val="0"/>
      <w:marTop w:val="0"/>
      <w:marBottom w:val="0"/>
      <w:divBdr>
        <w:top w:val="none" w:sz="0" w:space="0" w:color="auto"/>
        <w:left w:val="none" w:sz="0" w:space="0" w:color="auto"/>
        <w:bottom w:val="none" w:sz="0" w:space="0" w:color="auto"/>
        <w:right w:val="none" w:sz="0" w:space="0" w:color="auto"/>
      </w:divBdr>
    </w:div>
    <w:div w:id="367339957">
      <w:bodyDiv w:val="1"/>
      <w:marLeft w:val="0"/>
      <w:marRight w:val="0"/>
      <w:marTop w:val="0"/>
      <w:marBottom w:val="0"/>
      <w:divBdr>
        <w:top w:val="none" w:sz="0" w:space="0" w:color="auto"/>
        <w:left w:val="none" w:sz="0" w:space="0" w:color="auto"/>
        <w:bottom w:val="none" w:sz="0" w:space="0" w:color="auto"/>
        <w:right w:val="none" w:sz="0" w:space="0" w:color="auto"/>
      </w:divBdr>
    </w:div>
    <w:div w:id="367607961">
      <w:bodyDiv w:val="1"/>
      <w:marLeft w:val="0"/>
      <w:marRight w:val="0"/>
      <w:marTop w:val="0"/>
      <w:marBottom w:val="0"/>
      <w:divBdr>
        <w:top w:val="none" w:sz="0" w:space="0" w:color="auto"/>
        <w:left w:val="none" w:sz="0" w:space="0" w:color="auto"/>
        <w:bottom w:val="none" w:sz="0" w:space="0" w:color="auto"/>
        <w:right w:val="none" w:sz="0" w:space="0" w:color="auto"/>
      </w:divBdr>
    </w:div>
    <w:div w:id="370307037">
      <w:bodyDiv w:val="1"/>
      <w:marLeft w:val="0"/>
      <w:marRight w:val="0"/>
      <w:marTop w:val="0"/>
      <w:marBottom w:val="0"/>
      <w:divBdr>
        <w:top w:val="none" w:sz="0" w:space="0" w:color="auto"/>
        <w:left w:val="none" w:sz="0" w:space="0" w:color="auto"/>
        <w:bottom w:val="none" w:sz="0" w:space="0" w:color="auto"/>
        <w:right w:val="none" w:sz="0" w:space="0" w:color="auto"/>
      </w:divBdr>
    </w:div>
    <w:div w:id="373313013">
      <w:bodyDiv w:val="1"/>
      <w:marLeft w:val="0"/>
      <w:marRight w:val="0"/>
      <w:marTop w:val="0"/>
      <w:marBottom w:val="0"/>
      <w:divBdr>
        <w:top w:val="none" w:sz="0" w:space="0" w:color="auto"/>
        <w:left w:val="none" w:sz="0" w:space="0" w:color="auto"/>
        <w:bottom w:val="none" w:sz="0" w:space="0" w:color="auto"/>
        <w:right w:val="none" w:sz="0" w:space="0" w:color="auto"/>
      </w:divBdr>
    </w:div>
    <w:div w:id="376273665">
      <w:bodyDiv w:val="1"/>
      <w:marLeft w:val="0"/>
      <w:marRight w:val="0"/>
      <w:marTop w:val="0"/>
      <w:marBottom w:val="0"/>
      <w:divBdr>
        <w:top w:val="none" w:sz="0" w:space="0" w:color="auto"/>
        <w:left w:val="none" w:sz="0" w:space="0" w:color="auto"/>
        <w:bottom w:val="none" w:sz="0" w:space="0" w:color="auto"/>
        <w:right w:val="none" w:sz="0" w:space="0" w:color="auto"/>
      </w:divBdr>
    </w:div>
    <w:div w:id="393695904">
      <w:bodyDiv w:val="1"/>
      <w:marLeft w:val="0"/>
      <w:marRight w:val="0"/>
      <w:marTop w:val="0"/>
      <w:marBottom w:val="0"/>
      <w:divBdr>
        <w:top w:val="none" w:sz="0" w:space="0" w:color="auto"/>
        <w:left w:val="none" w:sz="0" w:space="0" w:color="auto"/>
        <w:bottom w:val="none" w:sz="0" w:space="0" w:color="auto"/>
        <w:right w:val="none" w:sz="0" w:space="0" w:color="auto"/>
      </w:divBdr>
    </w:div>
    <w:div w:id="422727612">
      <w:bodyDiv w:val="1"/>
      <w:marLeft w:val="0"/>
      <w:marRight w:val="0"/>
      <w:marTop w:val="0"/>
      <w:marBottom w:val="0"/>
      <w:divBdr>
        <w:top w:val="none" w:sz="0" w:space="0" w:color="auto"/>
        <w:left w:val="none" w:sz="0" w:space="0" w:color="auto"/>
        <w:bottom w:val="none" w:sz="0" w:space="0" w:color="auto"/>
        <w:right w:val="none" w:sz="0" w:space="0" w:color="auto"/>
      </w:divBdr>
    </w:div>
    <w:div w:id="430592258">
      <w:bodyDiv w:val="1"/>
      <w:marLeft w:val="0"/>
      <w:marRight w:val="0"/>
      <w:marTop w:val="0"/>
      <w:marBottom w:val="0"/>
      <w:divBdr>
        <w:top w:val="none" w:sz="0" w:space="0" w:color="auto"/>
        <w:left w:val="none" w:sz="0" w:space="0" w:color="auto"/>
        <w:bottom w:val="none" w:sz="0" w:space="0" w:color="auto"/>
        <w:right w:val="none" w:sz="0" w:space="0" w:color="auto"/>
      </w:divBdr>
    </w:div>
    <w:div w:id="431437828">
      <w:bodyDiv w:val="1"/>
      <w:marLeft w:val="0"/>
      <w:marRight w:val="0"/>
      <w:marTop w:val="0"/>
      <w:marBottom w:val="0"/>
      <w:divBdr>
        <w:top w:val="none" w:sz="0" w:space="0" w:color="auto"/>
        <w:left w:val="none" w:sz="0" w:space="0" w:color="auto"/>
        <w:bottom w:val="none" w:sz="0" w:space="0" w:color="auto"/>
        <w:right w:val="none" w:sz="0" w:space="0" w:color="auto"/>
      </w:divBdr>
    </w:div>
    <w:div w:id="450783900">
      <w:bodyDiv w:val="1"/>
      <w:marLeft w:val="0"/>
      <w:marRight w:val="0"/>
      <w:marTop w:val="0"/>
      <w:marBottom w:val="0"/>
      <w:divBdr>
        <w:top w:val="none" w:sz="0" w:space="0" w:color="auto"/>
        <w:left w:val="none" w:sz="0" w:space="0" w:color="auto"/>
        <w:bottom w:val="none" w:sz="0" w:space="0" w:color="auto"/>
        <w:right w:val="none" w:sz="0" w:space="0" w:color="auto"/>
      </w:divBdr>
    </w:div>
    <w:div w:id="484661977">
      <w:bodyDiv w:val="1"/>
      <w:marLeft w:val="0"/>
      <w:marRight w:val="0"/>
      <w:marTop w:val="0"/>
      <w:marBottom w:val="0"/>
      <w:divBdr>
        <w:top w:val="none" w:sz="0" w:space="0" w:color="auto"/>
        <w:left w:val="none" w:sz="0" w:space="0" w:color="auto"/>
        <w:bottom w:val="none" w:sz="0" w:space="0" w:color="auto"/>
        <w:right w:val="none" w:sz="0" w:space="0" w:color="auto"/>
      </w:divBdr>
      <w:divsChild>
        <w:div w:id="591855964">
          <w:marLeft w:val="0"/>
          <w:marRight w:val="0"/>
          <w:marTop w:val="0"/>
          <w:marBottom w:val="0"/>
          <w:divBdr>
            <w:top w:val="none" w:sz="0" w:space="0" w:color="auto"/>
            <w:left w:val="none" w:sz="0" w:space="0" w:color="auto"/>
            <w:bottom w:val="none" w:sz="0" w:space="0" w:color="auto"/>
            <w:right w:val="none" w:sz="0" w:space="0" w:color="auto"/>
          </w:divBdr>
          <w:divsChild>
            <w:div w:id="1950434740">
              <w:marLeft w:val="0"/>
              <w:marRight w:val="0"/>
              <w:marTop w:val="0"/>
              <w:marBottom w:val="0"/>
              <w:divBdr>
                <w:top w:val="none" w:sz="0" w:space="0" w:color="auto"/>
                <w:left w:val="none" w:sz="0" w:space="0" w:color="auto"/>
                <w:bottom w:val="none" w:sz="0" w:space="0" w:color="auto"/>
                <w:right w:val="none" w:sz="0" w:space="0" w:color="auto"/>
              </w:divBdr>
              <w:divsChild>
                <w:div w:id="981425932">
                  <w:marLeft w:val="0"/>
                  <w:marRight w:val="0"/>
                  <w:marTop w:val="0"/>
                  <w:marBottom w:val="0"/>
                  <w:divBdr>
                    <w:top w:val="none" w:sz="0" w:space="0" w:color="auto"/>
                    <w:left w:val="none" w:sz="0" w:space="0" w:color="auto"/>
                    <w:bottom w:val="none" w:sz="0" w:space="0" w:color="auto"/>
                    <w:right w:val="none" w:sz="0" w:space="0" w:color="auto"/>
                  </w:divBdr>
                  <w:divsChild>
                    <w:div w:id="106025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818487">
          <w:marLeft w:val="0"/>
          <w:marRight w:val="0"/>
          <w:marTop w:val="0"/>
          <w:marBottom w:val="0"/>
          <w:divBdr>
            <w:top w:val="none" w:sz="0" w:space="0" w:color="auto"/>
            <w:left w:val="none" w:sz="0" w:space="0" w:color="auto"/>
            <w:bottom w:val="none" w:sz="0" w:space="0" w:color="auto"/>
            <w:right w:val="none" w:sz="0" w:space="0" w:color="auto"/>
          </w:divBdr>
          <w:divsChild>
            <w:div w:id="1837377270">
              <w:marLeft w:val="0"/>
              <w:marRight w:val="0"/>
              <w:marTop w:val="0"/>
              <w:marBottom w:val="0"/>
              <w:divBdr>
                <w:top w:val="none" w:sz="0" w:space="0" w:color="auto"/>
                <w:left w:val="none" w:sz="0" w:space="0" w:color="auto"/>
                <w:bottom w:val="none" w:sz="0" w:space="0" w:color="auto"/>
                <w:right w:val="none" w:sz="0" w:space="0" w:color="auto"/>
              </w:divBdr>
              <w:divsChild>
                <w:div w:id="1983072360">
                  <w:marLeft w:val="0"/>
                  <w:marRight w:val="0"/>
                  <w:marTop w:val="0"/>
                  <w:marBottom w:val="0"/>
                  <w:divBdr>
                    <w:top w:val="none" w:sz="0" w:space="0" w:color="auto"/>
                    <w:left w:val="none" w:sz="0" w:space="0" w:color="auto"/>
                    <w:bottom w:val="none" w:sz="0" w:space="0" w:color="auto"/>
                    <w:right w:val="none" w:sz="0" w:space="0" w:color="auto"/>
                  </w:divBdr>
                  <w:divsChild>
                    <w:div w:id="141750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085291">
      <w:bodyDiv w:val="1"/>
      <w:marLeft w:val="0"/>
      <w:marRight w:val="0"/>
      <w:marTop w:val="0"/>
      <w:marBottom w:val="0"/>
      <w:divBdr>
        <w:top w:val="none" w:sz="0" w:space="0" w:color="auto"/>
        <w:left w:val="none" w:sz="0" w:space="0" w:color="auto"/>
        <w:bottom w:val="none" w:sz="0" w:space="0" w:color="auto"/>
        <w:right w:val="none" w:sz="0" w:space="0" w:color="auto"/>
      </w:divBdr>
    </w:div>
    <w:div w:id="506528660">
      <w:bodyDiv w:val="1"/>
      <w:marLeft w:val="0"/>
      <w:marRight w:val="0"/>
      <w:marTop w:val="0"/>
      <w:marBottom w:val="0"/>
      <w:divBdr>
        <w:top w:val="none" w:sz="0" w:space="0" w:color="auto"/>
        <w:left w:val="none" w:sz="0" w:space="0" w:color="auto"/>
        <w:bottom w:val="none" w:sz="0" w:space="0" w:color="auto"/>
        <w:right w:val="none" w:sz="0" w:space="0" w:color="auto"/>
      </w:divBdr>
    </w:div>
    <w:div w:id="508835487">
      <w:bodyDiv w:val="1"/>
      <w:marLeft w:val="0"/>
      <w:marRight w:val="0"/>
      <w:marTop w:val="0"/>
      <w:marBottom w:val="0"/>
      <w:divBdr>
        <w:top w:val="none" w:sz="0" w:space="0" w:color="auto"/>
        <w:left w:val="none" w:sz="0" w:space="0" w:color="auto"/>
        <w:bottom w:val="none" w:sz="0" w:space="0" w:color="auto"/>
        <w:right w:val="none" w:sz="0" w:space="0" w:color="auto"/>
      </w:divBdr>
    </w:div>
    <w:div w:id="524907082">
      <w:bodyDiv w:val="1"/>
      <w:marLeft w:val="0"/>
      <w:marRight w:val="0"/>
      <w:marTop w:val="0"/>
      <w:marBottom w:val="0"/>
      <w:divBdr>
        <w:top w:val="none" w:sz="0" w:space="0" w:color="auto"/>
        <w:left w:val="none" w:sz="0" w:space="0" w:color="auto"/>
        <w:bottom w:val="none" w:sz="0" w:space="0" w:color="auto"/>
        <w:right w:val="none" w:sz="0" w:space="0" w:color="auto"/>
      </w:divBdr>
    </w:div>
    <w:div w:id="540244741">
      <w:bodyDiv w:val="1"/>
      <w:marLeft w:val="0"/>
      <w:marRight w:val="0"/>
      <w:marTop w:val="0"/>
      <w:marBottom w:val="0"/>
      <w:divBdr>
        <w:top w:val="none" w:sz="0" w:space="0" w:color="auto"/>
        <w:left w:val="none" w:sz="0" w:space="0" w:color="auto"/>
        <w:bottom w:val="none" w:sz="0" w:space="0" w:color="auto"/>
        <w:right w:val="none" w:sz="0" w:space="0" w:color="auto"/>
      </w:divBdr>
      <w:divsChild>
        <w:div w:id="147400974">
          <w:marLeft w:val="0"/>
          <w:marRight w:val="0"/>
          <w:marTop w:val="0"/>
          <w:marBottom w:val="0"/>
          <w:divBdr>
            <w:top w:val="none" w:sz="0" w:space="0" w:color="auto"/>
            <w:left w:val="none" w:sz="0" w:space="0" w:color="auto"/>
            <w:bottom w:val="none" w:sz="0" w:space="0" w:color="auto"/>
            <w:right w:val="none" w:sz="0" w:space="0" w:color="auto"/>
          </w:divBdr>
        </w:div>
        <w:div w:id="200750499">
          <w:marLeft w:val="0"/>
          <w:marRight w:val="0"/>
          <w:marTop w:val="0"/>
          <w:marBottom w:val="0"/>
          <w:divBdr>
            <w:top w:val="none" w:sz="0" w:space="0" w:color="auto"/>
            <w:left w:val="none" w:sz="0" w:space="0" w:color="auto"/>
            <w:bottom w:val="none" w:sz="0" w:space="0" w:color="auto"/>
            <w:right w:val="none" w:sz="0" w:space="0" w:color="auto"/>
          </w:divBdr>
        </w:div>
        <w:div w:id="355616867">
          <w:marLeft w:val="0"/>
          <w:marRight w:val="0"/>
          <w:marTop w:val="0"/>
          <w:marBottom w:val="0"/>
          <w:divBdr>
            <w:top w:val="none" w:sz="0" w:space="0" w:color="auto"/>
            <w:left w:val="none" w:sz="0" w:space="0" w:color="auto"/>
            <w:bottom w:val="none" w:sz="0" w:space="0" w:color="auto"/>
            <w:right w:val="none" w:sz="0" w:space="0" w:color="auto"/>
          </w:divBdr>
        </w:div>
        <w:div w:id="1047990517">
          <w:marLeft w:val="0"/>
          <w:marRight w:val="0"/>
          <w:marTop w:val="0"/>
          <w:marBottom w:val="0"/>
          <w:divBdr>
            <w:top w:val="none" w:sz="0" w:space="0" w:color="auto"/>
            <w:left w:val="none" w:sz="0" w:space="0" w:color="auto"/>
            <w:bottom w:val="none" w:sz="0" w:space="0" w:color="auto"/>
            <w:right w:val="none" w:sz="0" w:space="0" w:color="auto"/>
          </w:divBdr>
        </w:div>
        <w:div w:id="1066758692">
          <w:marLeft w:val="0"/>
          <w:marRight w:val="0"/>
          <w:marTop w:val="0"/>
          <w:marBottom w:val="0"/>
          <w:divBdr>
            <w:top w:val="none" w:sz="0" w:space="0" w:color="auto"/>
            <w:left w:val="none" w:sz="0" w:space="0" w:color="auto"/>
            <w:bottom w:val="none" w:sz="0" w:space="0" w:color="auto"/>
            <w:right w:val="none" w:sz="0" w:space="0" w:color="auto"/>
          </w:divBdr>
        </w:div>
      </w:divsChild>
    </w:div>
    <w:div w:id="545263916">
      <w:bodyDiv w:val="1"/>
      <w:marLeft w:val="0"/>
      <w:marRight w:val="0"/>
      <w:marTop w:val="0"/>
      <w:marBottom w:val="0"/>
      <w:divBdr>
        <w:top w:val="none" w:sz="0" w:space="0" w:color="auto"/>
        <w:left w:val="none" w:sz="0" w:space="0" w:color="auto"/>
        <w:bottom w:val="none" w:sz="0" w:space="0" w:color="auto"/>
        <w:right w:val="none" w:sz="0" w:space="0" w:color="auto"/>
      </w:divBdr>
    </w:div>
    <w:div w:id="569463393">
      <w:bodyDiv w:val="1"/>
      <w:marLeft w:val="0"/>
      <w:marRight w:val="0"/>
      <w:marTop w:val="0"/>
      <w:marBottom w:val="0"/>
      <w:divBdr>
        <w:top w:val="none" w:sz="0" w:space="0" w:color="auto"/>
        <w:left w:val="none" w:sz="0" w:space="0" w:color="auto"/>
        <w:bottom w:val="none" w:sz="0" w:space="0" w:color="auto"/>
        <w:right w:val="none" w:sz="0" w:space="0" w:color="auto"/>
      </w:divBdr>
    </w:div>
    <w:div w:id="578832280">
      <w:bodyDiv w:val="1"/>
      <w:marLeft w:val="0"/>
      <w:marRight w:val="0"/>
      <w:marTop w:val="0"/>
      <w:marBottom w:val="0"/>
      <w:divBdr>
        <w:top w:val="none" w:sz="0" w:space="0" w:color="auto"/>
        <w:left w:val="none" w:sz="0" w:space="0" w:color="auto"/>
        <w:bottom w:val="none" w:sz="0" w:space="0" w:color="auto"/>
        <w:right w:val="none" w:sz="0" w:space="0" w:color="auto"/>
      </w:divBdr>
    </w:div>
    <w:div w:id="579676357">
      <w:bodyDiv w:val="1"/>
      <w:marLeft w:val="0"/>
      <w:marRight w:val="0"/>
      <w:marTop w:val="0"/>
      <w:marBottom w:val="0"/>
      <w:divBdr>
        <w:top w:val="none" w:sz="0" w:space="0" w:color="auto"/>
        <w:left w:val="none" w:sz="0" w:space="0" w:color="auto"/>
        <w:bottom w:val="none" w:sz="0" w:space="0" w:color="auto"/>
        <w:right w:val="none" w:sz="0" w:space="0" w:color="auto"/>
      </w:divBdr>
    </w:div>
    <w:div w:id="581648559">
      <w:bodyDiv w:val="1"/>
      <w:marLeft w:val="0"/>
      <w:marRight w:val="0"/>
      <w:marTop w:val="0"/>
      <w:marBottom w:val="0"/>
      <w:divBdr>
        <w:top w:val="none" w:sz="0" w:space="0" w:color="auto"/>
        <w:left w:val="none" w:sz="0" w:space="0" w:color="auto"/>
        <w:bottom w:val="none" w:sz="0" w:space="0" w:color="auto"/>
        <w:right w:val="none" w:sz="0" w:space="0" w:color="auto"/>
      </w:divBdr>
    </w:div>
    <w:div w:id="582179554">
      <w:bodyDiv w:val="1"/>
      <w:marLeft w:val="0"/>
      <w:marRight w:val="0"/>
      <w:marTop w:val="0"/>
      <w:marBottom w:val="0"/>
      <w:divBdr>
        <w:top w:val="none" w:sz="0" w:space="0" w:color="auto"/>
        <w:left w:val="none" w:sz="0" w:space="0" w:color="auto"/>
        <w:bottom w:val="none" w:sz="0" w:space="0" w:color="auto"/>
        <w:right w:val="none" w:sz="0" w:space="0" w:color="auto"/>
      </w:divBdr>
      <w:divsChild>
        <w:div w:id="545947283">
          <w:marLeft w:val="0"/>
          <w:marRight w:val="0"/>
          <w:marTop w:val="0"/>
          <w:marBottom w:val="0"/>
          <w:divBdr>
            <w:top w:val="none" w:sz="0" w:space="0" w:color="auto"/>
            <w:left w:val="none" w:sz="0" w:space="0" w:color="auto"/>
            <w:bottom w:val="none" w:sz="0" w:space="0" w:color="auto"/>
            <w:right w:val="none" w:sz="0" w:space="0" w:color="auto"/>
          </w:divBdr>
        </w:div>
      </w:divsChild>
    </w:div>
    <w:div w:id="582299443">
      <w:bodyDiv w:val="1"/>
      <w:marLeft w:val="0"/>
      <w:marRight w:val="0"/>
      <w:marTop w:val="0"/>
      <w:marBottom w:val="0"/>
      <w:divBdr>
        <w:top w:val="none" w:sz="0" w:space="0" w:color="auto"/>
        <w:left w:val="none" w:sz="0" w:space="0" w:color="auto"/>
        <w:bottom w:val="none" w:sz="0" w:space="0" w:color="auto"/>
        <w:right w:val="none" w:sz="0" w:space="0" w:color="auto"/>
      </w:divBdr>
    </w:div>
    <w:div w:id="611016522">
      <w:bodyDiv w:val="1"/>
      <w:marLeft w:val="0"/>
      <w:marRight w:val="0"/>
      <w:marTop w:val="0"/>
      <w:marBottom w:val="0"/>
      <w:divBdr>
        <w:top w:val="none" w:sz="0" w:space="0" w:color="auto"/>
        <w:left w:val="none" w:sz="0" w:space="0" w:color="auto"/>
        <w:bottom w:val="none" w:sz="0" w:space="0" w:color="auto"/>
        <w:right w:val="none" w:sz="0" w:space="0" w:color="auto"/>
      </w:divBdr>
    </w:div>
    <w:div w:id="627663841">
      <w:bodyDiv w:val="1"/>
      <w:marLeft w:val="0"/>
      <w:marRight w:val="0"/>
      <w:marTop w:val="0"/>
      <w:marBottom w:val="0"/>
      <w:divBdr>
        <w:top w:val="none" w:sz="0" w:space="0" w:color="auto"/>
        <w:left w:val="none" w:sz="0" w:space="0" w:color="auto"/>
        <w:bottom w:val="none" w:sz="0" w:space="0" w:color="auto"/>
        <w:right w:val="none" w:sz="0" w:space="0" w:color="auto"/>
      </w:divBdr>
    </w:div>
    <w:div w:id="630944312">
      <w:bodyDiv w:val="1"/>
      <w:marLeft w:val="0"/>
      <w:marRight w:val="0"/>
      <w:marTop w:val="0"/>
      <w:marBottom w:val="0"/>
      <w:divBdr>
        <w:top w:val="none" w:sz="0" w:space="0" w:color="auto"/>
        <w:left w:val="none" w:sz="0" w:space="0" w:color="auto"/>
        <w:bottom w:val="none" w:sz="0" w:space="0" w:color="auto"/>
        <w:right w:val="none" w:sz="0" w:space="0" w:color="auto"/>
      </w:divBdr>
    </w:div>
    <w:div w:id="647440062">
      <w:bodyDiv w:val="1"/>
      <w:marLeft w:val="0"/>
      <w:marRight w:val="0"/>
      <w:marTop w:val="0"/>
      <w:marBottom w:val="0"/>
      <w:divBdr>
        <w:top w:val="none" w:sz="0" w:space="0" w:color="auto"/>
        <w:left w:val="none" w:sz="0" w:space="0" w:color="auto"/>
        <w:bottom w:val="none" w:sz="0" w:space="0" w:color="auto"/>
        <w:right w:val="none" w:sz="0" w:space="0" w:color="auto"/>
      </w:divBdr>
    </w:div>
    <w:div w:id="674577102">
      <w:bodyDiv w:val="1"/>
      <w:marLeft w:val="0"/>
      <w:marRight w:val="0"/>
      <w:marTop w:val="0"/>
      <w:marBottom w:val="0"/>
      <w:divBdr>
        <w:top w:val="none" w:sz="0" w:space="0" w:color="auto"/>
        <w:left w:val="none" w:sz="0" w:space="0" w:color="auto"/>
        <w:bottom w:val="none" w:sz="0" w:space="0" w:color="auto"/>
        <w:right w:val="none" w:sz="0" w:space="0" w:color="auto"/>
      </w:divBdr>
    </w:div>
    <w:div w:id="680737697">
      <w:bodyDiv w:val="1"/>
      <w:marLeft w:val="0"/>
      <w:marRight w:val="0"/>
      <w:marTop w:val="0"/>
      <w:marBottom w:val="0"/>
      <w:divBdr>
        <w:top w:val="none" w:sz="0" w:space="0" w:color="auto"/>
        <w:left w:val="none" w:sz="0" w:space="0" w:color="auto"/>
        <w:bottom w:val="none" w:sz="0" w:space="0" w:color="auto"/>
        <w:right w:val="none" w:sz="0" w:space="0" w:color="auto"/>
      </w:divBdr>
      <w:divsChild>
        <w:div w:id="2081781182">
          <w:marLeft w:val="0"/>
          <w:marRight w:val="0"/>
          <w:marTop w:val="0"/>
          <w:marBottom w:val="0"/>
          <w:divBdr>
            <w:top w:val="none" w:sz="0" w:space="0" w:color="auto"/>
            <w:left w:val="none" w:sz="0" w:space="0" w:color="auto"/>
            <w:bottom w:val="none" w:sz="0" w:space="0" w:color="auto"/>
            <w:right w:val="none" w:sz="0" w:space="0" w:color="auto"/>
          </w:divBdr>
        </w:div>
      </w:divsChild>
    </w:div>
    <w:div w:id="691541704">
      <w:bodyDiv w:val="1"/>
      <w:marLeft w:val="0"/>
      <w:marRight w:val="0"/>
      <w:marTop w:val="0"/>
      <w:marBottom w:val="0"/>
      <w:divBdr>
        <w:top w:val="none" w:sz="0" w:space="0" w:color="auto"/>
        <w:left w:val="none" w:sz="0" w:space="0" w:color="auto"/>
        <w:bottom w:val="none" w:sz="0" w:space="0" w:color="auto"/>
        <w:right w:val="none" w:sz="0" w:space="0" w:color="auto"/>
      </w:divBdr>
    </w:div>
    <w:div w:id="718824851">
      <w:bodyDiv w:val="1"/>
      <w:marLeft w:val="0"/>
      <w:marRight w:val="0"/>
      <w:marTop w:val="0"/>
      <w:marBottom w:val="0"/>
      <w:divBdr>
        <w:top w:val="none" w:sz="0" w:space="0" w:color="auto"/>
        <w:left w:val="none" w:sz="0" w:space="0" w:color="auto"/>
        <w:bottom w:val="none" w:sz="0" w:space="0" w:color="auto"/>
        <w:right w:val="none" w:sz="0" w:space="0" w:color="auto"/>
      </w:divBdr>
    </w:div>
    <w:div w:id="727848326">
      <w:bodyDiv w:val="1"/>
      <w:marLeft w:val="0"/>
      <w:marRight w:val="0"/>
      <w:marTop w:val="0"/>
      <w:marBottom w:val="0"/>
      <w:divBdr>
        <w:top w:val="none" w:sz="0" w:space="0" w:color="auto"/>
        <w:left w:val="none" w:sz="0" w:space="0" w:color="auto"/>
        <w:bottom w:val="none" w:sz="0" w:space="0" w:color="auto"/>
        <w:right w:val="none" w:sz="0" w:space="0" w:color="auto"/>
      </w:divBdr>
    </w:div>
    <w:div w:id="741215761">
      <w:bodyDiv w:val="1"/>
      <w:marLeft w:val="0"/>
      <w:marRight w:val="0"/>
      <w:marTop w:val="0"/>
      <w:marBottom w:val="0"/>
      <w:divBdr>
        <w:top w:val="none" w:sz="0" w:space="0" w:color="auto"/>
        <w:left w:val="none" w:sz="0" w:space="0" w:color="auto"/>
        <w:bottom w:val="none" w:sz="0" w:space="0" w:color="auto"/>
        <w:right w:val="none" w:sz="0" w:space="0" w:color="auto"/>
      </w:divBdr>
    </w:div>
    <w:div w:id="752051394">
      <w:bodyDiv w:val="1"/>
      <w:marLeft w:val="0"/>
      <w:marRight w:val="0"/>
      <w:marTop w:val="0"/>
      <w:marBottom w:val="0"/>
      <w:divBdr>
        <w:top w:val="none" w:sz="0" w:space="0" w:color="auto"/>
        <w:left w:val="none" w:sz="0" w:space="0" w:color="auto"/>
        <w:bottom w:val="none" w:sz="0" w:space="0" w:color="auto"/>
        <w:right w:val="none" w:sz="0" w:space="0" w:color="auto"/>
      </w:divBdr>
    </w:div>
    <w:div w:id="766343197">
      <w:bodyDiv w:val="1"/>
      <w:marLeft w:val="0"/>
      <w:marRight w:val="0"/>
      <w:marTop w:val="0"/>
      <w:marBottom w:val="0"/>
      <w:divBdr>
        <w:top w:val="none" w:sz="0" w:space="0" w:color="auto"/>
        <w:left w:val="none" w:sz="0" w:space="0" w:color="auto"/>
        <w:bottom w:val="none" w:sz="0" w:space="0" w:color="auto"/>
        <w:right w:val="none" w:sz="0" w:space="0" w:color="auto"/>
      </w:divBdr>
      <w:divsChild>
        <w:div w:id="1096436198">
          <w:marLeft w:val="0"/>
          <w:marRight w:val="0"/>
          <w:marTop w:val="0"/>
          <w:marBottom w:val="0"/>
          <w:divBdr>
            <w:top w:val="none" w:sz="0" w:space="0" w:color="auto"/>
            <w:left w:val="none" w:sz="0" w:space="0" w:color="auto"/>
            <w:bottom w:val="none" w:sz="0" w:space="0" w:color="auto"/>
            <w:right w:val="none" w:sz="0" w:space="0" w:color="auto"/>
          </w:divBdr>
          <w:divsChild>
            <w:div w:id="1350451276">
              <w:marLeft w:val="0"/>
              <w:marRight w:val="0"/>
              <w:marTop w:val="0"/>
              <w:marBottom w:val="0"/>
              <w:divBdr>
                <w:top w:val="none" w:sz="0" w:space="0" w:color="auto"/>
                <w:left w:val="none" w:sz="0" w:space="0" w:color="auto"/>
                <w:bottom w:val="none" w:sz="0" w:space="0" w:color="auto"/>
                <w:right w:val="none" w:sz="0" w:space="0" w:color="auto"/>
              </w:divBdr>
              <w:divsChild>
                <w:div w:id="584610376">
                  <w:marLeft w:val="0"/>
                  <w:marRight w:val="0"/>
                  <w:marTop w:val="0"/>
                  <w:marBottom w:val="0"/>
                  <w:divBdr>
                    <w:top w:val="none" w:sz="0" w:space="0" w:color="auto"/>
                    <w:left w:val="none" w:sz="0" w:space="0" w:color="auto"/>
                    <w:bottom w:val="none" w:sz="0" w:space="0" w:color="auto"/>
                    <w:right w:val="none" w:sz="0" w:space="0" w:color="auto"/>
                  </w:divBdr>
                  <w:divsChild>
                    <w:div w:id="158822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477073">
      <w:bodyDiv w:val="1"/>
      <w:marLeft w:val="0"/>
      <w:marRight w:val="0"/>
      <w:marTop w:val="0"/>
      <w:marBottom w:val="0"/>
      <w:divBdr>
        <w:top w:val="none" w:sz="0" w:space="0" w:color="auto"/>
        <w:left w:val="none" w:sz="0" w:space="0" w:color="auto"/>
        <w:bottom w:val="none" w:sz="0" w:space="0" w:color="auto"/>
        <w:right w:val="none" w:sz="0" w:space="0" w:color="auto"/>
      </w:divBdr>
      <w:divsChild>
        <w:div w:id="257909344">
          <w:marLeft w:val="0"/>
          <w:marRight w:val="0"/>
          <w:marTop w:val="0"/>
          <w:marBottom w:val="0"/>
          <w:divBdr>
            <w:top w:val="single" w:sz="2" w:space="0" w:color="E3E3E3"/>
            <w:left w:val="single" w:sz="2" w:space="0" w:color="E3E3E3"/>
            <w:bottom w:val="single" w:sz="2" w:space="0" w:color="E3E3E3"/>
            <w:right w:val="single" w:sz="2" w:space="0" w:color="E3E3E3"/>
          </w:divBdr>
          <w:divsChild>
            <w:div w:id="690225633">
              <w:marLeft w:val="0"/>
              <w:marRight w:val="0"/>
              <w:marTop w:val="100"/>
              <w:marBottom w:val="100"/>
              <w:divBdr>
                <w:top w:val="single" w:sz="2" w:space="0" w:color="E3E3E3"/>
                <w:left w:val="single" w:sz="2" w:space="0" w:color="E3E3E3"/>
                <w:bottom w:val="single" w:sz="2" w:space="0" w:color="E3E3E3"/>
                <w:right w:val="single" w:sz="2" w:space="0" w:color="E3E3E3"/>
              </w:divBdr>
              <w:divsChild>
                <w:div w:id="1577394016">
                  <w:marLeft w:val="0"/>
                  <w:marRight w:val="0"/>
                  <w:marTop w:val="0"/>
                  <w:marBottom w:val="0"/>
                  <w:divBdr>
                    <w:top w:val="single" w:sz="2" w:space="0" w:color="E3E3E3"/>
                    <w:left w:val="single" w:sz="2" w:space="0" w:color="E3E3E3"/>
                    <w:bottom w:val="single" w:sz="2" w:space="0" w:color="E3E3E3"/>
                    <w:right w:val="single" w:sz="2" w:space="0" w:color="E3E3E3"/>
                  </w:divBdr>
                  <w:divsChild>
                    <w:div w:id="98566760">
                      <w:marLeft w:val="0"/>
                      <w:marRight w:val="0"/>
                      <w:marTop w:val="0"/>
                      <w:marBottom w:val="0"/>
                      <w:divBdr>
                        <w:top w:val="single" w:sz="2" w:space="0" w:color="E3E3E3"/>
                        <w:left w:val="single" w:sz="2" w:space="0" w:color="E3E3E3"/>
                        <w:bottom w:val="single" w:sz="2" w:space="0" w:color="E3E3E3"/>
                        <w:right w:val="single" w:sz="2" w:space="0" w:color="E3E3E3"/>
                      </w:divBdr>
                      <w:divsChild>
                        <w:div w:id="735666484">
                          <w:marLeft w:val="0"/>
                          <w:marRight w:val="0"/>
                          <w:marTop w:val="0"/>
                          <w:marBottom w:val="0"/>
                          <w:divBdr>
                            <w:top w:val="single" w:sz="2" w:space="0" w:color="E3E3E3"/>
                            <w:left w:val="single" w:sz="2" w:space="0" w:color="E3E3E3"/>
                            <w:bottom w:val="single" w:sz="2" w:space="0" w:color="E3E3E3"/>
                            <w:right w:val="single" w:sz="2" w:space="0" w:color="E3E3E3"/>
                          </w:divBdr>
                        </w:div>
                        <w:div w:id="827287139">
                          <w:marLeft w:val="0"/>
                          <w:marRight w:val="0"/>
                          <w:marTop w:val="0"/>
                          <w:marBottom w:val="0"/>
                          <w:divBdr>
                            <w:top w:val="single" w:sz="2" w:space="0" w:color="E3E3E3"/>
                            <w:left w:val="single" w:sz="2" w:space="0" w:color="E3E3E3"/>
                            <w:bottom w:val="single" w:sz="2" w:space="0" w:color="E3E3E3"/>
                            <w:right w:val="single" w:sz="2" w:space="0" w:color="E3E3E3"/>
                          </w:divBdr>
                          <w:divsChild>
                            <w:div w:id="1689990736">
                              <w:marLeft w:val="0"/>
                              <w:marRight w:val="0"/>
                              <w:marTop w:val="0"/>
                              <w:marBottom w:val="0"/>
                              <w:divBdr>
                                <w:top w:val="single" w:sz="2" w:space="0" w:color="E3E3E3"/>
                                <w:left w:val="single" w:sz="2" w:space="0" w:color="E3E3E3"/>
                                <w:bottom w:val="single" w:sz="2" w:space="0" w:color="E3E3E3"/>
                                <w:right w:val="single" w:sz="2" w:space="0" w:color="E3E3E3"/>
                              </w:divBdr>
                              <w:divsChild>
                                <w:div w:id="1423648710">
                                  <w:marLeft w:val="0"/>
                                  <w:marRight w:val="0"/>
                                  <w:marTop w:val="0"/>
                                  <w:marBottom w:val="0"/>
                                  <w:divBdr>
                                    <w:top w:val="single" w:sz="2" w:space="0" w:color="E3E3E3"/>
                                    <w:left w:val="single" w:sz="2" w:space="0" w:color="E3E3E3"/>
                                    <w:bottom w:val="single" w:sz="2" w:space="0" w:color="E3E3E3"/>
                                    <w:right w:val="single" w:sz="2" w:space="0" w:color="E3E3E3"/>
                                  </w:divBdr>
                                  <w:divsChild>
                                    <w:div w:id="12484247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81267002">
                      <w:marLeft w:val="0"/>
                      <w:marRight w:val="0"/>
                      <w:marTop w:val="0"/>
                      <w:marBottom w:val="0"/>
                      <w:divBdr>
                        <w:top w:val="single" w:sz="2" w:space="0" w:color="E3E3E3"/>
                        <w:left w:val="single" w:sz="2" w:space="0" w:color="E3E3E3"/>
                        <w:bottom w:val="single" w:sz="2" w:space="0" w:color="E3E3E3"/>
                        <w:right w:val="single" w:sz="2" w:space="0" w:color="E3E3E3"/>
                      </w:divBdr>
                      <w:divsChild>
                        <w:div w:id="794252625">
                          <w:marLeft w:val="0"/>
                          <w:marRight w:val="0"/>
                          <w:marTop w:val="0"/>
                          <w:marBottom w:val="0"/>
                          <w:divBdr>
                            <w:top w:val="single" w:sz="2" w:space="0" w:color="E3E3E3"/>
                            <w:left w:val="single" w:sz="2" w:space="0" w:color="E3E3E3"/>
                            <w:bottom w:val="single" w:sz="2" w:space="0" w:color="E3E3E3"/>
                            <w:right w:val="single" w:sz="2" w:space="0" w:color="E3E3E3"/>
                          </w:divBdr>
                          <w:divsChild>
                            <w:div w:id="488865302">
                              <w:marLeft w:val="0"/>
                              <w:marRight w:val="0"/>
                              <w:marTop w:val="0"/>
                              <w:marBottom w:val="0"/>
                              <w:divBdr>
                                <w:top w:val="single" w:sz="2" w:space="0" w:color="E3E3E3"/>
                                <w:left w:val="single" w:sz="2" w:space="0" w:color="E3E3E3"/>
                                <w:bottom w:val="single" w:sz="2" w:space="0" w:color="E3E3E3"/>
                                <w:right w:val="single" w:sz="2" w:space="0" w:color="E3E3E3"/>
                              </w:divBdr>
                              <w:divsChild>
                                <w:div w:id="1502163775">
                                  <w:marLeft w:val="0"/>
                                  <w:marRight w:val="0"/>
                                  <w:marTop w:val="0"/>
                                  <w:marBottom w:val="0"/>
                                  <w:divBdr>
                                    <w:top w:val="single" w:sz="2" w:space="0" w:color="E3E3E3"/>
                                    <w:left w:val="single" w:sz="2" w:space="0" w:color="E3E3E3"/>
                                    <w:bottom w:val="single" w:sz="2" w:space="0" w:color="E3E3E3"/>
                                    <w:right w:val="single" w:sz="2" w:space="0" w:color="E3E3E3"/>
                                  </w:divBdr>
                                  <w:divsChild>
                                    <w:div w:id="15667184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03715252">
          <w:marLeft w:val="0"/>
          <w:marRight w:val="0"/>
          <w:marTop w:val="0"/>
          <w:marBottom w:val="0"/>
          <w:divBdr>
            <w:top w:val="single" w:sz="2" w:space="0" w:color="E3E3E3"/>
            <w:left w:val="single" w:sz="2" w:space="0" w:color="E3E3E3"/>
            <w:bottom w:val="single" w:sz="2" w:space="0" w:color="E3E3E3"/>
            <w:right w:val="single" w:sz="2" w:space="0" w:color="E3E3E3"/>
          </w:divBdr>
          <w:divsChild>
            <w:div w:id="973557173">
              <w:marLeft w:val="0"/>
              <w:marRight w:val="0"/>
              <w:marTop w:val="100"/>
              <w:marBottom w:val="100"/>
              <w:divBdr>
                <w:top w:val="single" w:sz="2" w:space="0" w:color="E3E3E3"/>
                <w:left w:val="single" w:sz="2" w:space="0" w:color="E3E3E3"/>
                <w:bottom w:val="single" w:sz="2" w:space="0" w:color="E3E3E3"/>
                <w:right w:val="single" w:sz="2" w:space="0" w:color="E3E3E3"/>
              </w:divBdr>
              <w:divsChild>
                <w:div w:id="1256018741">
                  <w:marLeft w:val="0"/>
                  <w:marRight w:val="0"/>
                  <w:marTop w:val="0"/>
                  <w:marBottom w:val="0"/>
                  <w:divBdr>
                    <w:top w:val="single" w:sz="2" w:space="0" w:color="E3E3E3"/>
                    <w:left w:val="single" w:sz="2" w:space="0" w:color="E3E3E3"/>
                    <w:bottom w:val="single" w:sz="2" w:space="0" w:color="E3E3E3"/>
                    <w:right w:val="single" w:sz="2" w:space="0" w:color="E3E3E3"/>
                  </w:divBdr>
                  <w:divsChild>
                    <w:div w:id="1087654769">
                      <w:marLeft w:val="0"/>
                      <w:marRight w:val="0"/>
                      <w:marTop w:val="0"/>
                      <w:marBottom w:val="0"/>
                      <w:divBdr>
                        <w:top w:val="single" w:sz="2" w:space="0" w:color="E3E3E3"/>
                        <w:left w:val="single" w:sz="2" w:space="0" w:color="E3E3E3"/>
                        <w:bottom w:val="single" w:sz="2" w:space="0" w:color="E3E3E3"/>
                        <w:right w:val="single" w:sz="2" w:space="0" w:color="E3E3E3"/>
                      </w:divBdr>
                      <w:divsChild>
                        <w:div w:id="286133134">
                          <w:marLeft w:val="0"/>
                          <w:marRight w:val="0"/>
                          <w:marTop w:val="0"/>
                          <w:marBottom w:val="0"/>
                          <w:divBdr>
                            <w:top w:val="single" w:sz="2" w:space="0" w:color="E3E3E3"/>
                            <w:left w:val="single" w:sz="2" w:space="0" w:color="E3E3E3"/>
                            <w:bottom w:val="single" w:sz="2" w:space="0" w:color="E3E3E3"/>
                            <w:right w:val="single" w:sz="2" w:space="0" w:color="E3E3E3"/>
                          </w:divBdr>
                          <w:divsChild>
                            <w:div w:id="180749249">
                              <w:marLeft w:val="0"/>
                              <w:marRight w:val="0"/>
                              <w:marTop w:val="0"/>
                              <w:marBottom w:val="0"/>
                              <w:divBdr>
                                <w:top w:val="single" w:sz="2" w:space="0" w:color="E3E3E3"/>
                                <w:left w:val="single" w:sz="2" w:space="0" w:color="E3E3E3"/>
                                <w:bottom w:val="single" w:sz="2" w:space="0" w:color="E3E3E3"/>
                                <w:right w:val="single" w:sz="2" w:space="0" w:color="E3E3E3"/>
                              </w:divBdr>
                              <w:divsChild>
                                <w:div w:id="1085565286">
                                  <w:marLeft w:val="0"/>
                                  <w:marRight w:val="0"/>
                                  <w:marTop w:val="0"/>
                                  <w:marBottom w:val="0"/>
                                  <w:divBdr>
                                    <w:top w:val="single" w:sz="2" w:space="0" w:color="E3E3E3"/>
                                    <w:left w:val="single" w:sz="2" w:space="0" w:color="E3E3E3"/>
                                    <w:bottom w:val="single" w:sz="2" w:space="0" w:color="E3E3E3"/>
                                    <w:right w:val="single" w:sz="2" w:space="0" w:color="E3E3E3"/>
                                  </w:divBdr>
                                  <w:divsChild>
                                    <w:div w:id="1818181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5101300">
      <w:bodyDiv w:val="1"/>
      <w:marLeft w:val="0"/>
      <w:marRight w:val="0"/>
      <w:marTop w:val="0"/>
      <w:marBottom w:val="0"/>
      <w:divBdr>
        <w:top w:val="none" w:sz="0" w:space="0" w:color="auto"/>
        <w:left w:val="none" w:sz="0" w:space="0" w:color="auto"/>
        <w:bottom w:val="none" w:sz="0" w:space="0" w:color="auto"/>
        <w:right w:val="none" w:sz="0" w:space="0" w:color="auto"/>
      </w:divBdr>
    </w:div>
    <w:div w:id="790242371">
      <w:bodyDiv w:val="1"/>
      <w:marLeft w:val="0"/>
      <w:marRight w:val="0"/>
      <w:marTop w:val="0"/>
      <w:marBottom w:val="0"/>
      <w:divBdr>
        <w:top w:val="none" w:sz="0" w:space="0" w:color="auto"/>
        <w:left w:val="none" w:sz="0" w:space="0" w:color="auto"/>
        <w:bottom w:val="none" w:sz="0" w:space="0" w:color="auto"/>
        <w:right w:val="none" w:sz="0" w:space="0" w:color="auto"/>
      </w:divBdr>
    </w:div>
    <w:div w:id="794101101">
      <w:bodyDiv w:val="1"/>
      <w:marLeft w:val="0"/>
      <w:marRight w:val="0"/>
      <w:marTop w:val="0"/>
      <w:marBottom w:val="0"/>
      <w:divBdr>
        <w:top w:val="none" w:sz="0" w:space="0" w:color="auto"/>
        <w:left w:val="none" w:sz="0" w:space="0" w:color="auto"/>
        <w:bottom w:val="none" w:sz="0" w:space="0" w:color="auto"/>
        <w:right w:val="none" w:sz="0" w:space="0" w:color="auto"/>
      </w:divBdr>
    </w:div>
    <w:div w:id="808279129">
      <w:bodyDiv w:val="1"/>
      <w:marLeft w:val="0"/>
      <w:marRight w:val="0"/>
      <w:marTop w:val="0"/>
      <w:marBottom w:val="0"/>
      <w:divBdr>
        <w:top w:val="none" w:sz="0" w:space="0" w:color="auto"/>
        <w:left w:val="none" w:sz="0" w:space="0" w:color="auto"/>
        <w:bottom w:val="none" w:sz="0" w:space="0" w:color="auto"/>
        <w:right w:val="none" w:sz="0" w:space="0" w:color="auto"/>
      </w:divBdr>
    </w:div>
    <w:div w:id="843864159">
      <w:bodyDiv w:val="1"/>
      <w:marLeft w:val="0"/>
      <w:marRight w:val="0"/>
      <w:marTop w:val="0"/>
      <w:marBottom w:val="0"/>
      <w:divBdr>
        <w:top w:val="none" w:sz="0" w:space="0" w:color="auto"/>
        <w:left w:val="none" w:sz="0" w:space="0" w:color="auto"/>
        <w:bottom w:val="none" w:sz="0" w:space="0" w:color="auto"/>
        <w:right w:val="none" w:sz="0" w:space="0" w:color="auto"/>
      </w:divBdr>
    </w:div>
    <w:div w:id="864904980">
      <w:bodyDiv w:val="1"/>
      <w:marLeft w:val="0"/>
      <w:marRight w:val="0"/>
      <w:marTop w:val="0"/>
      <w:marBottom w:val="0"/>
      <w:divBdr>
        <w:top w:val="none" w:sz="0" w:space="0" w:color="auto"/>
        <w:left w:val="none" w:sz="0" w:space="0" w:color="auto"/>
        <w:bottom w:val="none" w:sz="0" w:space="0" w:color="auto"/>
        <w:right w:val="none" w:sz="0" w:space="0" w:color="auto"/>
      </w:divBdr>
    </w:div>
    <w:div w:id="878594094">
      <w:bodyDiv w:val="1"/>
      <w:marLeft w:val="0"/>
      <w:marRight w:val="0"/>
      <w:marTop w:val="0"/>
      <w:marBottom w:val="0"/>
      <w:divBdr>
        <w:top w:val="none" w:sz="0" w:space="0" w:color="auto"/>
        <w:left w:val="none" w:sz="0" w:space="0" w:color="auto"/>
        <w:bottom w:val="none" w:sz="0" w:space="0" w:color="auto"/>
        <w:right w:val="none" w:sz="0" w:space="0" w:color="auto"/>
      </w:divBdr>
    </w:div>
    <w:div w:id="889000167">
      <w:bodyDiv w:val="1"/>
      <w:marLeft w:val="0"/>
      <w:marRight w:val="0"/>
      <w:marTop w:val="0"/>
      <w:marBottom w:val="0"/>
      <w:divBdr>
        <w:top w:val="none" w:sz="0" w:space="0" w:color="auto"/>
        <w:left w:val="none" w:sz="0" w:space="0" w:color="auto"/>
        <w:bottom w:val="none" w:sz="0" w:space="0" w:color="auto"/>
        <w:right w:val="none" w:sz="0" w:space="0" w:color="auto"/>
      </w:divBdr>
    </w:div>
    <w:div w:id="893469618">
      <w:bodyDiv w:val="1"/>
      <w:marLeft w:val="0"/>
      <w:marRight w:val="0"/>
      <w:marTop w:val="0"/>
      <w:marBottom w:val="0"/>
      <w:divBdr>
        <w:top w:val="none" w:sz="0" w:space="0" w:color="auto"/>
        <w:left w:val="none" w:sz="0" w:space="0" w:color="auto"/>
        <w:bottom w:val="none" w:sz="0" w:space="0" w:color="auto"/>
        <w:right w:val="none" w:sz="0" w:space="0" w:color="auto"/>
      </w:divBdr>
    </w:div>
    <w:div w:id="894314367">
      <w:bodyDiv w:val="1"/>
      <w:marLeft w:val="0"/>
      <w:marRight w:val="0"/>
      <w:marTop w:val="0"/>
      <w:marBottom w:val="0"/>
      <w:divBdr>
        <w:top w:val="none" w:sz="0" w:space="0" w:color="auto"/>
        <w:left w:val="none" w:sz="0" w:space="0" w:color="auto"/>
        <w:bottom w:val="none" w:sz="0" w:space="0" w:color="auto"/>
        <w:right w:val="none" w:sz="0" w:space="0" w:color="auto"/>
      </w:divBdr>
    </w:div>
    <w:div w:id="894659891">
      <w:bodyDiv w:val="1"/>
      <w:marLeft w:val="0"/>
      <w:marRight w:val="0"/>
      <w:marTop w:val="0"/>
      <w:marBottom w:val="0"/>
      <w:divBdr>
        <w:top w:val="none" w:sz="0" w:space="0" w:color="auto"/>
        <w:left w:val="none" w:sz="0" w:space="0" w:color="auto"/>
        <w:bottom w:val="none" w:sz="0" w:space="0" w:color="auto"/>
        <w:right w:val="none" w:sz="0" w:space="0" w:color="auto"/>
      </w:divBdr>
    </w:div>
    <w:div w:id="899514363">
      <w:bodyDiv w:val="1"/>
      <w:marLeft w:val="0"/>
      <w:marRight w:val="0"/>
      <w:marTop w:val="0"/>
      <w:marBottom w:val="0"/>
      <w:divBdr>
        <w:top w:val="none" w:sz="0" w:space="0" w:color="auto"/>
        <w:left w:val="none" w:sz="0" w:space="0" w:color="auto"/>
        <w:bottom w:val="none" w:sz="0" w:space="0" w:color="auto"/>
        <w:right w:val="none" w:sz="0" w:space="0" w:color="auto"/>
      </w:divBdr>
    </w:div>
    <w:div w:id="901794004">
      <w:bodyDiv w:val="1"/>
      <w:marLeft w:val="0"/>
      <w:marRight w:val="0"/>
      <w:marTop w:val="0"/>
      <w:marBottom w:val="0"/>
      <w:divBdr>
        <w:top w:val="none" w:sz="0" w:space="0" w:color="auto"/>
        <w:left w:val="none" w:sz="0" w:space="0" w:color="auto"/>
        <w:bottom w:val="none" w:sz="0" w:space="0" w:color="auto"/>
        <w:right w:val="none" w:sz="0" w:space="0" w:color="auto"/>
      </w:divBdr>
      <w:divsChild>
        <w:div w:id="45839970">
          <w:marLeft w:val="0"/>
          <w:marRight w:val="0"/>
          <w:marTop w:val="0"/>
          <w:marBottom w:val="0"/>
          <w:divBdr>
            <w:top w:val="none" w:sz="0" w:space="0" w:color="auto"/>
            <w:left w:val="none" w:sz="0" w:space="0" w:color="auto"/>
            <w:bottom w:val="none" w:sz="0" w:space="0" w:color="auto"/>
            <w:right w:val="none" w:sz="0" w:space="0" w:color="auto"/>
          </w:divBdr>
        </w:div>
        <w:div w:id="1152481348">
          <w:marLeft w:val="0"/>
          <w:marRight w:val="0"/>
          <w:marTop w:val="0"/>
          <w:marBottom w:val="0"/>
          <w:divBdr>
            <w:top w:val="single" w:sz="2" w:space="0" w:color="E3E3E3"/>
            <w:left w:val="single" w:sz="2" w:space="0" w:color="E3E3E3"/>
            <w:bottom w:val="single" w:sz="2" w:space="0" w:color="E3E3E3"/>
            <w:right w:val="single" w:sz="2" w:space="0" w:color="E3E3E3"/>
          </w:divBdr>
          <w:divsChild>
            <w:div w:id="602303871">
              <w:marLeft w:val="0"/>
              <w:marRight w:val="0"/>
              <w:marTop w:val="0"/>
              <w:marBottom w:val="0"/>
              <w:divBdr>
                <w:top w:val="single" w:sz="2" w:space="0" w:color="E3E3E3"/>
                <w:left w:val="single" w:sz="2" w:space="0" w:color="E3E3E3"/>
                <w:bottom w:val="single" w:sz="2" w:space="0" w:color="E3E3E3"/>
                <w:right w:val="single" w:sz="2" w:space="0" w:color="E3E3E3"/>
              </w:divBdr>
              <w:divsChild>
                <w:div w:id="1326470171">
                  <w:marLeft w:val="0"/>
                  <w:marRight w:val="0"/>
                  <w:marTop w:val="0"/>
                  <w:marBottom w:val="0"/>
                  <w:divBdr>
                    <w:top w:val="single" w:sz="2" w:space="0" w:color="E3E3E3"/>
                    <w:left w:val="single" w:sz="2" w:space="0" w:color="E3E3E3"/>
                    <w:bottom w:val="single" w:sz="2" w:space="0" w:color="E3E3E3"/>
                    <w:right w:val="single" w:sz="2" w:space="0" w:color="E3E3E3"/>
                  </w:divBdr>
                  <w:divsChild>
                    <w:div w:id="841819818">
                      <w:marLeft w:val="0"/>
                      <w:marRight w:val="0"/>
                      <w:marTop w:val="0"/>
                      <w:marBottom w:val="0"/>
                      <w:divBdr>
                        <w:top w:val="single" w:sz="2" w:space="0" w:color="E3E3E3"/>
                        <w:left w:val="single" w:sz="2" w:space="0" w:color="E3E3E3"/>
                        <w:bottom w:val="single" w:sz="2" w:space="0" w:color="E3E3E3"/>
                        <w:right w:val="single" w:sz="2" w:space="0" w:color="E3E3E3"/>
                      </w:divBdr>
                      <w:divsChild>
                        <w:div w:id="1780103367">
                          <w:marLeft w:val="0"/>
                          <w:marRight w:val="0"/>
                          <w:marTop w:val="0"/>
                          <w:marBottom w:val="0"/>
                          <w:divBdr>
                            <w:top w:val="single" w:sz="2" w:space="0" w:color="E3E3E3"/>
                            <w:left w:val="single" w:sz="2" w:space="0" w:color="E3E3E3"/>
                            <w:bottom w:val="single" w:sz="2" w:space="0" w:color="E3E3E3"/>
                            <w:right w:val="single" w:sz="2" w:space="0" w:color="E3E3E3"/>
                          </w:divBdr>
                          <w:divsChild>
                            <w:div w:id="474225565">
                              <w:marLeft w:val="0"/>
                              <w:marRight w:val="0"/>
                              <w:marTop w:val="0"/>
                              <w:marBottom w:val="0"/>
                              <w:divBdr>
                                <w:top w:val="single" w:sz="2" w:space="0" w:color="E3E3E3"/>
                                <w:left w:val="single" w:sz="2" w:space="0" w:color="E3E3E3"/>
                                <w:bottom w:val="single" w:sz="2" w:space="0" w:color="E3E3E3"/>
                                <w:right w:val="single" w:sz="2" w:space="0" w:color="E3E3E3"/>
                              </w:divBdr>
                              <w:divsChild>
                                <w:div w:id="2114737178">
                                  <w:marLeft w:val="0"/>
                                  <w:marRight w:val="0"/>
                                  <w:marTop w:val="100"/>
                                  <w:marBottom w:val="100"/>
                                  <w:divBdr>
                                    <w:top w:val="single" w:sz="2" w:space="0" w:color="E3E3E3"/>
                                    <w:left w:val="single" w:sz="2" w:space="0" w:color="E3E3E3"/>
                                    <w:bottom w:val="single" w:sz="2" w:space="0" w:color="E3E3E3"/>
                                    <w:right w:val="single" w:sz="2" w:space="0" w:color="E3E3E3"/>
                                  </w:divBdr>
                                  <w:divsChild>
                                    <w:div w:id="1297950295">
                                      <w:marLeft w:val="0"/>
                                      <w:marRight w:val="0"/>
                                      <w:marTop w:val="0"/>
                                      <w:marBottom w:val="0"/>
                                      <w:divBdr>
                                        <w:top w:val="single" w:sz="2" w:space="0" w:color="E3E3E3"/>
                                        <w:left w:val="single" w:sz="2" w:space="0" w:color="E3E3E3"/>
                                        <w:bottom w:val="single" w:sz="2" w:space="0" w:color="E3E3E3"/>
                                        <w:right w:val="single" w:sz="2" w:space="0" w:color="E3E3E3"/>
                                      </w:divBdr>
                                      <w:divsChild>
                                        <w:div w:id="1840651438">
                                          <w:marLeft w:val="0"/>
                                          <w:marRight w:val="0"/>
                                          <w:marTop w:val="0"/>
                                          <w:marBottom w:val="0"/>
                                          <w:divBdr>
                                            <w:top w:val="single" w:sz="2" w:space="0" w:color="E3E3E3"/>
                                            <w:left w:val="single" w:sz="2" w:space="0" w:color="E3E3E3"/>
                                            <w:bottom w:val="single" w:sz="2" w:space="0" w:color="E3E3E3"/>
                                            <w:right w:val="single" w:sz="2" w:space="0" w:color="E3E3E3"/>
                                          </w:divBdr>
                                          <w:divsChild>
                                            <w:div w:id="735469044">
                                              <w:marLeft w:val="0"/>
                                              <w:marRight w:val="0"/>
                                              <w:marTop w:val="0"/>
                                              <w:marBottom w:val="0"/>
                                              <w:divBdr>
                                                <w:top w:val="single" w:sz="2" w:space="0" w:color="E3E3E3"/>
                                                <w:left w:val="single" w:sz="2" w:space="0" w:color="E3E3E3"/>
                                                <w:bottom w:val="single" w:sz="2" w:space="0" w:color="E3E3E3"/>
                                                <w:right w:val="single" w:sz="2" w:space="0" w:color="E3E3E3"/>
                                              </w:divBdr>
                                              <w:divsChild>
                                                <w:div w:id="1444685621">
                                                  <w:marLeft w:val="0"/>
                                                  <w:marRight w:val="0"/>
                                                  <w:marTop w:val="0"/>
                                                  <w:marBottom w:val="0"/>
                                                  <w:divBdr>
                                                    <w:top w:val="single" w:sz="2" w:space="0" w:color="E3E3E3"/>
                                                    <w:left w:val="single" w:sz="2" w:space="0" w:color="E3E3E3"/>
                                                    <w:bottom w:val="single" w:sz="2" w:space="0" w:color="E3E3E3"/>
                                                    <w:right w:val="single" w:sz="2" w:space="0" w:color="E3E3E3"/>
                                                  </w:divBdr>
                                                  <w:divsChild>
                                                    <w:div w:id="1660108613">
                                                      <w:marLeft w:val="0"/>
                                                      <w:marRight w:val="0"/>
                                                      <w:marTop w:val="0"/>
                                                      <w:marBottom w:val="0"/>
                                                      <w:divBdr>
                                                        <w:top w:val="single" w:sz="2" w:space="0" w:color="E3E3E3"/>
                                                        <w:left w:val="single" w:sz="2" w:space="0" w:color="E3E3E3"/>
                                                        <w:bottom w:val="single" w:sz="2" w:space="0" w:color="E3E3E3"/>
                                                        <w:right w:val="single" w:sz="2" w:space="0" w:color="E3E3E3"/>
                                                      </w:divBdr>
                                                      <w:divsChild>
                                                        <w:div w:id="19367421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907302939">
      <w:bodyDiv w:val="1"/>
      <w:marLeft w:val="0"/>
      <w:marRight w:val="0"/>
      <w:marTop w:val="0"/>
      <w:marBottom w:val="0"/>
      <w:divBdr>
        <w:top w:val="none" w:sz="0" w:space="0" w:color="auto"/>
        <w:left w:val="none" w:sz="0" w:space="0" w:color="auto"/>
        <w:bottom w:val="none" w:sz="0" w:space="0" w:color="auto"/>
        <w:right w:val="none" w:sz="0" w:space="0" w:color="auto"/>
      </w:divBdr>
    </w:div>
    <w:div w:id="907422923">
      <w:bodyDiv w:val="1"/>
      <w:marLeft w:val="0"/>
      <w:marRight w:val="0"/>
      <w:marTop w:val="0"/>
      <w:marBottom w:val="0"/>
      <w:divBdr>
        <w:top w:val="none" w:sz="0" w:space="0" w:color="auto"/>
        <w:left w:val="none" w:sz="0" w:space="0" w:color="auto"/>
        <w:bottom w:val="none" w:sz="0" w:space="0" w:color="auto"/>
        <w:right w:val="none" w:sz="0" w:space="0" w:color="auto"/>
      </w:divBdr>
    </w:div>
    <w:div w:id="916672395">
      <w:bodyDiv w:val="1"/>
      <w:marLeft w:val="0"/>
      <w:marRight w:val="0"/>
      <w:marTop w:val="0"/>
      <w:marBottom w:val="0"/>
      <w:divBdr>
        <w:top w:val="none" w:sz="0" w:space="0" w:color="auto"/>
        <w:left w:val="none" w:sz="0" w:space="0" w:color="auto"/>
        <w:bottom w:val="none" w:sz="0" w:space="0" w:color="auto"/>
        <w:right w:val="none" w:sz="0" w:space="0" w:color="auto"/>
      </w:divBdr>
    </w:div>
    <w:div w:id="937061482">
      <w:bodyDiv w:val="1"/>
      <w:marLeft w:val="0"/>
      <w:marRight w:val="0"/>
      <w:marTop w:val="0"/>
      <w:marBottom w:val="0"/>
      <w:divBdr>
        <w:top w:val="none" w:sz="0" w:space="0" w:color="auto"/>
        <w:left w:val="none" w:sz="0" w:space="0" w:color="auto"/>
        <w:bottom w:val="none" w:sz="0" w:space="0" w:color="auto"/>
        <w:right w:val="none" w:sz="0" w:space="0" w:color="auto"/>
      </w:divBdr>
    </w:div>
    <w:div w:id="939021627">
      <w:bodyDiv w:val="1"/>
      <w:marLeft w:val="0"/>
      <w:marRight w:val="0"/>
      <w:marTop w:val="0"/>
      <w:marBottom w:val="0"/>
      <w:divBdr>
        <w:top w:val="none" w:sz="0" w:space="0" w:color="auto"/>
        <w:left w:val="none" w:sz="0" w:space="0" w:color="auto"/>
        <w:bottom w:val="none" w:sz="0" w:space="0" w:color="auto"/>
        <w:right w:val="none" w:sz="0" w:space="0" w:color="auto"/>
      </w:divBdr>
    </w:div>
    <w:div w:id="943150630">
      <w:bodyDiv w:val="1"/>
      <w:marLeft w:val="0"/>
      <w:marRight w:val="0"/>
      <w:marTop w:val="0"/>
      <w:marBottom w:val="0"/>
      <w:divBdr>
        <w:top w:val="none" w:sz="0" w:space="0" w:color="auto"/>
        <w:left w:val="none" w:sz="0" w:space="0" w:color="auto"/>
        <w:bottom w:val="none" w:sz="0" w:space="0" w:color="auto"/>
        <w:right w:val="none" w:sz="0" w:space="0" w:color="auto"/>
      </w:divBdr>
    </w:div>
    <w:div w:id="952903002">
      <w:bodyDiv w:val="1"/>
      <w:marLeft w:val="0"/>
      <w:marRight w:val="0"/>
      <w:marTop w:val="0"/>
      <w:marBottom w:val="0"/>
      <w:divBdr>
        <w:top w:val="none" w:sz="0" w:space="0" w:color="auto"/>
        <w:left w:val="none" w:sz="0" w:space="0" w:color="auto"/>
        <w:bottom w:val="none" w:sz="0" w:space="0" w:color="auto"/>
        <w:right w:val="none" w:sz="0" w:space="0" w:color="auto"/>
      </w:divBdr>
    </w:div>
    <w:div w:id="953176498">
      <w:bodyDiv w:val="1"/>
      <w:marLeft w:val="0"/>
      <w:marRight w:val="0"/>
      <w:marTop w:val="0"/>
      <w:marBottom w:val="0"/>
      <w:divBdr>
        <w:top w:val="none" w:sz="0" w:space="0" w:color="auto"/>
        <w:left w:val="none" w:sz="0" w:space="0" w:color="auto"/>
        <w:bottom w:val="none" w:sz="0" w:space="0" w:color="auto"/>
        <w:right w:val="none" w:sz="0" w:space="0" w:color="auto"/>
      </w:divBdr>
    </w:div>
    <w:div w:id="957027097">
      <w:bodyDiv w:val="1"/>
      <w:marLeft w:val="0"/>
      <w:marRight w:val="0"/>
      <w:marTop w:val="0"/>
      <w:marBottom w:val="0"/>
      <w:divBdr>
        <w:top w:val="none" w:sz="0" w:space="0" w:color="auto"/>
        <w:left w:val="none" w:sz="0" w:space="0" w:color="auto"/>
        <w:bottom w:val="none" w:sz="0" w:space="0" w:color="auto"/>
        <w:right w:val="none" w:sz="0" w:space="0" w:color="auto"/>
      </w:divBdr>
    </w:div>
    <w:div w:id="965818504">
      <w:bodyDiv w:val="1"/>
      <w:marLeft w:val="0"/>
      <w:marRight w:val="0"/>
      <w:marTop w:val="0"/>
      <w:marBottom w:val="0"/>
      <w:divBdr>
        <w:top w:val="none" w:sz="0" w:space="0" w:color="auto"/>
        <w:left w:val="none" w:sz="0" w:space="0" w:color="auto"/>
        <w:bottom w:val="none" w:sz="0" w:space="0" w:color="auto"/>
        <w:right w:val="none" w:sz="0" w:space="0" w:color="auto"/>
      </w:divBdr>
    </w:div>
    <w:div w:id="973292917">
      <w:bodyDiv w:val="1"/>
      <w:marLeft w:val="0"/>
      <w:marRight w:val="0"/>
      <w:marTop w:val="0"/>
      <w:marBottom w:val="0"/>
      <w:divBdr>
        <w:top w:val="none" w:sz="0" w:space="0" w:color="auto"/>
        <w:left w:val="none" w:sz="0" w:space="0" w:color="auto"/>
        <w:bottom w:val="none" w:sz="0" w:space="0" w:color="auto"/>
        <w:right w:val="none" w:sz="0" w:space="0" w:color="auto"/>
      </w:divBdr>
    </w:div>
    <w:div w:id="996225588">
      <w:bodyDiv w:val="1"/>
      <w:marLeft w:val="0"/>
      <w:marRight w:val="0"/>
      <w:marTop w:val="0"/>
      <w:marBottom w:val="0"/>
      <w:divBdr>
        <w:top w:val="none" w:sz="0" w:space="0" w:color="auto"/>
        <w:left w:val="none" w:sz="0" w:space="0" w:color="auto"/>
        <w:bottom w:val="none" w:sz="0" w:space="0" w:color="auto"/>
        <w:right w:val="none" w:sz="0" w:space="0" w:color="auto"/>
      </w:divBdr>
    </w:div>
    <w:div w:id="998075571">
      <w:bodyDiv w:val="1"/>
      <w:marLeft w:val="0"/>
      <w:marRight w:val="0"/>
      <w:marTop w:val="0"/>
      <w:marBottom w:val="0"/>
      <w:divBdr>
        <w:top w:val="none" w:sz="0" w:space="0" w:color="auto"/>
        <w:left w:val="none" w:sz="0" w:space="0" w:color="auto"/>
        <w:bottom w:val="none" w:sz="0" w:space="0" w:color="auto"/>
        <w:right w:val="none" w:sz="0" w:space="0" w:color="auto"/>
      </w:divBdr>
    </w:div>
    <w:div w:id="1000278523">
      <w:bodyDiv w:val="1"/>
      <w:marLeft w:val="0"/>
      <w:marRight w:val="0"/>
      <w:marTop w:val="0"/>
      <w:marBottom w:val="0"/>
      <w:divBdr>
        <w:top w:val="none" w:sz="0" w:space="0" w:color="auto"/>
        <w:left w:val="none" w:sz="0" w:space="0" w:color="auto"/>
        <w:bottom w:val="none" w:sz="0" w:space="0" w:color="auto"/>
        <w:right w:val="none" w:sz="0" w:space="0" w:color="auto"/>
      </w:divBdr>
    </w:div>
    <w:div w:id="1002010474">
      <w:bodyDiv w:val="1"/>
      <w:marLeft w:val="0"/>
      <w:marRight w:val="0"/>
      <w:marTop w:val="0"/>
      <w:marBottom w:val="0"/>
      <w:divBdr>
        <w:top w:val="none" w:sz="0" w:space="0" w:color="auto"/>
        <w:left w:val="none" w:sz="0" w:space="0" w:color="auto"/>
        <w:bottom w:val="none" w:sz="0" w:space="0" w:color="auto"/>
        <w:right w:val="none" w:sz="0" w:space="0" w:color="auto"/>
      </w:divBdr>
    </w:div>
    <w:div w:id="1007446639">
      <w:bodyDiv w:val="1"/>
      <w:marLeft w:val="0"/>
      <w:marRight w:val="0"/>
      <w:marTop w:val="0"/>
      <w:marBottom w:val="0"/>
      <w:divBdr>
        <w:top w:val="none" w:sz="0" w:space="0" w:color="auto"/>
        <w:left w:val="none" w:sz="0" w:space="0" w:color="auto"/>
        <w:bottom w:val="none" w:sz="0" w:space="0" w:color="auto"/>
        <w:right w:val="none" w:sz="0" w:space="0" w:color="auto"/>
      </w:divBdr>
    </w:div>
    <w:div w:id="1028482447">
      <w:bodyDiv w:val="1"/>
      <w:marLeft w:val="0"/>
      <w:marRight w:val="0"/>
      <w:marTop w:val="0"/>
      <w:marBottom w:val="0"/>
      <w:divBdr>
        <w:top w:val="none" w:sz="0" w:space="0" w:color="auto"/>
        <w:left w:val="none" w:sz="0" w:space="0" w:color="auto"/>
        <w:bottom w:val="none" w:sz="0" w:space="0" w:color="auto"/>
        <w:right w:val="none" w:sz="0" w:space="0" w:color="auto"/>
      </w:divBdr>
    </w:div>
    <w:div w:id="1034424094">
      <w:bodyDiv w:val="1"/>
      <w:marLeft w:val="0"/>
      <w:marRight w:val="0"/>
      <w:marTop w:val="0"/>
      <w:marBottom w:val="0"/>
      <w:divBdr>
        <w:top w:val="none" w:sz="0" w:space="0" w:color="auto"/>
        <w:left w:val="none" w:sz="0" w:space="0" w:color="auto"/>
        <w:bottom w:val="none" w:sz="0" w:space="0" w:color="auto"/>
        <w:right w:val="none" w:sz="0" w:space="0" w:color="auto"/>
      </w:divBdr>
    </w:div>
    <w:div w:id="1037584924">
      <w:bodyDiv w:val="1"/>
      <w:marLeft w:val="0"/>
      <w:marRight w:val="0"/>
      <w:marTop w:val="0"/>
      <w:marBottom w:val="0"/>
      <w:divBdr>
        <w:top w:val="none" w:sz="0" w:space="0" w:color="auto"/>
        <w:left w:val="none" w:sz="0" w:space="0" w:color="auto"/>
        <w:bottom w:val="none" w:sz="0" w:space="0" w:color="auto"/>
        <w:right w:val="none" w:sz="0" w:space="0" w:color="auto"/>
      </w:divBdr>
    </w:div>
    <w:div w:id="1078941067">
      <w:bodyDiv w:val="1"/>
      <w:marLeft w:val="0"/>
      <w:marRight w:val="0"/>
      <w:marTop w:val="0"/>
      <w:marBottom w:val="0"/>
      <w:divBdr>
        <w:top w:val="none" w:sz="0" w:space="0" w:color="auto"/>
        <w:left w:val="none" w:sz="0" w:space="0" w:color="auto"/>
        <w:bottom w:val="none" w:sz="0" w:space="0" w:color="auto"/>
        <w:right w:val="none" w:sz="0" w:space="0" w:color="auto"/>
      </w:divBdr>
      <w:divsChild>
        <w:div w:id="2007321420">
          <w:marLeft w:val="0"/>
          <w:marRight w:val="0"/>
          <w:marTop w:val="0"/>
          <w:marBottom w:val="0"/>
          <w:divBdr>
            <w:top w:val="none" w:sz="0" w:space="0" w:color="auto"/>
            <w:left w:val="none" w:sz="0" w:space="0" w:color="auto"/>
            <w:bottom w:val="none" w:sz="0" w:space="0" w:color="auto"/>
            <w:right w:val="none" w:sz="0" w:space="0" w:color="auto"/>
          </w:divBdr>
        </w:div>
      </w:divsChild>
    </w:div>
    <w:div w:id="1081027103">
      <w:bodyDiv w:val="1"/>
      <w:marLeft w:val="0"/>
      <w:marRight w:val="0"/>
      <w:marTop w:val="0"/>
      <w:marBottom w:val="0"/>
      <w:divBdr>
        <w:top w:val="none" w:sz="0" w:space="0" w:color="auto"/>
        <w:left w:val="none" w:sz="0" w:space="0" w:color="auto"/>
        <w:bottom w:val="none" w:sz="0" w:space="0" w:color="auto"/>
        <w:right w:val="none" w:sz="0" w:space="0" w:color="auto"/>
      </w:divBdr>
    </w:div>
    <w:div w:id="1093280073">
      <w:bodyDiv w:val="1"/>
      <w:marLeft w:val="0"/>
      <w:marRight w:val="0"/>
      <w:marTop w:val="0"/>
      <w:marBottom w:val="0"/>
      <w:divBdr>
        <w:top w:val="none" w:sz="0" w:space="0" w:color="auto"/>
        <w:left w:val="none" w:sz="0" w:space="0" w:color="auto"/>
        <w:bottom w:val="none" w:sz="0" w:space="0" w:color="auto"/>
        <w:right w:val="none" w:sz="0" w:space="0" w:color="auto"/>
      </w:divBdr>
    </w:div>
    <w:div w:id="1111164768">
      <w:bodyDiv w:val="1"/>
      <w:marLeft w:val="0"/>
      <w:marRight w:val="0"/>
      <w:marTop w:val="0"/>
      <w:marBottom w:val="0"/>
      <w:divBdr>
        <w:top w:val="none" w:sz="0" w:space="0" w:color="auto"/>
        <w:left w:val="none" w:sz="0" w:space="0" w:color="auto"/>
        <w:bottom w:val="none" w:sz="0" w:space="0" w:color="auto"/>
        <w:right w:val="none" w:sz="0" w:space="0" w:color="auto"/>
      </w:divBdr>
    </w:div>
    <w:div w:id="1113204410">
      <w:bodyDiv w:val="1"/>
      <w:marLeft w:val="0"/>
      <w:marRight w:val="0"/>
      <w:marTop w:val="0"/>
      <w:marBottom w:val="0"/>
      <w:divBdr>
        <w:top w:val="none" w:sz="0" w:space="0" w:color="auto"/>
        <w:left w:val="none" w:sz="0" w:space="0" w:color="auto"/>
        <w:bottom w:val="none" w:sz="0" w:space="0" w:color="auto"/>
        <w:right w:val="none" w:sz="0" w:space="0" w:color="auto"/>
      </w:divBdr>
    </w:div>
    <w:div w:id="1122267566">
      <w:bodyDiv w:val="1"/>
      <w:marLeft w:val="0"/>
      <w:marRight w:val="0"/>
      <w:marTop w:val="0"/>
      <w:marBottom w:val="0"/>
      <w:divBdr>
        <w:top w:val="none" w:sz="0" w:space="0" w:color="auto"/>
        <w:left w:val="none" w:sz="0" w:space="0" w:color="auto"/>
        <w:bottom w:val="none" w:sz="0" w:space="0" w:color="auto"/>
        <w:right w:val="none" w:sz="0" w:space="0" w:color="auto"/>
      </w:divBdr>
    </w:div>
    <w:div w:id="1134642473">
      <w:bodyDiv w:val="1"/>
      <w:marLeft w:val="0"/>
      <w:marRight w:val="0"/>
      <w:marTop w:val="0"/>
      <w:marBottom w:val="0"/>
      <w:divBdr>
        <w:top w:val="none" w:sz="0" w:space="0" w:color="auto"/>
        <w:left w:val="none" w:sz="0" w:space="0" w:color="auto"/>
        <w:bottom w:val="none" w:sz="0" w:space="0" w:color="auto"/>
        <w:right w:val="none" w:sz="0" w:space="0" w:color="auto"/>
      </w:divBdr>
    </w:div>
    <w:div w:id="1135412527">
      <w:bodyDiv w:val="1"/>
      <w:marLeft w:val="0"/>
      <w:marRight w:val="0"/>
      <w:marTop w:val="0"/>
      <w:marBottom w:val="0"/>
      <w:divBdr>
        <w:top w:val="none" w:sz="0" w:space="0" w:color="auto"/>
        <w:left w:val="none" w:sz="0" w:space="0" w:color="auto"/>
        <w:bottom w:val="none" w:sz="0" w:space="0" w:color="auto"/>
        <w:right w:val="none" w:sz="0" w:space="0" w:color="auto"/>
      </w:divBdr>
    </w:div>
    <w:div w:id="1165584675">
      <w:bodyDiv w:val="1"/>
      <w:marLeft w:val="0"/>
      <w:marRight w:val="0"/>
      <w:marTop w:val="0"/>
      <w:marBottom w:val="0"/>
      <w:divBdr>
        <w:top w:val="none" w:sz="0" w:space="0" w:color="auto"/>
        <w:left w:val="none" w:sz="0" w:space="0" w:color="auto"/>
        <w:bottom w:val="none" w:sz="0" w:space="0" w:color="auto"/>
        <w:right w:val="none" w:sz="0" w:space="0" w:color="auto"/>
      </w:divBdr>
    </w:div>
    <w:div w:id="1168442946">
      <w:bodyDiv w:val="1"/>
      <w:marLeft w:val="0"/>
      <w:marRight w:val="0"/>
      <w:marTop w:val="0"/>
      <w:marBottom w:val="0"/>
      <w:divBdr>
        <w:top w:val="none" w:sz="0" w:space="0" w:color="auto"/>
        <w:left w:val="none" w:sz="0" w:space="0" w:color="auto"/>
        <w:bottom w:val="none" w:sz="0" w:space="0" w:color="auto"/>
        <w:right w:val="none" w:sz="0" w:space="0" w:color="auto"/>
      </w:divBdr>
    </w:div>
    <w:div w:id="1190416832">
      <w:bodyDiv w:val="1"/>
      <w:marLeft w:val="0"/>
      <w:marRight w:val="0"/>
      <w:marTop w:val="0"/>
      <w:marBottom w:val="0"/>
      <w:divBdr>
        <w:top w:val="none" w:sz="0" w:space="0" w:color="auto"/>
        <w:left w:val="none" w:sz="0" w:space="0" w:color="auto"/>
        <w:bottom w:val="none" w:sz="0" w:space="0" w:color="auto"/>
        <w:right w:val="none" w:sz="0" w:space="0" w:color="auto"/>
      </w:divBdr>
    </w:div>
    <w:div w:id="1211072035">
      <w:bodyDiv w:val="1"/>
      <w:marLeft w:val="0"/>
      <w:marRight w:val="0"/>
      <w:marTop w:val="0"/>
      <w:marBottom w:val="0"/>
      <w:divBdr>
        <w:top w:val="none" w:sz="0" w:space="0" w:color="auto"/>
        <w:left w:val="none" w:sz="0" w:space="0" w:color="auto"/>
        <w:bottom w:val="none" w:sz="0" w:space="0" w:color="auto"/>
        <w:right w:val="none" w:sz="0" w:space="0" w:color="auto"/>
      </w:divBdr>
    </w:div>
    <w:div w:id="1211461164">
      <w:bodyDiv w:val="1"/>
      <w:marLeft w:val="0"/>
      <w:marRight w:val="0"/>
      <w:marTop w:val="0"/>
      <w:marBottom w:val="0"/>
      <w:divBdr>
        <w:top w:val="none" w:sz="0" w:space="0" w:color="auto"/>
        <w:left w:val="none" w:sz="0" w:space="0" w:color="auto"/>
        <w:bottom w:val="none" w:sz="0" w:space="0" w:color="auto"/>
        <w:right w:val="none" w:sz="0" w:space="0" w:color="auto"/>
      </w:divBdr>
    </w:div>
    <w:div w:id="1212038361">
      <w:bodyDiv w:val="1"/>
      <w:marLeft w:val="0"/>
      <w:marRight w:val="0"/>
      <w:marTop w:val="0"/>
      <w:marBottom w:val="0"/>
      <w:divBdr>
        <w:top w:val="none" w:sz="0" w:space="0" w:color="auto"/>
        <w:left w:val="none" w:sz="0" w:space="0" w:color="auto"/>
        <w:bottom w:val="none" w:sz="0" w:space="0" w:color="auto"/>
        <w:right w:val="none" w:sz="0" w:space="0" w:color="auto"/>
      </w:divBdr>
    </w:div>
    <w:div w:id="1223979138">
      <w:bodyDiv w:val="1"/>
      <w:marLeft w:val="0"/>
      <w:marRight w:val="0"/>
      <w:marTop w:val="0"/>
      <w:marBottom w:val="0"/>
      <w:divBdr>
        <w:top w:val="none" w:sz="0" w:space="0" w:color="auto"/>
        <w:left w:val="none" w:sz="0" w:space="0" w:color="auto"/>
        <w:bottom w:val="none" w:sz="0" w:space="0" w:color="auto"/>
        <w:right w:val="none" w:sz="0" w:space="0" w:color="auto"/>
      </w:divBdr>
    </w:div>
    <w:div w:id="1249196430">
      <w:bodyDiv w:val="1"/>
      <w:marLeft w:val="0"/>
      <w:marRight w:val="0"/>
      <w:marTop w:val="0"/>
      <w:marBottom w:val="0"/>
      <w:divBdr>
        <w:top w:val="none" w:sz="0" w:space="0" w:color="auto"/>
        <w:left w:val="none" w:sz="0" w:space="0" w:color="auto"/>
        <w:bottom w:val="none" w:sz="0" w:space="0" w:color="auto"/>
        <w:right w:val="none" w:sz="0" w:space="0" w:color="auto"/>
      </w:divBdr>
    </w:div>
    <w:div w:id="1262642481">
      <w:bodyDiv w:val="1"/>
      <w:marLeft w:val="0"/>
      <w:marRight w:val="0"/>
      <w:marTop w:val="0"/>
      <w:marBottom w:val="0"/>
      <w:divBdr>
        <w:top w:val="none" w:sz="0" w:space="0" w:color="auto"/>
        <w:left w:val="none" w:sz="0" w:space="0" w:color="auto"/>
        <w:bottom w:val="none" w:sz="0" w:space="0" w:color="auto"/>
        <w:right w:val="none" w:sz="0" w:space="0" w:color="auto"/>
      </w:divBdr>
    </w:div>
    <w:div w:id="1267730976">
      <w:bodyDiv w:val="1"/>
      <w:marLeft w:val="0"/>
      <w:marRight w:val="0"/>
      <w:marTop w:val="0"/>
      <w:marBottom w:val="0"/>
      <w:divBdr>
        <w:top w:val="none" w:sz="0" w:space="0" w:color="auto"/>
        <w:left w:val="none" w:sz="0" w:space="0" w:color="auto"/>
        <w:bottom w:val="none" w:sz="0" w:space="0" w:color="auto"/>
        <w:right w:val="none" w:sz="0" w:space="0" w:color="auto"/>
      </w:divBdr>
    </w:div>
    <w:div w:id="1274751192">
      <w:bodyDiv w:val="1"/>
      <w:marLeft w:val="0"/>
      <w:marRight w:val="0"/>
      <w:marTop w:val="0"/>
      <w:marBottom w:val="0"/>
      <w:divBdr>
        <w:top w:val="none" w:sz="0" w:space="0" w:color="auto"/>
        <w:left w:val="none" w:sz="0" w:space="0" w:color="auto"/>
        <w:bottom w:val="none" w:sz="0" w:space="0" w:color="auto"/>
        <w:right w:val="none" w:sz="0" w:space="0" w:color="auto"/>
      </w:divBdr>
    </w:div>
    <w:div w:id="1277518300">
      <w:bodyDiv w:val="1"/>
      <w:marLeft w:val="0"/>
      <w:marRight w:val="0"/>
      <w:marTop w:val="0"/>
      <w:marBottom w:val="0"/>
      <w:divBdr>
        <w:top w:val="none" w:sz="0" w:space="0" w:color="auto"/>
        <w:left w:val="none" w:sz="0" w:space="0" w:color="auto"/>
        <w:bottom w:val="none" w:sz="0" w:space="0" w:color="auto"/>
        <w:right w:val="none" w:sz="0" w:space="0" w:color="auto"/>
      </w:divBdr>
    </w:div>
    <w:div w:id="1297681006">
      <w:bodyDiv w:val="1"/>
      <w:marLeft w:val="0"/>
      <w:marRight w:val="0"/>
      <w:marTop w:val="0"/>
      <w:marBottom w:val="0"/>
      <w:divBdr>
        <w:top w:val="none" w:sz="0" w:space="0" w:color="auto"/>
        <w:left w:val="none" w:sz="0" w:space="0" w:color="auto"/>
        <w:bottom w:val="none" w:sz="0" w:space="0" w:color="auto"/>
        <w:right w:val="none" w:sz="0" w:space="0" w:color="auto"/>
      </w:divBdr>
    </w:div>
    <w:div w:id="1297949597">
      <w:bodyDiv w:val="1"/>
      <w:marLeft w:val="0"/>
      <w:marRight w:val="0"/>
      <w:marTop w:val="0"/>
      <w:marBottom w:val="0"/>
      <w:divBdr>
        <w:top w:val="none" w:sz="0" w:space="0" w:color="auto"/>
        <w:left w:val="none" w:sz="0" w:space="0" w:color="auto"/>
        <w:bottom w:val="none" w:sz="0" w:space="0" w:color="auto"/>
        <w:right w:val="none" w:sz="0" w:space="0" w:color="auto"/>
      </w:divBdr>
    </w:div>
    <w:div w:id="1304850095">
      <w:bodyDiv w:val="1"/>
      <w:marLeft w:val="0"/>
      <w:marRight w:val="0"/>
      <w:marTop w:val="0"/>
      <w:marBottom w:val="0"/>
      <w:divBdr>
        <w:top w:val="none" w:sz="0" w:space="0" w:color="auto"/>
        <w:left w:val="none" w:sz="0" w:space="0" w:color="auto"/>
        <w:bottom w:val="none" w:sz="0" w:space="0" w:color="auto"/>
        <w:right w:val="none" w:sz="0" w:space="0" w:color="auto"/>
      </w:divBdr>
    </w:div>
    <w:div w:id="1306471176">
      <w:bodyDiv w:val="1"/>
      <w:marLeft w:val="0"/>
      <w:marRight w:val="0"/>
      <w:marTop w:val="0"/>
      <w:marBottom w:val="0"/>
      <w:divBdr>
        <w:top w:val="none" w:sz="0" w:space="0" w:color="auto"/>
        <w:left w:val="none" w:sz="0" w:space="0" w:color="auto"/>
        <w:bottom w:val="none" w:sz="0" w:space="0" w:color="auto"/>
        <w:right w:val="none" w:sz="0" w:space="0" w:color="auto"/>
      </w:divBdr>
    </w:div>
    <w:div w:id="1343387645">
      <w:bodyDiv w:val="1"/>
      <w:marLeft w:val="0"/>
      <w:marRight w:val="0"/>
      <w:marTop w:val="0"/>
      <w:marBottom w:val="0"/>
      <w:divBdr>
        <w:top w:val="none" w:sz="0" w:space="0" w:color="auto"/>
        <w:left w:val="none" w:sz="0" w:space="0" w:color="auto"/>
        <w:bottom w:val="none" w:sz="0" w:space="0" w:color="auto"/>
        <w:right w:val="none" w:sz="0" w:space="0" w:color="auto"/>
      </w:divBdr>
    </w:div>
    <w:div w:id="1359892393">
      <w:bodyDiv w:val="1"/>
      <w:marLeft w:val="0"/>
      <w:marRight w:val="0"/>
      <w:marTop w:val="0"/>
      <w:marBottom w:val="0"/>
      <w:divBdr>
        <w:top w:val="none" w:sz="0" w:space="0" w:color="auto"/>
        <w:left w:val="none" w:sz="0" w:space="0" w:color="auto"/>
        <w:bottom w:val="none" w:sz="0" w:space="0" w:color="auto"/>
        <w:right w:val="none" w:sz="0" w:space="0" w:color="auto"/>
      </w:divBdr>
    </w:div>
    <w:div w:id="1369791586">
      <w:bodyDiv w:val="1"/>
      <w:marLeft w:val="0"/>
      <w:marRight w:val="0"/>
      <w:marTop w:val="0"/>
      <w:marBottom w:val="0"/>
      <w:divBdr>
        <w:top w:val="none" w:sz="0" w:space="0" w:color="auto"/>
        <w:left w:val="none" w:sz="0" w:space="0" w:color="auto"/>
        <w:bottom w:val="none" w:sz="0" w:space="0" w:color="auto"/>
        <w:right w:val="none" w:sz="0" w:space="0" w:color="auto"/>
      </w:divBdr>
    </w:div>
    <w:div w:id="1373262957">
      <w:bodyDiv w:val="1"/>
      <w:marLeft w:val="0"/>
      <w:marRight w:val="0"/>
      <w:marTop w:val="0"/>
      <w:marBottom w:val="0"/>
      <w:divBdr>
        <w:top w:val="none" w:sz="0" w:space="0" w:color="auto"/>
        <w:left w:val="none" w:sz="0" w:space="0" w:color="auto"/>
        <w:bottom w:val="none" w:sz="0" w:space="0" w:color="auto"/>
        <w:right w:val="none" w:sz="0" w:space="0" w:color="auto"/>
      </w:divBdr>
      <w:divsChild>
        <w:div w:id="610670706">
          <w:marLeft w:val="0"/>
          <w:marRight w:val="0"/>
          <w:marTop w:val="0"/>
          <w:marBottom w:val="0"/>
          <w:divBdr>
            <w:top w:val="none" w:sz="0" w:space="0" w:color="auto"/>
            <w:left w:val="none" w:sz="0" w:space="0" w:color="auto"/>
            <w:bottom w:val="none" w:sz="0" w:space="0" w:color="auto"/>
            <w:right w:val="none" w:sz="0" w:space="0" w:color="auto"/>
          </w:divBdr>
        </w:div>
      </w:divsChild>
    </w:div>
    <w:div w:id="1381440343">
      <w:bodyDiv w:val="1"/>
      <w:marLeft w:val="0"/>
      <w:marRight w:val="0"/>
      <w:marTop w:val="0"/>
      <w:marBottom w:val="0"/>
      <w:divBdr>
        <w:top w:val="none" w:sz="0" w:space="0" w:color="auto"/>
        <w:left w:val="none" w:sz="0" w:space="0" w:color="auto"/>
        <w:bottom w:val="none" w:sz="0" w:space="0" w:color="auto"/>
        <w:right w:val="none" w:sz="0" w:space="0" w:color="auto"/>
      </w:divBdr>
    </w:div>
    <w:div w:id="1385257889">
      <w:bodyDiv w:val="1"/>
      <w:marLeft w:val="0"/>
      <w:marRight w:val="0"/>
      <w:marTop w:val="0"/>
      <w:marBottom w:val="0"/>
      <w:divBdr>
        <w:top w:val="none" w:sz="0" w:space="0" w:color="auto"/>
        <w:left w:val="none" w:sz="0" w:space="0" w:color="auto"/>
        <w:bottom w:val="none" w:sz="0" w:space="0" w:color="auto"/>
        <w:right w:val="none" w:sz="0" w:space="0" w:color="auto"/>
      </w:divBdr>
    </w:div>
    <w:div w:id="1405179496">
      <w:bodyDiv w:val="1"/>
      <w:marLeft w:val="0"/>
      <w:marRight w:val="0"/>
      <w:marTop w:val="0"/>
      <w:marBottom w:val="0"/>
      <w:divBdr>
        <w:top w:val="none" w:sz="0" w:space="0" w:color="auto"/>
        <w:left w:val="none" w:sz="0" w:space="0" w:color="auto"/>
        <w:bottom w:val="none" w:sz="0" w:space="0" w:color="auto"/>
        <w:right w:val="none" w:sz="0" w:space="0" w:color="auto"/>
      </w:divBdr>
    </w:div>
    <w:div w:id="1417551138">
      <w:bodyDiv w:val="1"/>
      <w:marLeft w:val="0"/>
      <w:marRight w:val="0"/>
      <w:marTop w:val="0"/>
      <w:marBottom w:val="0"/>
      <w:divBdr>
        <w:top w:val="none" w:sz="0" w:space="0" w:color="auto"/>
        <w:left w:val="none" w:sz="0" w:space="0" w:color="auto"/>
        <w:bottom w:val="none" w:sz="0" w:space="0" w:color="auto"/>
        <w:right w:val="none" w:sz="0" w:space="0" w:color="auto"/>
      </w:divBdr>
    </w:div>
    <w:div w:id="1422995449">
      <w:bodyDiv w:val="1"/>
      <w:marLeft w:val="0"/>
      <w:marRight w:val="0"/>
      <w:marTop w:val="0"/>
      <w:marBottom w:val="0"/>
      <w:divBdr>
        <w:top w:val="none" w:sz="0" w:space="0" w:color="auto"/>
        <w:left w:val="none" w:sz="0" w:space="0" w:color="auto"/>
        <w:bottom w:val="none" w:sz="0" w:space="0" w:color="auto"/>
        <w:right w:val="none" w:sz="0" w:space="0" w:color="auto"/>
      </w:divBdr>
    </w:div>
    <w:div w:id="1424258674">
      <w:bodyDiv w:val="1"/>
      <w:marLeft w:val="0"/>
      <w:marRight w:val="0"/>
      <w:marTop w:val="0"/>
      <w:marBottom w:val="0"/>
      <w:divBdr>
        <w:top w:val="none" w:sz="0" w:space="0" w:color="auto"/>
        <w:left w:val="none" w:sz="0" w:space="0" w:color="auto"/>
        <w:bottom w:val="none" w:sz="0" w:space="0" w:color="auto"/>
        <w:right w:val="none" w:sz="0" w:space="0" w:color="auto"/>
      </w:divBdr>
    </w:div>
    <w:div w:id="1428696446">
      <w:bodyDiv w:val="1"/>
      <w:marLeft w:val="0"/>
      <w:marRight w:val="0"/>
      <w:marTop w:val="0"/>
      <w:marBottom w:val="0"/>
      <w:divBdr>
        <w:top w:val="none" w:sz="0" w:space="0" w:color="auto"/>
        <w:left w:val="none" w:sz="0" w:space="0" w:color="auto"/>
        <w:bottom w:val="none" w:sz="0" w:space="0" w:color="auto"/>
        <w:right w:val="none" w:sz="0" w:space="0" w:color="auto"/>
      </w:divBdr>
    </w:div>
    <w:div w:id="1441418203">
      <w:bodyDiv w:val="1"/>
      <w:marLeft w:val="0"/>
      <w:marRight w:val="0"/>
      <w:marTop w:val="0"/>
      <w:marBottom w:val="0"/>
      <w:divBdr>
        <w:top w:val="none" w:sz="0" w:space="0" w:color="auto"/>
        <w:left w:val="none" w:sz="0" w:space="0" w:color="auto"/>
        <w:bottom w:val="none" w:sz="0" w:space="0" w:color="auto"/>
        <w:right w:val="none" w:sz="0" w:space="0" w:color="auto"/>
      </w:divBdr>
    </w:div>
    <w:div w:id="1453598139">
      <w:bodyDiv w:val="1"/>
      <w:marLeft w:val="0"/>
      <w:marRight w:val="0"/>
      <w:marTop w:val="0"/>
      <w:marBottom w:val="0"/>
      <w:divBdr>
        <w:top w:val="none" w:sz="0" w:space="0" w:color="auto"/>
        <w:left w:val="none" w:sz="0" w:space="0" w:color="auto"/>
        <w:bottom w:val="none" w:sz="0" w:space="0" w:color="auto"/>
        <w:right w:val="none" w:sz="0" w:space="0" w:color="auto"/>
      </w:divBdr>
    </w:div>
    <w:div w:id="1468162800">
      <w:bodyDiv w:val="1"/>
      <w:marLeft w:val="0"/>
      <w:marRight w:val="0"/>
      <w:marTop w:val="0"/>
      <w:marBottom w:val="0"/>
      <w:divBdr>
        <w:top w:val="none" w:sz="0" w:space="0" w:color="auto"/>
        <w:left w:val="none" w:sz="0" w:space="0" w:color="auto"/>
        <w:bottom w:val="none" w:sz="0" w:space="0" w:color="auto"/>
        <w:right w:val="none" w:sz="0" w:space="0" w:color="auto"/>
      </w:divBdr>
    </w:div>
    <w:div w:id="1481992972">
      <w:bodyDiv w:val="1"/>
      <w:marLeft w:val="0"/>
      <w:marRight w:val="0"/>
      <w:marTop w:val="0"/>
      <w:marBottom w:val="0"/>
      <w:divBdr>
        <w:top w:val="none" w:sz="0" w:space="0" w:color="auto"/>
        <w:left w:val="none" w:sz="0" w:space="0" w:color="auto"/>
        <w:bottom w:val="none" w:sz="0" w:space="0" w:color="auto"/>
        <w:right w:val="none" w:sz="0" w:space="0" w:color="auto"/>
      </w:divBdr>
    </w:div>
    <w:div w:id="1494907593">
      <w:bodyDiv w:val="1"/>
      <w:marLeft w:val="0"/>
      <w:marRight w:val="0"/>
      <w:marTop w:val="0"/>
      <w:marBottom w:val="0"/>
      <w:divBdr>
        <w:top w:val="none" w:sz="0" w:space="0" w:color="auto"/>
        <w:left w:val="none" w:sz="0" w:space="0" w:color="auto"/>
        <w:bottom w:val="none" w:sz="0" w:space="0" w:color="auto"/>
        <w:right w:val="none" w:sz="0" w:space="0" w:color="auto"/>
      </w:divBdr>
    </w:div>
    <w:div w:id="1503081755">
      <w:bodyDiv w:val="1"/>
      <w:marLeft w:val="0"/>
      <w:marRight w:val="0"/>
      <w:marTop w:val="0"/>
      <w:marBottom w:val="0"/>
      <w:divBdr>
        <w:top w:val="none" w:sz="0" w:space="0" w:color="auto"/>
        <w:left w:val="none" w:sz="0" w:space="0" w:color="auto"/>
        <w:bottom w:val="none" w:sz="0" w:space="0" w:color="auto"/>
        <w:right w:val="none" w:sz="0" w:space="0" w:color="auto"/>
      </w:divBdr>
    </w:div>
    <w:div w:id="1511338919">
      <w:bodyDiv w:val="1"/>
      <w:marLeft w:val="0"/>
      <w:marRight w:val="0"/>
      <w:marTop w:val="0"/>
      <w:marBottom w:val="0"/>
      <w:divBdr>
        <w:top w:val="none" w:sz="0" w:space="0" w:color="auto"/>
        <w:left w:val="none" w:sz="0" w:space="0" w:color="auto"/>
        <w:bottom w:val="none" w:sz="0" w:space="0" w:color="auto"/>
        <w:right w:val="none" w:sz="0" w:space="0" w:color="auto"/>
      </w:divBdr>
    </w:div>
    <w:div w:id="1519076064">
      <w:bodyDiv w:val="1"/>
      <w:marLeft w:val="0"/>
      <w:marRight w:val="0"/>
      <w:marTop w:val="0"/>
      <w:marBottom w:val="0"/>
      <w:divBdr>
        <w:top w:val="none" w:sz="0" w:space="0" w:color="auto"/>
        <w:left w:val="none" w:sz="0" w:space="0" w:color="auto"/>
        <w:bottom w:val="none" w:sz="0" w:space="0" w:color="auto"/>
        <w:right w:val="none" w:sz="0" w:space="0" w:color="auto"/>
      </w:divBdr>
    </w:div>
    <w:div w:id="1521046842">
      <w:bodyDiv w:val="1"/>
      <w:marLeft w:val="0"/>
      <w:marRight w:val="0"/>
      <w:marTop w:val="0"/>
      <w:marBottom w:val="0"/>
      <w:divBdr>
        <w:top w:val="none" w:sz="0" w:space="0" w:color="auto"/>
        <w:left w:val="none" w:sz="0" w:space="0" w:color="auto"/>
        <w:bottom w:val="none" w:sz="0" w:space="0" w:color="auto"/>
        <w:right w:val="none" w:sz="0" w:space="0" w:color="auto"/>
      </w:divBdr>
    </w:div>
    <w:div w:id="1521551650">
      <w:bodyDiv w:val="1"/>
      <w:marLeft w:val="0"/>
      <w:marRight w:val="0"/>
      <w:marTop w:val="0"/>
      <w:marBottom w:val="0"/>
      <w:divBdr>
        <w:top w:val="none" w:sz="0" w:space="0" w:color="auto"/>
        <w:left w:val="none" w:sz="0" w:space="0" w:color="auto"/>
        <w:bottom w:val="none" w:sz="0" w:space="0" w:color="auto"/>
        <w:right w:val="none" w:sz="0" w:space="0" w:color="auto"/>
      </w:divBdr>
    </w:div>
    <w:div w:id="1521553730">
      <w:bodyDiv w:val="1"/>
      <w:marLeft w:val="0"/>
      <w:marRight w:val="0"/>
      <w:marTop w:val="0"/>
      <w:marBottom w:val="0"/>
      <w:divBdr>
        <w:top w:val="none" w:sz="0" w:space="0" w:color="auto"/>
        <w:left w:val="none" w:sz="0" w:space="0" w:color="auto"/>
        <w:bottom w:val="none" w:sz="0" w:space="0" w:color="auto"/>
        <w:right w:val="none" w:sz="0" w:space="0" w:color="auto"/>
      </w:divBdr>
    </w:div>
    <w:div w:id="1540432819">
      <w:bodyDiv w:val="1"/>
      <w:marLeft w:val="0"/>
      <w:marRight w:val="0"/>
      <w:marTop w:val="0"/>
      <w:marBottom w:val="0"/>
      <w:divBdr>
        <w:top w:val="none" w:sz="0" w:space="0" w:color="auto"/>
        <w:left w:val="none" w:sz="0" w:space="0" w:color="auto"/>
        <w:bottom w:val="none" w:sz="0" w:space="0" w:color="auto"/>
        <w:right w:val="none" w:sz="0" w:space="0" w:color="auto"/>
      </w:divBdr>
    </w:div>
    <w:div w:id="1546215331">
      <w:bodyDiv w:val="1"/>
      <w:marLeft w:val="0"/>
      <w:marRight w:val="0"/>
      <w:marTop w:val="0"/>
      <w:marBottom w:val="0"/>
      <w:divBdr>
        <w:top w:val="none" w:sz="0" w:space="0" w:color="auto"/>
        <w:left w:val="none" w:sz="0" w:space="0" w:color="auto"/>
        <w:bottom w:val="none" w:sz="0" w:space="0" w:color="auto"/>
        <w:right w:val="none" w:sz="0" w:space="0" w:color="auto"/>
      </w:divBdr>
    </w:div>
    <w:div w:id="1548563019">
      <w:bodyDiv w:val="1"/>
      <w:marLeft w:val="0"/>
      <w:marRight w:val="0"/>
      <w:marTop w:val="0"/>
      <w:marBottom w:val="0"/>
      <w:divBdr>
        <w:top w:val="none" w:sz="0" w:space="0" w:color="auto"/>
        <w:left w:val="none" w:sz="0" w:space="0" w:color="auto"/>
        <w:bottom w:val="none" w:sz="0" w:space="0" w:color="auto"/>
        <w:right w:val="none" w:sz="0" w:space="0" w:color="auto"/>
      </w:divBdr>
      <w:divsChild>
        <w:div w:id="1400979142">
          <w:marLeft w:val="300"/>
          <w:marRight w:val="0"/>
          <w:marTop w:val="120"/>
          <w:marBottom w:val="120"/>
          <w:divBdr>
            <w:top w:val="none" w:sz="0" w:space="0" w:color="auto"/>
            <w:left w:val="none" w:sz="0" w:space="0" w:color="auto"/>
            <w:bottom w:val="none" w:sz="0" w:space="0" w:color="auto"/>
            <w:right w:val="none" w:sz="0" w:space="0" w:color="auto"/>
          </w:divBdr>
        </w:div>
      </w:divsChild>
    </w:div>
    <w:div w:id="1566916552">
      <w:bodyDiv w:val="1"/>
      <w:marLeft w:val="0"/>
      <w:marRight w:val="0"/>
      <w:marTop w:val="0"/>
      <w:marBottom w:val="0"/>
      <w:divBdr>
        <w:top w:val="none" w:sz="0" w:space="0" w:color="auto"/>
        <w:left w:val="none" w:sz="0" w:space="0" w:color="auto"/>
        <w:bottom w:val="none" w:sz="0" w:space="0" w:color="auto"/>
        <w:right w:val="none" w:sz="0" w:space="0" w:color="auto"/>
      </w:divBdr>
    </w:div>
    <w:div w:id="1570844367">
      <w:bodyDiv w:val="1"/>
      <w:marLeft w:val="0"/>
      <w:marRight w:val="0"/>
      <w:marTop w:val="0"/>
      <w:marBottom w:val="0"/>
      <w:divBdr>
        <w:top w:val="none" w:sz="0" w:space="0" w:color="auto"/>
        <w:left w:val="none" w:sz="0" w:space="0" w:color="auto"/>
        <w:bottom w:val="none" w:sz="0" w:space="0" w:color="auto"/>
        <w:right w:val="none" w:sz="0" w:space="0" w:color="auto"/>
      </w:divBdr>
    </w:div>
    <w:div w:id="1579245686">
      <w:bodyDiv w:val="1"/>
      <w:marLeft w:val="0"/>
      <w:marRight w:val="0"/>
      <w:marTop w:val="0"/>
      <w:marBottom w:val="0"/>
      <w:divBdr>
        <w:top w:val="none" w:sz="0" w:space="0" w:color="auto"/>
        <w:left w:val="none" w:sz="0" w:space="0" w:color="auto"/>
        <w:bottom w:val="none" w:sz="0" w:space="0" w:color="auto"/>
        <w:right w:val="none" w:sz="0" w:space="0" w:color="auto"/>
      </w:divBdr>
    </w:div>
    <w:div w:id="1601330681">
      <w:bodyDiv w:val="1"/>
      <w:marLeft w:val="0"/>
      <w:marRight w:val="0"/>
      <w:marTop w:val="0"/>
      <w:marBottom w:val="0"/>
      <w:divBdr>
        <w:top w:val="none" w:sz="0" w:space="0" w:color="auto"/>
        <w:left w:val="none" w:sz="0" w:space="0" w:color="auto"/>
        <w:bottom w:val="none" w:sz="0" w:space="0" w:color="auto"/>
        <w:right w:val="none" w:sz="0" w:space="0" w:color="auto"/>
      </w:divBdr>
    </w:div>
    <w:div w:id="1619068904">
      <w:bodyDiv w:val="1"/>
      <w:marLeft w:val="0"/>
      <w:marRight w:val="0"/>
      <w:marTop w:val="0"/>
      <w:marBottom w:val="0"/>
      <w:divBdr>
        <w:top w:val="none" w:sz="0" w:space="0" w:color="auto"/>
        <w:left w:val="none" w:sz="0" w:space="0" w:color="auto"/>
        <w:bottom w:val="none" w:sz="0" w:space="0" w:color="auto"/>
        <w:right w:val="none" w:sz="0" w:space="0" w:color="auto"/>
      </w:divBdr>
    </w:div>
    <w:div w:id="1624192682">
      <w:bodyDiv w:val="1"/>
      <w:marLeft w:val="0"/>
      <w:marRight w:val="0"/>
      <w:marTop w:val="0"/>
      <w:marBottom w:val="0"/>
      <w:divBdr>
        <w:top w:val="none" w:sz="0" w:space="0" w:color="auto"/>
        <w:left w:val="none" w:sz="0" w:space="0" w:color="auto"/>
        <w:bottom w:val="none" w:sz="0" w:space="0" w:color="auto"/>
        <w:right w:val="none" w:sz="0" w:space="0" w:color="auto"/>
      </w:divBdr>
    </w:div>
    <w:div w:id="1628006078">
      <w:bodyDiv w:val="1"/>
      <w:marLeft w:val="0"/>
      <w:marRight w:val="0"/>
      <w:marTop w:val="0"/>
      <w:marBottom w:val="0"/>
      <w:divBdr>
        <w:top w:val="none" w:sz="0" w:space="0" w:color="auto"/>
        <w:left w:val="none" w:sz="0" w:space="0" w:color="auto"/>
        <w:bottom w:val="none" w:sz="0" w:space="0" w:color="auto"/>
        <w:right w:val="none" w:sz="0" w:space="0" w:color="auto"/>
      </w:divBdr>
    </w:div>
    <w:div w:id="1631277273">
      <w:bodyDiv w:val="1"/>
      <w:marLeft w:val="0"/>
      <w:marRight w:val="0"/>
      <w:marTop w:val="0"/>
      <w:marBottom w:val="0"/>
      <w:divBdr>
        <w:top w:val="none" w:sz="0" w:space="0" w:color="auto"/>
        <w:left w:val="none" w:sz="0" w:space="0" w:color="auto"/>
        <w:bottom w:val="none" w:sz="0" w:space="0" w:color="auto"/>
        <w:right w:val="none" w:sz="0" w:space="0" w:color="auto"/>
      </w:divBdr>
    </w:div>
    <w:div w:id="1638754652">
      <w:bodyDiv w:val="1"/>
      <w:marLeft w:val="0"/>
      <w:marRight w:val="0"/>
      <w:marTop w:val="0"/>
      <w:marBottom w:val="0"/>
      <w:divBdr>
        <w:top w:val="none" w:sz="0" w:space="0" w:color="auto"/>
        <w:left w:val="none" w:sz="0" w:space="0" w:color="auto"/>
        <w:bottom w:val="none" w:sz="0" w:space="0" w:color="auto"/>
        <w:right w:val="none" w:sz="0" w:space="0" w:color="auto"/>
      </w:divBdr>
    </w:div>
    <w:div w:id="1646356644">
      <w:bodyDiv w:val="1"/>
      <w:marLeft w:val="0"/>
      <w:marRight w:val="0"/>
      <w:marTop w:val="0"/>
      <w:marBottom w:val="0"/>
      <w:divBdr>
        <w:top w:val="none" w:sz="0" w:space="0" w:color="auto"/>
        <w:left w:val="none" w:sz="0" w:space="0" w:color="auto"/>
        <w:bottom w:val="none" w:sz="0" w:space="0" w:color="auto"/>
        <w:right w:val="none" w:sz="0" w:space="0" w:color="auto"/>
      </w:divBdr>
    </w:div>
    <w:div w:id="1663384569">
      <w:bodyDiv w:val="1"/>
      <w:marLeft w:val="0"/>
      <w:marRight w:val="0"/>
      <w:marTop w:val="0"/>
      <w:marBottom w:val="0"/>
      <w:divBdr>
        <w:top w:val="none" w:sz="0" w:space="0" w:color="auto"/>
        <w:left w:val="none" w:sz="0" w:space="0" w:color="auto"/>
        <w:bottom w:val="none" w:sz="0" w:space="0" w:color="auto"/>
        <w:right w:val="none" w:sz="0" w:space="0" w:color="auto"/>
      </w:divBdr>
    </w:div>
    <w:div w:id="1671910787">
      <w:bodyDiv w:val="1"/>
      <w:marLeft w:val="0"/>
      <w:marRight w:val="0"/>
      <w:marTop w:val="0"/>
      <w:marBottom w:val="0"/>
      <w:divBdr>
        <w:top w:val="none" w:sz="0" w:space="0" w:color="auto"/>
        <w:left w:val="none" w:sz="0" w:space="0" w:color="auto"/>
        <w:bottom w:val="none" w:sz="0" w:space="0" w:color="auto"/>
        <w:right w:val="none" w:sz="0" w:space="0" w:color="auto"/>
      </w:divBdr>
    </w:div>
    <w:div w:id="1676611116">
      <w:bodyDiv w:val="1"/>
      <w:marLeft w:val="0"/>
      <w:marRight w:val="0"/>
      <w:marTop w:val="0"/>
      <w:marBottom w:val="0"/>
      <w:divBdr>
        <w:top w:val="none" w:sz="0" w:space="0" w:color="auto"/>
        <w:left w:val="none" w:sz="0" w:space="0" w:color="auto"/>
        <w:bottom w:val="none" w:sz="0" w:space="0" w:color="auto"/>
        <w:right w:val="none" w:sz="0" w:space="0" w:color="auto"/>
      </w:divBdr>
    </w:div>
    <w:div w:id="1701084171">
      <w:bodyDiv w:val="1"/>
      <w:marLeft w:val="0"/>
      <w:marRight w:val="0"/>
      <w:marTop w:val="0"/>
      <w:marBottom w:val="0"/>
      <w:divBdr>
        <w:top w:val="none" w:sz="0" w:space="0" w:color="auto"/>
        <w:left w:val="none" w:sz="0" w:space="0" w:color="auto"/>
        <w:bottom w:val="none" w:sz="0" w:space="0" w:color="auto"/>
        <w:right w:val="none" w:sz="0" w:space="0" w:color="auto"/>
      </w:divBdr>
    </w:div>
    <w:div w:id="1718315087">
      <w:bodyDiv w:val="1"/>
      <w:marLeft w:val="0"/>
      <w:marRight w:val="0"/>
      <w:marTop w:val="0"/>
      <w:marBottom w:val="0"/>
      <w:divBdr>
        <w:top w:val="none" w:sz="0" w:space="0" w:color="auto"/>
        <w:left w:val="none" w:sz="0" w:space="0" w:color="auto"/>
        <w:bottom w:val="none" w:sz="0" w:space="0" w:color="auto"/>
        <w:right w:val="none" w:sz="0" w:space="0" w:color="auto"/>
      </w:divBdr>
      <w:divsChild>
        <w:div w:id="168105488">
          <w:marLeft w:val="0"/>
          <w:marRight w:val="0"/>
          <w:marTop w:val="0"/>
          <w:marBottom w:val="0"/>
          <w:divBdr>
            <w:top w:val="none" w:sz="0" w:space="0" w:color="auto"/>
            <w:left w:val="none" w:sz="0" w:space="0" w:color="auto"/>
            <w:bottom w:val="none" w:sz="0" w:space="0" w:color="auto"/>
            <w:right w:val="none" w:sz="0" w:space="0" w:color="auto"/>
          </w:divBdr>
          <w:divsChild>
            <w:div w:id="1326401304">
              <w:marLeft w:val="0"/>
              <w:marRight w:val="0"/>
              <w:marTop w:val="0"/>
              <w:marBottom w:val="0"/>
              <w:divBdr>
                <w:top w:val="none" w:sz="0" w:space="0" w:color="auto"/>
                <w:left w:val="none" w:sz="0" w:space="0" w:color="auto"/>
                <w:bottom w:val="none" w:sz="0" w:space="0" w:color="auto"/>
                <w:right w:val="none" w:sz="0" w:space="0" w:color="auto"/>
              </w:divBdr>
            </w:div>
          </w:divsChild>
        </w:div>
        <w:div w:id="2006325592">
          <w:marLeft w:val="0"/>
          <w:marRight w:val="0"/>
          <w:marTop w:val="0"/>
          <w:marBottom w:val="0"/>
          <w:divBdr>
            <w:top w:val="none" w:sz="0" w:space="0" w:color="auto"/>
            <w:left w:val="none" w:sz="0" w:space="0" w:color="auto"/>
            <w:bottom w:val="none" w:sz="0" w:space="0" w:color="auto"/>
            <w:right w:val="none" w:sz="0" w:space="0" w:color="auto"/>
          </w:divBdr>
          <w:divsChild>
            <w:div w:id="165151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009775">
      <w:bodyDiv w:val="1"/>
      <w:marLeft w:val="0"/>
      <w:marRight w:val="0"/>
      <w:marTop w:val="0"/>
      <w:marBottom w:val="0"/>
      <w:divBdr>
        <w:top w:val="none" w:sz="0" w:space="0" w:color="auto"/>
        <w:left w:val="none" w:sz="0" w:space="0" w:color="auto"/>
        <w:bottom w:val="none" w:sz="0" w:space="0" w:color="auto"/>
        <w:right w:val="none" w:sz="0" w:space="0" w:color="auto"/>
      </w:divBdr>
    </w:div>
    <w:div w:id="1727102525">
      <w:bodyDiv w:val="1"/>
      <w:marLeft w:val="0"/>
      <w:marRight w:val="0"/>
      <w:marTop w:val="0"/>
      <w:marBottom w:val="0"/>
      <w:divBdr>
        <w:top w:val="none" w:sz="0" w:space="0" w:color="auto"/>
        <w:left w:val="none" w:sz="0" w:space="0" w:color="auto"/>
        <w:bottom w:val="none" w:sz="0" w:space="0" w:color="auto"/>
        <w:right w:val="none" w:sz="0" w:space="0" w:color="auto"/>
      </w:divBdr>
    </w:div>
    <w:div w:id="1727491562">
      <w:bodyDiv w:val="1"/>
      <w:marLeft w:val="0"/>
      <w:marRight w:val="0"/>
      <w:marTop w:val="0"/>
      <w:marBottom w:val="0"/>
      <w:divBdr>
        <w:top w:val="none" w:sz="0" w:space="0" w:color="auto"/>
        <w:left w:val="none" w:sz="0" w:space="0" w:color="auto"/>
        <w:bottom w:val="none" w:sz="0" w:space="0" w:color="auto"/>
        <w:right w:val="none" w:sz="0" w:space="0" w:color="auto"/>
      </w:divBdr>
      <w:divsChild>
        <w:div w:id="448741790">
          <w:marLeft w:val="0"/>
          <w:marRight w:val="0"/>
          <w:marTop w:val="0"/>
          <w:marBottom w:val="0"/>
          <w:divBdr>
            <w:top w:val="none" w:sz="0" w:space="0" w:color="auto"/>
            <w:left w:val="none" w:sz="0" w:space="0" w:color="auto"/>
            <w:bottom w:val="none" w:sz="0" w:space="0" w:color="auto"/>
            <w:right w:val="none" w:sz="0" w:space="0" w:color="auto"/>
          </w:divBdr>
        </w:div>
      </w:divsChild>
    </w:div>
    <w:div w:id="1736732367">
      <w:bodyDiv w:val="1"/>
      <w:marLeft w:val="0"/>
      <w:marRight w:val="0"/>
      <w:marTop w:val="0"/>
      <w:marBottom w:val="0"/>
      <w:divBdr>
        <w:top w:val="none" w:sz="0" w:space="0" w:color="auto"/>
        <w:left w:val="none" w:sz="0" w:space="0" w:color="auto"/>
        <w:bottom w:val="none" w:sz="0" w:space="0" w:color="auto"/>
        <w:right w:val="none" w:sz="0" w:space="0" w:color="auto"/>
      </w:divBdr>
    </w:div>
    <w:div w:id="1747680864">
      <w:bodyDiv w:val="1"/>
      <w:marLeft w:val="0"/>
      <w:marRight w:val="0"/>
      <w:marTop w:val="0"/>
      <w:marBottom w:val="0"/>
      <w:divBdr>
        <w:top w:val="none" w:sz="0" w:space="0" w:color="auto"/>
        <w:left w:val="none" w:sz="0" w:space="0" w:color="auto"/>
        <w:bottom w:val="none" w:sz="0" w:space="0" w:color="auto"/>
        <w:right w:val="none" w:sz="0" w:space="0" w:color="auto"/>
      </w:divBdr>
    </w:div>
    <w:div w:id="1748380077">
      <w:bodyDiv w:val="1"/>
      <w:marLeft w:val="0"/>
      <w:marRight w:val="0"/>
      <w:marTop w:val="0"/>
      <w:marBottom w:val="0"/>
      <w:divBdr>
        <w:top w:val="none" w:sz="0" w:space="0" w:color="auto"/>
        <w:left w:val="none" w:sz="0" w:space="0" w:color="auto"/>
        <w:bottom w:val="none" w:sz="0" w:space="0" w:color="auto"/>
        <w:right w:val="none" w:sz="0" w:space="0" w:color="auto"/>
      </w:divBdr>
      <w:divsChild>
        <w:div w:id="951785587">
          <w:marLeft w:val="0"/>
          <w:marRight w:val="0"/>
          <w:marTop w:val="0"/>
          <w:marBottom w:val="0"/>
          <w:divBdr>
            <w:top w:val="none" w:sz="0" w:space="0" w:color="auto"/>
            <w:left w:val="none" w:sz="0" w:space="0" w:color="auto"/>
            <w:bottom w:val="none" w:sz="0" w:space="0" w:color="auto"/>
            <w:right w:val="none" w:sz="0" w:space="0" w:color="auto"/>
          </w:divBdr>
          <w:divsChild>
            <w:div w:id="990208815">
              <w:marLeft w:val="0"/>
              <w:marRight w:val="0"/>
              <w:marTop w:val="0"/>
              <w:marBottom w:val="0"/>
              <w:divBdr>
                <w:top w:val="none" w:sz="0" w:space="0" w:color="auto"/>
                <w:left w:val="none" w:sz="0" w:space="0" w:color="auto"/>
                <w:bottom w:val="none" w:sz="0" w:space="0" w:color="auto"/>
                <w:right w:val="none" w:sz="0" w:space="0" w:color="auto"/>
              </w:divBdr>
            </w:div>
          </w:divsChild>
        </w:div>
        <w:div w:id="1591280349">
          <w:marLeft w:val="0"/>
          <w:marRight w:val="0"/>
          <w:marTop w:val="0"/>
          <w:marBottom w:val="0"/>
          <w:divBdr>
            <w:top w:val="none" w:sz="0" w:space="0" w:color="auto"/>
            <w:left w:val="none" w:sz="0" w:space="0" w:color="auto"/>
            <w:bottom w:val="none" w:sz="0" w:space="0" w:color="auto"/>
            <w:right w:val="none" w:sz="0" w:space="0" w:color="auto"/>
          </w:divBdr>
          <w:divsChild>
            <w:div w:id="197043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94443">
      <w:bodyDiv w:val="1"/>
      <w:marLeft w:val="0"/>
      <w:marRight w:val="0"/>
      <w:marTop w:val="0"/>
      <w:marBottom w:val="0"/>
      <w:divBdr>
        <w:top w:val="none" w:sz="0" w:space="0" w:color="auto"/>
        <w:left w:val="none" w:sz="0" w:space="0" w:color="auto"/>
        <w:bottom w:val="none" w:sz="0" w:space="0" w:color="auto"/>
        <w:right w:val="none" w:sz="0" w:space="0" w:color="auto"/>
      </w:divBdr>
    </w:div>
    <w:div w:id="1760711464">
      <w:bodyDiv w:val="1"/>
      <w:marLeft w:val="0"/>
      <w:marRight w:val="0"/>
      <w:marTop w:val="0"/>
      <w:marBottom w:val="0"/>
      <w:divBdr>
        <w:top w:val="none" w:sz="0" w:space="0" w:color="auto"/>
        <w:left w:val="none" w:sz="0" w:space="0" w:color="auto"/>
        <w:bottom w:val="none" w:sz="0" w:space="0" w:color="auto"/>
        <w:right w:val="none" w:sz="0" w:space="0" w:color="auto"/>
      </w:divBdr>
    </w:div>
    <w:div w:id="1788111943">
      <w:bodyDiv w:val="1"/>
      <w:marLeft w:val="0"/>
      <w:marRight w:val="0"/>
      <w:marTop w:val="0"/>
      <w:marBottom w:val="0"/>
      <w:divBdr>
        <w:top w:val="none" w:sz="0" w:space="0" w:color="auto"/>
        <w:left w:val="none" w:sz="0" w:space="0" w:color="auto"/>
        <w:bottom w:val="none" w:sz="0" w:space="0" w:color="auto"/>
        <w:right w:val="none" w:sz="0" w:space="0" w:color="auto"/>
      </w:divBdr>
      <w:divsChild>
        <w:div w:id="1812359255">
          <w:marLeft w:val="0"/>
          <w:marRight w:val="0"/>
          <w:marTop w:val="0"/>
          <w:marBottom w:val="0"/>
          <w:divBdr>
            <w:top w:val="none" w:sz="0" w:space="0" w:color="auto"/>
            <w:left w:val="none" w:sz="0" w:space="0" w:color="auto"/>
            <w:bottom w:val="none" w:sz="0" w:space="0" w:color="auto"/>
            <w:right w:val="none" w:sz="0" w:space="0" w:color="auto"/>
          </w:divBdr>
        </w:div>
      </w:divsChild>
    </w:div>
    <w:div w:id="1788697507">
      <w:bodyDiv w:val="1"/>
      <w:marLeft w:val="0"/>
      <w:marRight w:val="0"/>
      <w:marTop w:val="0"/>
      <w:marBottom w:val="0"/>
      <w:divBdr>
        <w:top w:val="none" w:sz="0" w:space="0" w:color="auto"/>
        <w:left w:val="none" w:sz="0" w:space="0" w:color="auto"/>
        <w:bottom w:val="none" w:sz="0" w:space="0" w:color="auto"/>
        <w:right w:val="none" w:sz="0" w:space="0" w:color="auto"/>
      </w:divBdr>
    </w:div>
    <w:div w:id="1811364589">
      <w:bodyDiv w:val="1"/>
      <w:marLeft w:val="0"/>
      <w:marRight w:val="0"/>
      <w:marTop w:val="0"/>
      <w:marBottom w:val="0"/>
      <w:divBdr>
        <w:top w:val="none" w:sz="0" w:space="0" w:color="auto"/>
        <w:left w:val="none" w:sz="0" w:space="0" w:color="auto"/>
        <w:bottom w:val="none" w:sz="0" w:space="0" w:color="auto"/>
        <w:right w:val="none" w:sz="0" w:space="0" w:color="auto"/>
      </w:divBdr>
    </w:div>
    <w:div w:id="1814522008">
      <w:bodyDiv w:val="1"/>
      <w:marLeft w:val="0"/>
      <w:marRight w:val="0"/>
      <w:marTop w:val="0"/>
      <w:marBottom w:val="0"/>
      <w:divBdr>
        <w:top w:val="none" w:sz="0" w:space="0" w:color="auto"/>
        <w:left w:val="none" w:sz="0" w:space="0" w:color="auto"/>
        <w:bottom w:val="none" w:sz="0" w:space="0" w:color="auto"/>
        <w:right w:val="none" w:sz="0" w:space="0" w:color="auto"/>
      </w:divBdr>
    </w:div>
    <w:div w:id="1818955441">
      <w:bodyDiv w:val="1"/>
      <w:marLeft w:val="0"/>
      <w:marRight w:val="0"/>
      <w:marTop w:val="0"/>
      <w:marBottom w:val="0"/>
      <w:divBdr>
        <w:top w:val="none" w:sz="0" w:space="0" w:color="auto"/>
        <w:left w:val="none" w:sz="0" w:space="0" w:color="auto"/>
        <w:bottom w:val="none" w:sz="0" w:space="0" w:color="auto"/>
        <w:right w:val="none" w:sz="0" w:space="0" w:color="auto"/>
      </w:divBdr>
    </w:div>
    <w:div w:id="1822190845">
      <w:bodyDiv w:val="1"/>
      <w:marLeft w:val="0"/>
      <w:marRight w:val="0"/>
      <w:marTop w:val="0"/>
      <w:marBottom w:val="0"/>
      <w:divBdr>
        <w:top w:val="none" w:sz="0" w:space="0" w:color="auto"/>
        <w:left w:val="none" w:sz="0" w:space="0" w:color="auto"/>
        <w:bottom w:val="none" w:sz="0" w:space="0" w:color="auto"/>
        <w:right w:val="none" w:sz="0" w:space="0" w:color="auto"/>
      </w:divBdr>
    </w:div>
    <w:div w:id="1870221115">
      <w:bodyDiv w:val="1"/>
      <w:marLeft w:val="0"/>
      <w:marRight w:val="0"/>
      <w:marTop w:val="0"/>
      <w:marBottom w:val="0"/>
      <w:divBdr>
        <w:top w:val="none" w:sz="0" w:space="0" w:color="auto"/>
        <w:left w:val="none" w:sz="0" w:space="0" w:color="auto"/>
        <w:bottom w:val="none" w:sz="0" w:space="0" w:color="auto"/>
        <w:right w:val="none" w:sz="0" w:space="0" w:color="auto"/>
      </w:divBdr>
    </w:div>
    <w:div w:id="1873179266">
      <w:bodyDiv w:val="1"/>
      <w:marLeft w:val="0"/>
      <w:marRight w:val="0"/>
      <w:marTop w:val="0"/>
      <w:marBottom w:val="0"/>
      <w:divBdr>
        <w:top w:val="none" w:sz="0" w:space="0" w:color="auto"/>
        <w:left w:val="none" w:sz="0" w:space="0" w:color="auto"/>
        <w:bottom w:val="none" w:sz="0" w:space="0" w:color="auto"/>
        <w:right w:val="none" w:sz="0" w:space="0" w:color="auto"/>
      </w:divBdr>
    </w:div>
    <w:div w:id="1874343612">
      <w:bodyDiv w:val="1"/>
      <w:marLeft w:val="0"/>
      <w:marRight w:val="0"/>
      <w:marTop w:val="0"/>
      <w:marBottom w:val="0"/>
      <w:divBdr>
        <w:top w:val="none" w:sz="0" w:space="0" w:color="auto"/>
        <w:left w:val="none" w:sz="0" w:space="0" w:color="auto"/>
        <w:bottom w:val="none" w:sz="0" w:space="0" w:color="auto"/>
        <w:right w:val="none" w:sz="0" w:space="0" w:color="auto"/>
      </w:divBdr>
    </w:div>
    <w:div w:id="1877114715">
      <w:bodyDiv w:val="1"/>
      <w:marLeft w:val="0"/>
      <w:marRight w:val="0"/>
      <w:marTop w:val="0"/>
      <w:marBottom w:val="0"/>
      <w:divBdr>
        <w:top w:val="none" w:sz="0" w:space="0" w:color="auto"/>
        <w:left w:val="none" w:sz="0" w:space="0" w:color="auto"/>
        <w:bottom w:val="none" w:sz="0" w:space="0" w:color="auto"/>
        <w:right w:val="none" w:sz="0" w:space="0" w:color="auto"/>
      </w:divBdr>
    </w:div>
    <w:div w:id="1892034929">
      <w:bodyDiv w:val="1"/>
      <w:marLeft w:val="0"/>
      <w:marRight w:val="0"/>
      <w:marTop w:val="0"/>
      <w:marBottom w:val="0"/>
      <w:divBdr>
        <w:top w:val="none" w:sz="0" w:space="0" w:color="auto"/>
        <w:left w:val="none" w:sz="0" w:space="0" w:color="auto"/>
        <w:bottom w:val="none" w:sz="0" w:space="0" w:color="auto"/>
        <w:right w:val="none" w:sz="0" w:space="0" w:color="auto"/>
      </w:divBdr>
    </w:div>
    <w:div w:id="1896623859">
      <w:bodyDiv w:val="1"/>
      <w:marLeft w:val="0"/>
      <w:marRight w:val="0"/>
      <w:marTop w:val="0"/>
      <w:marBottom w:val="0"/>
      <w:divBdr>
        <w:top w:val="none" w:sz="0" w:space="0" w:color="auto"/>
        <w:left w:val="none" w:sz="0" w:space="0" w:color="auto"/>
        <w:bottom w:val="none" w:sz="0" w:space="0" w:color="auto"/>
        <w:right w:val="none" w:sz="0" w:space="0" w:color="auto"/>
      </w:divBdr>
    </w:div>
    <w:div w:id="1938101441">
      <w:bodyDiv w:val="1"/>
      <w:marLeft w:val="0"/>
      <w:marRight w:val="0"/>
      <w:marTop w:val="0"/>
      <w:marBottom w:val="0"/>
      <w:divBdr>
        <w:top w:val="none" w:sz="0" w:space="0" w:color="auto"/>
        <w:left w:val="none" w:sz="0" w:space="0" w:color="auto"/>
        <w:bottom w:val="none" w:sz="0" w:space="0" w:color="auto"/>
        <w:right w:val="none" w:sz="0" w:space="0" w:color="auto"/>
      </w:divBdr>
    </w:div>
    <w:div w:id="1944461571">
      <w:bodyDiv w:val="1"/>
      <w:marLeft w:val="0"/>
      <w:marRight w:val="0"/>
      <w:marTop w:val="0"/>
      <w:marBottom w:val="0"/>
      <w:divBdr>
        <w:top w:val="none" w:sz="0" w:space="0" w:color="auto"/>
        <w:left w:val="none" w:sz="0" w:space="0" w:color="auto"/>
        <w:bottom w:val="none" w:sz="0" w:space="0" w:color="auto"/>
        <w:right w:val="none" w:sz="0" w:space="0" w:color="auto"/>
      </w:divBdr>
    </w:div>
    <w:div w:id="1945192368">
      <w:bodyDiv w:val="1"/>
      <w:marLeft w:val="0"/>
      <w:marRight w:val="0"/>
      <w:marTop w:val="0"/>
      <w:marBottom w:val="0"/>
      <w:divBdr>
        <w:top w:val="none" w:sz="0" w:space="0" w:color="auto"/>
        <w:left w:val="none" w:sz="0" w:space="0" w:color="auto"/>
        <w:bottom w:val="none" w:sz="0" w:space="0" w:color="auto"/>
        <w:right w:val="none" w:sz="0" w:space="0" w:color="auto"/>
      </w:divBdr>
    </w:div>
    <w:div w:id="1948466385">
      <w:bodyDiv w:val="1"/>
      <w:marLeft w:val="0"/>
      <w:marRight w:val="0"/>
      <w:marTop w:val="0"/>
      <w:marBottom w:val="0"/>
      <w:divBdr>
        <w:top w:val="none" w:sz="0" w:space="0" w:color="auto"/>
        <w:left w:val="none" w:sz="0" w:space="0" w:color="auto"/>
        <w:bottom w:val="none" w:sz="0" w:space="0" w:color="auto"/>
        <w:right w:val="none" w:sz="0" w:space="0" w:color="auto"/>
      </w:divBdr>
    </w:div>
    <w:div w:id="1975259610">
      <w:bodyDiv w:val="1"/>
      <w:marLeft w:val="0"/>
      <w:marRight w:val="0"/>
      <w:marTop w:val="0"/>
      <w:marBottom w:val="0"/>
      <w:divBdr>
        <w:top w:val="none" w:sz="0" w:space="0" w:color="auto"/>
        <w:left w:val="none" w:sz="0" w:space="0" w:color="auto"/>
        <w:bottom w:val="none" w:sz="0" w:space="0" w:color="auto"/>
        <w:right w:val="none" w:sz="0" w:space="0" w:color="auto"/>
      </w:divBdr>
    </w:div>
    <w:div w:id="1975938310">
      <w:bodyDiv w:val="1"/>
      <w:marLeft w:val="0"/>
      <w:marRight w:val="0"/>
      <w:marTop w:val="0"/>
      <w:marBottom w:val="0"/>
      <w:divBdr>
        <w:top w:val="none" w:sz="0" w:space="0" w:color="auto"/>
        <w:left w:val="none" w:sz="0" w:space="0" w:color="auto"/>
        <w:bottom w:val="none" w:sz="0" w:space="0" w:color="auto"/>
        <w:right w:val="none" w:sz="0" w:space="0" w:color="auto"/>
      </w:divBdr>
    </w:div>
    <w:div w:id="1979869878">
      <w:bodyDiv w:val="1"/>
      <w:marLeft w:val="0"/>
      <w:marRight w:val="0"/>
      <w:marTop w:val="0"/>
      <w:marBottom w:val="0"/>
      <w:divBdr>
        <w:top w:val="none" w:sz="0" w:space="0" w:color="auto"/>
        <w:left w:val="none" w:sz="0" w:space="0" w:color="auto"/>
        <w:bottom w:val="none" w:sz="0" w:space="0" w:color="auto"/>
        <w:right w:val="none" w:sz="0" w:space="0" w:color="auto"/>
      </w:divBdr>
    </w:div>
    <w:div w:id="1986278330">
      <w:bodyDiv w:val="1"/>
      <w:marLeft w:val="0"/>
      <w:marRight w:val="0"/>
      <w:marTop w:val="0"/>
      <w:marBottom w:val="0"/>
      <w:divBdr>
        <w:top w:val="none" w:sz="0" w:space="0" w:color="auto"/>
        <w:left w:val="none" w:sz="0" w:space="0" w:color="auto"/>
        <w:bottom w:val="none" w:sz="0" w:space="0" w:color="auto"/>
        <w:right w:val="none" w:sz="0" w:space="0" w:color="auto"/>
      </w:divBdr>
    </w:div>
    <w:div w:id="1997564580">
      <w:bodyDiv w:val="1"/>
      <w:marLeft w:val="0"/>
      <w:marRight w:val="0"/>
      <w:marTop w:val="0"/>
      <w:marBottom w:val="0"/>
      <w:divBdr>
        <w:top w:val="none" w:sz="0" w:space="0" w:color="auto"/>
        <w:left w:val="none" w:sz="0" w:space="0" w:color="auto"/>
        <w:bottom w:val="none" w:sz="0" w:space="0" w:color="auto"/>
        <w:right w:val="none" w:sz="0" w:space="0" w:color="auto"/>
      </w:divBdr>
    </w:div>
    <w:div w:id="1999263100">
      <w:bodyDiv w:val="1"/>
      <w:marLeft w:val="0"/>
      <w:marRight w:val="0"/>
      <w:marTop w:val="0"/>
      <w:marBottom w:val="0"/>
      <w:divBdr>
        <w:top w:val="none" w:sz="0" w:space="0" w:color="auto"/>
        <w:left w:val="none" w:sz="0" w:space="0" w:color="auto"/>
        <w:bottom w:val="none" w:sz="0" w:space="0" w:color="auto"/>
        <w:right w:val="none" w:sz="0" w:space="0" w:color="auto"/>
      </w:divBdr>
    </w:div>
    <w:div w:id="2000887417">
      <w:bodyDiv w:val="1"/>
      <w:marLeft w:val="0"/>
      <w:marRight w:val="0"/>
      <w:marTop w:val="0"/>
      <w:marBottom w:val="0"/>
      <w:divBdr>
        <w:top w:val="none" w:sz="0" w:space="0" w:color="auto"/>
        <w:left w:val="none" w:sz="0" w:space="0" w:color="auto"/>
        <w:bottom w:val="none" w:sz="0" w:space="0" w:color="auto"/>
        <w:right w:val="none" w:sz="0" w:space="0" w:color="auto"/>
      </w:divBdr>
    </w:div>
    <w:div w:id="2001421889">
      <w:bodyDiv w:val="1"/>
      <w:marLeft w:val="0"/>
      <w:marRight w:val="0"/>
      <w:marTop w:val="0"/>
      <w:marBottom w:val="0"/>
      <w:divBdr>
        <w:top w:val="none" w:sz="0" w:space="0" w:color="auto"/>
        <w:left w:val="none" w:sz="0" w:space="0" w:color="auto"/>
        <w:bottom w:val="none" w:sz="0" w:space="0" w:color="auto"/>
        <w:right w:val="none" w:sz="0" w:space="0" w:color="auto"/>
      </w:divBdr>
    </w:div>
    <w:div w:id="2005817851">
      <w:bodyDiv w:val="1"/>
      <w:marLeft w:val="0"/>
      <w:marRight w:val="0"/>
      <w:marTop w:val="0"/>
      <w:marBottom w:val="0"/>
      <w:divBdr>
        <w:top w:val="none" w:sz="0" w:space="0" w:color="auto"/>
        <w:left w:val="none" w:sz="0" w:space="0" w:color="auto"/>
        <w:bottom w:val="none" w:sz="0" w:space="0" w:color="auto"/>
        <w:right w:val="none" w:sz="0" w:space="0" w:color="auto"/>
      </w:divBdr>
    </w:div>
    <w:div w:id="2015914503">
      <w:bodyDiv w:val="1"/>
      <w:marLeft w:val="0"/>
      <w:marRight w:val="0"/>
      <w:marTop w:val="0"/>
      <w:marBottom w:val="0"/>
      <w:divBdr>
        <w:top w:val="none" w:sz="0" w:space="0" w:color="auto"/>
        <w:left w:val="none" w:sz="0" w:space="0" w:color="auto"/>
        <w:bottom w:val="none" w:sz="0" w:space="0" w:color="auto"/>
        <w:right w:val="none" w:sz="0" w:space="0" w:color="auto"/>
      </w:divBdr>
    </w:div>
    <w:div w:id="2017460747">
      <w:bodyDiv w:val="1"/>
      <w:marLeft w:val="0"/>
      <w:marRight w:val="0"/>
      <w:marTop w:val="0"/>
      <w:marBottom w:val="0"/>
      <w:divBdr>
        <w:top w:val="none" w:sz="0" w:space="0" w:color="auto"/>
        <w:left w:val="none" w:sz="0" w:space="0" w:color="auto"/>
        <w:bottom w:val="none" w:sz="0" w:space="0" w:color="auto"/>
        <w:right w:val="none" w:sz="0" w:space="0" w:color="auto"/>
      </w:divBdr>
    </w:div>
    <w:div w:id="2033990528">
      <w:bodyDiv w:val="1"/>
      <w:marLeft w:val="0"/>
      <w:marRight w:val="0"/>
      <w:marTop w:val="0"/>
      <w:marBottom w:val="0"/>
      <w:divBdr>
        <w:top w:val="none" w:sz="0" w:space="0" w:color="auto"/>
        <w:left w:val="none" w:sz="0" w:space="0" w:color="auto"/>
        <w:bottom w:val="none" w:sz="0" w:space="0" w:color="auto"/>
        <w:right w:val="none" w:sz="0" w:space="0" w:color="auto"/>
      </w:divBdr>
      <w:divsChild>
        <w:div w:id="135532169">
          <w:marLeft w:val="0"/>
          <w:marRight w:val="0"/>
          <w:marTop w:val="0"/>
          <w:marBottom w:val="0"/>
          <w:divBdr>
            <w:top w:val="none" w:sz="0" w:space="0" w:color="auto"/>
            <w:left w:val="none" w:sz="0" w:space="0" w:color="auto"/>
            <w:bottom w:val="none" w:sz="0" w:space="0" w:color="auto"/>
            <w:right w:val="none" w:sz="0" w:space="0" w:color="auto"/>
          </w:divBdr>
          <w:divsChild>
            <w:div w:id="271398706">
              <w:marLeft w:val="0"/>
              <w:marRight w:val="0"/>
              <w:marTop w:val="0"/>
              <w:marBottom w:val="0"/>
              <w:divBdr>
                <w:top w:val="none" w:sz="0" w:space="0" w:color="auto"/>
                <w:left w:val="none" w:sz="0" w:space="0" w:color="auto"/>
                <w:bottom w:val="none" w:sz="0" w:space="0" w:color="auto"/>
                <w:right w:val="none" w:sz="0" w:space="0" w:color="auto"/>
              </w:divBdr>
            </w:div>
          </w:divsChild>
        </w:div>
        <w:div w:id="1021398925">
          <w:marLeft w:val="0"/>
          <w:marRight w:val="0"/>
          <w:marTop w:val="0"/>
          <w:marBottom w:val="0"/>
          <w:divBdr>
            <w:top w:val="none" w:sz="0" w:space="0" w:color="auto"/>
            <w:left w:val="none" w:sz="0" w:space="0" w:color="auto"/>
            <w:bottom w:val="none" w:sz="0" w:space="0" w:color="auto"/>
            <w:right w:val="none" w:sz="0" w:space="0" w:color="auto"/>
          </w:divBdr>
          <w:divsChild>
            <w:div w:id="45811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508395">
      <w:bodyDiv w:val="1"/>
      <w:marLeft w:val="0"/>
      <w:marRight w:val="0"/>
      <w:marTop w:val="0"/>
      <w:marBottom w:val="0"/>
      <w:divBdr>
        <w:top w:val="none" w:sz="0" w:space="0" w:color="auto"/>
        <w:left w:val="none" w:sz="0" w:space="0" w:color="auto"/>
        <w:bottom w:val="none" w:sz="0" w:space="0" w:color="auto"/>
        <w:right w:val="none" w:sz="0" w:space="0" w:color="auto"/>
      </w:divBdr>
    </w:div>
    <w:div w:id="2038962701">
      <w:bodyDiv w:val="1"/>
      <w:marLeft w:val="0"/>
      <w:marRight w:val="0"/>
      <w:marTop w:val="0"/>
      <w:marBottom w:val="0"/>
      <w:divBdr>
        <w:top w:val="none" w:sz="0" w:space="0" w:color="auto"/>
        <w:left w:val="none" w:sz="0" w:space="0" w:color="auto"/>
        <w:bottom w:val="none" w:sz="0" w:space="0" w:color="auto"/>
        <w:right w:val="none" w:sz="0" w:space="0" w:color="auto"/>
      </w:divBdr>
    </w:div>
    <w:div w:id="2043242734">
      <w:bodyDiv w:val="1"/>
      <w:marLeft w:val="0"/>
      <w:marRight w:val="0"/>
      <w:marTop w:val="0"/>
      <w:marBottom w:val="0"/>
      <w:divBdr>
        <w:top w:val="none" w:sz="0" w:space="0" w:color="auto"/>
        <w:left w:val="none" w:sz="0" w:space="0" w:color="auto"/>
        <w:bottom w:val="none" w:sz="0" w:space="0" w:color="auto"/>
        <w:right w:val="none" w:sz="0" w:space="0" w:color="auto"/>
      </w:divBdr>
    </w:div>
    <w:div w:id="2049451397">
      <w:bodyDiv w:val="1"/>
      <w:marLeft w:val="0"/>
      <w:marRight w:val="0"/>
      <w:marTop w:val="0"/>
      <w:marBottom w:val="0"/>
      <w:divBdr>
        <w:top w:val="none" w:sz="0" w:space="0" w:color="auto"/>
        <w:left w:val="none" w:sz="0" w:space="0" w:color="auto"/>
        <w:bottom w:val="none" w:sz="0" w:space="0" w:color="auto"/>
        <w:right w:val="none" w:sz="0" w:space="0" w:color="auto"/>
      </w:divBdr>
    </w:div>
    <w:div w:id="2071536889">
      <w:bodyDiv w:val="1"/>
      <w:marLeft w:val="0"/>
      <w:marRight w:val="0"/>
      <w:marTop w:val="0"/>
      <w:marBottom w:val="0"/>
      <w:divBdr>
        <w:top w:val="none" w:sz="0" w:space="0" w:color="auto"/>
        <w:left w:val="none" w:sz="0" w:space="0" w:color="auto"/>
        <w:bottom w:val="none" w:sz="0" w:space="0" w:color="auto"/>
        <w:right w:val="none" w:sz="0" w:space="0" w:color="auto"/>
      </w:divBdr>
    </w:div>
    <w:div w:id="2078554246">
      <w:bodyDiv w:val="1"/>
      <w:marLeft w:val="0"/>
      <w:marRight w:val="0"/>
      <w:marTop w:val="0"/>
      <w:marBottom w:val="0"/>
      <w:divBdr>
        <w:top w:val="none" w:sz="0" w:space="0" w:color="auto"/>
        <w:left w:val="none" w:sz="0" w:space="0" w:color="auto"/>
        <w:bottom w:val="none" w:sz="0" w:space="0" w:color="auto"/>
        <w:right w:val="none" w:sz="0" w:space="0" w:color="auto"/>
      </w:divBdr>
    </w:div>
    <w:div w:id="2089375924">
      <w:bodyDiv w:val="1"/>
      <w:marLeft w:val="0"/>
      <w:marRight w:val="0"/>
      <w:marTop w:val="0"/>
      <w:marBottom w:val="0"/>
      <w:divBdr>
        <w:top w:val="none" w:sz="0" w:space="0" w:color="auto"/>
        <w:left w:val="none" w:sz="0" w:space="0" w:color="auto"/>
        <w:bottom w:val="none" w:sz="0" w:space="0" w:color="auto"/>
        <w:right w:val="none" w:sz="0" w:space="0" w:color="auto"/>
      </w:divBdr>
      <w:divsChild>
        <w:div w:id="351689140">
          <w:marLeft w:val="0"/>
          <w:marRight w:val="0"/>
          <w:marTop w:val="0"/>
          <w:marBottom w:val="0"/>
          <w:divBdr>
            <w:top w:val="none" w:sz="0" w:space="0" w:color="auto"/>
            <w:left w:val="none" w:sz="0" w:space="0" w:color="auto"/>
            <w:bottom w:val="none" w:sz="0" w:space="0" w:color="auto"/>
            <w:right w:val="none" w:sz="0" w:space="0" w:color="auto"/>
          </w:divBdr>
          <w:divsChild>
            <w:div w:id="655841483">
              <w:marLeft w:val="0"/>
              <w:marRight w:val="0"/>
              <w:marTop w:val="0"/>
              <w:marBottom w:val="0"/>
              <w:divBdr>
                <w:top w:val="none" w:sz="0" w:space="0" w:color="auto"/>
                <w:left w:val="none" w:sz="0" w:space="0" w:color="auto"/>
                <w:bottom w:val="none" w:sz="0" w:space="0" w:color="auto"/>
                <w:right w:val="none" w:sz="0" w:space="0" w:color="auto"/>
              </w:divBdr>
              <w:divsChild>
                <w:div w:id="969166868">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833422398">
          <w:marLeft w:val="0"/>
          <w:marRight w:val="0"/>
          <w:marTop w:val="0"/>
          <w:marBottom w:val="600"/>
          <w:divBdr>
            <w:top w:val="none" w:sz="0" w:space="0" w:color="auto"/>
            <w:left w:val="none" w:sz="0" w:space="0" w:color="auto"/>
            <w:bottom w:val="none" w:sz="0" w:space="0" w:color="auto"/>
            <w:right w:val="none" w:sz="0" w:space="0" w:color="auto"/>
          </w:divBdr>
        </w:div>
      </w:divsChild>
    </w:div>
    <w:div w:id="2101296937">
      <w:bodyDiv w:val="1"/>
      <w:marLeft w:val="0"/>
      <w:marRight w:val="0"/>
      <w:marTop w:val="0"/>
      <w:marBottom w:val="0"/>
      <w:divBdr>
        <w:top w:val="none" w:sz="0" w:space="0" w:color="auto"/>
        <w:left w:val="none" w:sz="0" w:space="0" w:color="auto"/>
        <w:bottom w:val="none" w:sz="0" w:space="0" w:color="auto"/>
        <w:right w:val="none" w:sz="0" w:space="0" w:color="auto"/>
      </w:divBdr>
    </w:div>
    <w:div w:id="2101372300">
      <w:bodyDiv w:val="1"/>
      <w:marLeft w:val="0"/>
      <w:marRight w:val="0"/>
      <w:marTop w:val="0"/>
      <w:marBottom w:val="0"/>
      <w:divBdr>
        <w:top w:val="none" w:sz="0" w:space="0" w:color="auto"/>
        <w:left w:val="none" w:sz="0" w:space="0" w:color="auto"/>
        <w:bottom w:val="none" w:sz="0" w:space="0" w:color="auto"/>
        <w:right w:val="none" w:sz="0" w:space="0" w:color="auto"/>
      </w:divBdr>
      <w:divsChild>
        <w:div w:id="965310937">
          <w:marLeft w:val="0"/>
          <w:marRight w:val="0"/>
          <w:marTop w:val="0"/>
          <w:marBottom w:val="0"/>
          <w:divBdr>
            <w:top w:val="single" w:sz="2" w:space="0" w:color="D9D9E3"/>
            <w:left w:val="single" w:sz="2" w:space="0" w:color="D9D9E3"/>
            <w:bottom w:val="single" w:sz="2" w:space="0" w:color="D9D9E3"/>
            <w:right w:val="single" w:sz="2" w:space="0" w:color="D9D9E3"/>
          </w:divBdr>
          <w:divsChild>
            <w:div w:id="94061791">
              <w:marLeft w:val="0"/>
              <w:marRight w:val="0"/>
              <w:marTop w:val="0"/>
              <w:marBottom w:val="0"/>
              <w:divBdr>
                <w:top w:val="single" w:sz="2" w:space="0" w:color="D9D9E3"/>
                <w:left w:val="single" w:sz="2" w:space="0" w:color="D9D9E3"/>
                <w:bottom w:val="single" w:sz="2" w:space="0" w:color="D9D9E3"/>
                <w:right w:val="single" w:sz="2" w:space="0" w:color="D9D9E3"/>
              </w:divBdr>
              <w:divsChild>
                <w:div w:id="1508783635">
                  <w:marLeft w:val="0"/>
                  <w:marRight w:val="0"/>
                  <w:marTop w:val="0"/>
                  <w:marBottom w:val="0"/>
                  <w:divBdr>
                    <w:top w:val="single" w:sz="2" w:space="0" w:color="D9D9E3"/>
                    <w:left w:val="single" w:sz="2" w:space="0" w:color="D9D9E3"/>
                    <w:bottom w:val="single" w:sz="2" w:space="0" w:color="D9D9E3"/>
                    <w:right w:val="single" w:sz="2" w:space="0" w:color="D9D9E3"/>
                  </w:divBdr>
                  <w:divsChild>
                    <w:div w:id="1038160482">
                      <w:marLeft w:val="0"/>
                      <w:marRight w:val="0"/>
                      <w:marTop w:val="0"/>
                      <w:marBottom w:val="0"/>
                      <w:divBdr>
                        <w:top w:val="single" w:sz="2" w:space="0" w:color="D9D9E3"/>
                        <w:left w:val="single" w:sz="2" w:space="0" w:color="D9D9E3"/>
                        <w:bottom w:val="single" w:sz="2" w:space="0" w:color="D9D9E3"/>
                        <w:right w:val="single" w:sz="2" w:space="0" w:color="D9D9E3"/>
                      </w:divBdr>
                      <w:divsChild>
                        <w:div w:id="1178546541">
                          <w:marLeft w:val="0"/>
                          <w:marRight w:val="0"/>
                          <w:marTop w:val="0"/>
                          <w:marBottom w:val="0"/>
                          <w:divBdr>
                            <w:top w:val="single" w:sz="2" w:space="0" w:color="auto"/>
                            <w:left w:val="single" w:sz="2" w:space="0" w:color="auto"/>
                            <w:bottom w:val="single" w:sz="6" w:space="0" w:color="auto"/>
                            <w:right w:val="single" w:sz="2" w:space="0" w:color="auto"/>
                          </w:divBdr>
                          <w:divsChild>
                            <w:div w:id="851651829">
                              <w:marLeft w:val="0"/>
                              <w:marRight w:val="0"/>
                              <w:marTop w:val="100"/>
                              <w:marBottom w:val="100"/>
                              <w:divBdr>
                                <w:top w:val="single" w:sz="2" w:space="0" w:color="D9D9E3"/>
                                <w:left w:val="single" w:sz="2" w:space="0" w:color="D9D9E3"/>
                                <w:bottom w:val="single" w:sz="2" w:space="0" w:color="D9D9E3"/>
                                <w:right w:val="single" w:sz="2" w:space="0" w:color="D9D9E3"/>
                              </w:divBdr>
                              <w:divsChild>
                                <w:div w:id="1442147217">
                                  <w:marLeft w:val="0"/>
                                  <w:marRight w:val="0"/>
                                  <w:marTop w:val="0"/>
                                  <w:marBottom w:val="0"/>
                                  <w:divBdr>
                                    <w:top w:val="single" w:sz="2" w:space="0" w:color="D9D9E3"/>
                                    <w:left w:val="single" w:sz="2" w:space="0" w:color="D9D9E3"/>
                                    <w:bottom w:val="single" w:sz="2" w:space="0" w:color="D9D9E3"/>
                                    <w:right w:val="single" w:sz="2" w:space="0" w:color="D9D9E3"/>
                                  </w:divBdr>
                                  <w:divsChild>
                                    <w:div w:id="1393692872">
                                      <w:marLeft w:val="0"/>
                                      <w:marRight w:val="0"/>
                                      <w:marTop w:val="0"/>
                                      <w:marBottom w:val="0"/>
                                      <w:divBdr>
                                        <w:top w:val="single" w:sz="2" w:space="0" w:color="D9D9E3"/>
                                        <w:left w:val="single" w:sz="2" w:space="0" w:color="D9D9E3"/>
                                        <w:bottom w:val="single" w:sz="2" w:space="0" w:color="D9D9E3"/>
                                        <w:right w:val="single" w:sz="2" w:space="0" w:color="D9D9E3"/>
                                      </w:divBdr>
                                      <w:divsChild>
                                        <w:div w:id="909000000">
                                          <w:marLeft w:val="0"/>
                                          <w:marRight w:val="0"/>
                                          <w:marTop w:val="0"/>
                                          <w:marBottom w:val="0"/>
                                          <w:divBdr>
                                            <w:top w:val="single" w:sz="2" w:space="0" w:color="D9D9E3"/>
                                            <w:left w:val="single" w:sz="2" w:space="0" w:color="D9D9E3"/>
                                            <w:bottom w:val="single" w:sz="2" w:space="0" w:color="D9D9E3"/>
                                            <w:right w:val="single" w:sz="2" w:space="0" w:color="D9D9E3"/>
                                          </w:divBdr>
                                          <w:divsChild>
                                            <w:div w:id="1371880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112898875">
          <w:marLeft w:val="0"/>
          <w:marRight w:val="0"/>
          <w:marTop w:val="0"/>
          <w:marBottom w:val="0"/>
          <w:divBdr>
            <w:top w:val="none" w:sz="0" w:space="0" w:color="auto"/>
            <w:left w:val="none" w:sz="0" w:space="0" w:color="auto"/>
            <w:bottom w:val="none" w:sz="0" w:space="0" w:color="auto"/>
            <w:right w:val="none" w:sz="0" w:space="0" w:color="auto"/>
          </w:divBdr>
          <w:divsChild>
            <w:div w:id="1398549949">
              <w:marLeft w:val="0"/>
              <w:marRight w:val="0"/>
              <w:marTop w:val="0"/>
              <w:marBottom w:val="0"/>
              <w:divBdr>
                <w:top w:val="single" w:sz="2" w:space="0" w:color="D9D9E3"/>
                <w:left w:val="single" w:sz="2" w:space="0" w:color="D9D9E3"/>
                <w:bottom w:val="single" w:sz="2" w:space="0" w:color="D9D9E3"/>
                <w:right w:val="single" w:sz="2" w:space="0" w:color="D9D9E3"/>
              </w:divBdr>
              <w:divsChild>
                <w:div w:id="1177307867">
                  <w:marLeft w:val="0"/>
                  <w:marRight w:val="0"/>
                  <w:marTop w:val="0"/>
                  <w:marBottom w:val="0"/>
                  <w:divBdr>
                    <w:top w:val="single" w:sz="2" w:space="0" w:color="D9D9E3"/>
                    <w:left w:val="single" w:sz="2" w:space="0" w:color="D9D9E3"/>
                    <w:bottom w:val="single" w:sz="2" w:space="0" w:color="D9D9E3"/>
                    <w:right w:val="single" w:sz="2" w:space="0" w:color="D9D9E3"/>
                  </w:divBdr>
                  <w:divsChild>
                    <w:div w:id="151605409">
                      <w:marLeft w:val="0"/>
                      <w:marRight w:val="0"/>
                      <w:marTop w:val="0"/>
                      <w:marBottom w:val="0"/>
                      <w:divBdr>
                        <w:top w:val="single" w:sz="2" w:space="0" w:color="D9D9E3"/>
                        <w:left w:val="single" w:sz="2" w:space="0" w:color="D9D9E3"/>
                        <w:bottom w:val="single" w:sz="2" w:space="0" w:color="D9D9E3"/>
                        <w:right w:val="single" w:sz="2" w:space="0" w:color="D9D9E3"/>
                      </w:divBdr>
                      <w:divsChild>
                        <w:div w:id="8112915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6975683">
      <w:bodyDiv w:val="1"/>
      <w:marLeft w:val="0"/>
      <w:marRight w:val="0"/>
      <w:marTop w:val="0"/>
      <w:marBottom w:val="0"/>
      <w:divBdr>
        <w:top w:val="none" w:sz="0" w:space="0" w:color="auto"/>
        <w:left w:val="none" w:sz="0" w:space="0" w:color="auto"/>
        <w:bottom w:val="none" w:sz="0" w:space="0" w:color="auto"/>
        <w:right w:val="none" w:sz="0" w:space="0" w:color="auto"/>
      </w:divBdr>
    </w:div>
    <w:div w:id="2120561677">
      <w:bodyDiv w:val="1"/>
      <w:marLeft w:val="0"/>
      <w:marRight w:val="0"/>
      <w:marTop w:val="0"/>
      <w:marBottom w:val="0"/>
      <w:divBdr>
        <w:top w:val="none" w:sz="0" w:space="0" w:color="auto"/>
        <w:left w:val="none" w:sz="0" w:space="0" w:color="auto"/>
        <w:bottom w:val="none" w:sz="0" w:space="0" w:color="auto"/>
        <w:right w:val="none" w:sz="0" w:space="0" w:color="auto"/>
      </w:divBdr>
      <w:divsChild>
        <w:div w:id="295139790">
          <w:marLeft w:val="0"/>
          <w:marRight w:val="0"/>
          <w:marTop w:val="0"/>
          <w:marBottom w:val="0"/>
          <w:divBdr>
            <w:top w:val="none" w:sz="0" w:space="0" w:color="auto"/>
            <w:left w:val="none" w:sz="0" w:space="0" w:color="auto"/>
            <w:bottom w:val="none" w:sz="0" w:space="0" w:color="auto"/>
            <w:right w:val="none" w:sz="0" w:space="0" w:color="auto"/>
          </w:divBdr>
          <w:divsChild>
            <w:div w:id="1594780066">
              <w:marLeft w:val="0"/>
              <w:marRight w:val="0"/>
              <w:marTop w:val="0"/>
              <w:marBottom w:val="0"/>
              <w:divBdr>
                <w:top w:val="none" w:sz="0" w:space="0" w:color="auto"/>
                <w:left w:val="none" w:sz="0" w:space="0" w:color="auto"/>
                <w:bottom w:val="none" w:sz="0" w:space="0" w:color="auto"/>
                <w:right w:val="none" w:sz="0" w:space="0" w:color="auto"/>
              </w:divBdr>
              <w:divsChild>
                <w:div w:id="99040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77900">
          <w:marLeft w:val="0"/>
          <w:marRight w:val="0"/>
          <w:marTop w:val="0"/>
          <w:marBottom w:val="0"/>
          <w:divBdr>
            <w:top w:val="none" w:sz="0" w:space="0" w:color="auto"/>
            <w:left w:val="none" w:sz="0" w:space="0" w:color="auto"/>
            <w:bottom w:val="none" w:sz="0" w:space="0" w:color="auto"/>
            <w:right w:val="none" w:sz="0" w:space="0" w:color="auto"/>
          </w:divBdr>
          <w:divsChild>
            <w:div w:id="700320426">
              <w:marLeft w:val="0"/>
              <w:marRight w:val="0"/>
              <w:marTop w:val="0"/>
              <w:marBottom w:val="0"/>
              <w:divBdr>
                <w:top w:val="none" w:sz="0" w:space="0" w:color="auto"/>
                <w:left w:val="none" w:sz="0" w:space="0" w:color="auto"/>
                <w:bottom w:val="none" w:sz="0" w:space="0" w:color="auto"/>
                <w:right w:val="none" w:sz="0" w:space="0" w:color="auto"/>
              </w:divBdr>
              <w:divsChild>
                <w:div w:id="151684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21332">
          <w:marLeft w:val="0"/>
          <w:marRight w:val="0"/>
          <w:marTop w:val="0"/>
          <w:marBottom w:val="0"/>
          <w:divBdr>
            <w:top w:val="none" w:sz="0" w:space="0" w:color="auto"/>
            <w:left w:val="none" w:sz="0" w:space="0" w:color="auto"/>
            <w:bottom w:val="none" w:sz="0" w:space="0" w:color="auto"/>
            <w:right w:val="none" w:sz="0" w:space="0" w:color="auto"/>
          </w:divBdr>
          <w:divsChild>
            <w:div w:id="870656170">
              <w:marLeft w:val="0"/>
              <w:marRight w:val="0"/>
              <w:marTop w:val="0"/>
              <w:marBottom w:val="0"/>
              <w:divBdr>
                <w:top w:val="none" w:sz="0" w:space="0" w:color="auto"/>
                <w:left w:val="none" w:sz="0" w:space="0" w:color="auto"/>
                <w:bottom w:val="none" w:sz="0" w:space="0" w:color="auto"/>
                <w:right w:val="none" w:sz="0" w:space="0" w:color="auto"/>
              </w:divBdr>
              <w:divsChild>
                <w:div w:id="99040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557697">
          <w:marLeft w:val="0"/>
          <w:marRight w:val="0"/>
          <w:marTop w:val="0"/>
          <w:marBottom w:val="0"/>
          <w:divBdr>
            <w:top w:val="none" w:sz="0" w:space="0" w:color="auto"/>
            <w:left w:val="none" w:sz="0" w:space="0" w:color="auto"/>
            <w:bottom w:val="none" w:sz="0" w:space="0" w:color="auto"/>
            <w:right w:val="none" w:sz="0" w:space="0" w:color="auto"/>
          </w:divBdr>
          <w:divsChild>
            <w:div w:id="1165629943">
              <w:marLeft w:val="0"/>
              <w:marRight w:val="0"/>
              <w:marTop w:val="0"/>
              <w:marBottom w:val="0"/>
              <w:divBdr>
                <w:top w:val="none" w:sz="0" w:space="0" w:color="auto"/>
                <w:left w:val="none" w:sz="0" w:space="0" w:color="auto"/>
                <w:bottom w:val="none" w:sz="0" w:space="0" w:color="auto"/>
                <w:right w:val="none" w:sz="0" w:space="0" w:color="auto"/>
              </w:divBdr>
              <w:divsChild>
                <w:div w:id="28023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77674">
          <w:marLeft w:val="0"/>
          <w:marRight w:val="0"/>
          <w:marTop w:val="0"/>
          <w:marBottom w:val="0"/>
          <w:divBdr>
            <w:top w:val="none" w:sz="0" w:space="0" w:color="auto"/>
            <w:left w:val="none" w:sz="0" w:space="0" w:color="auto"/>
            <w:bottom w:val="none" w:sz="0" w:space="0" w:color="auto"/>
            <w:right w:val="none" w:sz="0" w:space="0" w:color="auto"/>
          </w:divBdr>
          <w:divsChild>
            <w:div w:id="1710841655">
              <w:marLeft w:val="0"/>
              <w:marRight w:val="0"/>
              <w:marTop w:val="0"/>
              <w:marBottom w:val="0"/>
              <w:divBdr>
                <w:top w:val="none" w:sz="0" w:space="0" w:color="auto"/>
                <w:left w:val="none" w:sz="0" w:space="0" w:color="auto"/>
                <w:bottom w:val="none" w:sz="0" w:space="0" w:color="auto"/>
                <w:right w:val="none" w:sz="0" w:space="0" w:color="auto"/>
              </w:divBdr>
              <w:divsChild>
                <w:div w:id="46500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917806">
      <w:bodyDiv w:val="1"/>
      <w:marLeft w:val="0"/>
      <w:marRight w:val="0"/>
      <w:marTop w:val="0"/>
      <w:marBottom w:val="0"/>
      <w:divBdr>
        <w:top w:val="none" w:sz="0" w:space="0" w:color="auto"/>
        <w:left w:val="none" w:sz="0" w:space="0" w:color="auto"/>
        <w:bottom w:val="none" w:sz="0" w:space="0" w:color="auto"/>
        <w:right w:val="none" w:sz="0" w:space="0" w:color="auto"/>
      </w:divBdr>
    </w:div>
    <w:div w:id="2132281514">
      <w:bodyDiv w:val="1"/>
      <w:marLeft w:val="0"/>
      <w:marRight w:val="0"/>
      <w:marTop w:val="0"/>
      <w:marBottom w:val="0"/>
      <w:divBdr>
        <w:top w:val="none" w:sz="0" w:space="0" w:color="auto"/>
        <w:left w:val="none" w:sz="0" w:space="0" w:color="auto"/>
        <w:bottom w:val="none" w:sz="0" w:space="0" w:color="auto"/>
        <w:right w:val="none" w:sz="0" w:space="0" w:color="auto"/>
      </w:divBdr>
    </w:div>
    <w:div w:id="21438436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11CECC7B707624EB2DB9EEB3839E210" ma:contentTypeVersion="4" ma:contentTypeDescription="Create a new document." ma:contentTypeScope="" ma:versionID="cffcee9402c625d64d4974ab2c94d5b6">
  <xsd:schema xmlns:xsd="http://www.w3.org/2001/XMLSchema" xmlns:xs="http://www.w3.org/2001/XMLSchema" xmlns:p="http://schemas.microsoft.com/office/2006/metadata/properties" xmlns:ns3="4b7ba30f-0447-4e2f-800f-bfdd0e67c2ca" targetNamespace="http://schemas.microsoft.com/office/2006/metadata/properties" ma:root="true" ma:fieldsID="4852d112c41609c93c60c2cacd78dcac" ns3:_="">
    <xsd:import namespace="4b7ba30f-0447-4e2f-800f-bfdd0e67c2c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ba30f-0447-4e2f-800f-bfdd0e67c2c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258BD70-E1BD-41AB-B27E-2807A085DE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6E556A2-58FA-4E33-83CA-F937DDCF1BBB}">
  <ds:schemaRefs>
    <ds:schemaRef ds:uri="http://schemas.openxmlformats.org/officeDocument/2006/bibliography"/>
  </ds:schemaRefs>
</ds:datastoreItem>
</file>

<file path=customXml/itemProps3.xml><?xml version="1.0" encoding="utf-8"?>
<ds:datastoreItem xmlns:ds="http://schemas.openxmlformats.org/officeDocument/2006/customXml" ds:itemID="{00E55951-9EB5-4EC1-8228-9A0CEA4DF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7ba30f-0447-4e2f-800f-bfdd0e67c2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890B188-583A-402E-81A7-A37EEA10C85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1</Pages>
  <Words>22009</Words>
  <Characters>125453</Characters>
  <Application>Microsoft Office Word</Application>
  <DocSecurity>0</DocSecurity>
  <Lines>1045</Lines>
  <Paragraphs>294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Pensiri Akkajit</dc:creator>
  <cp:keywords/>
  <dc:description/>
  <cp:lastModifiedBy>Tanawat RUNGWALLAPA</cp:lastModifiedBy>
  <cp:revision>4</cp:revision>
  <cp:lastPrinted>2026-08-13T14:35:00Z</cp:lastPrinted>
  <dcterms:created xsi:type="dcterms:W3CDTF">2026-08-17T14:19:00Z</dcterms:created>
  <dcterms:modified xsi:type="dcterms:W3CDTF">2026-08-18T16:43:00Z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b7fe4ac4badb4d301f9e4fbc0ff7e1d4fe1ede5152d1c3be3824859933e5dcaa</vt:lpwstr>
  </property>
  <property fmtid="{D5CDD505-2E9C-101B-9397-08002B2CF9AE}" pid="3" name="ContentTypeId">
    <vt:lpwstr>0x010100011CECC7B707624EB2DB9EEB3839E210</vt:lpwstr>
  </property>
  <property fmtid="{D5CDD505-2E9C-101B-9397-08002B2CF9AE}" pid="4" name="ZOTERO_PREF_1">
    <vt:lpwstr>&lt;data data-version="3" zotero-version="9.0.6"&gt;&lt;session id="uJCs2Qiw"/&gt;&lt;style id="http://www.zotero.org/styles/apa" locale="en-US" hasBibliography="1" bibliographyStyleHasBeenSet="1"/&gt;&lt;prefs&gt;&lt;pref name="fieldType" value="Field"/&gt;&lt;/prefs&gt;&lt;/data&gt;</vt:lpwstr>
  </property>
</Properties>
</file>