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9960B6">
      <w:pPr>
        <w:keepNext/>
        <w:spacing w:after="24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01E58B98" w14:textId="79AC9DAF" w:rsidR="00FC479C" w:rsidRPr="00466E3D" w:rsidRDefault="00710C26" w:rsidP="00DC7F13">
      <w:pPr>
        <w:keepNext/>
        <w:tabs>
          <w:tab w:val="center" w:pos="4680"/>
          <w:tab w:val="left" w:pos="7088"/>
        </w:tabs>
        <w:spacing w:line="360" w:lineRule="auto"/>
        <w:jc w:val="center"/>
        <w:rPr>
          <w:rFonts w:ascii="Times New Roman" w:eastAsia="Times New Roman" w:hAnsi="Times New Roman" w:cs="Times New Roman"/>
          <w:sz w:val="24"/>
          <w:szCs w:val="24"/>
        </w:rPr>
      </w:pPr>
      <w:proofErr w:type="spellStart"/>
      <w:r w:rsidRPr="00466E3D">
        <w:rPr>
          <w:rFonts w:ascii="Times New Roman" w:eastAsia="Times New Roman" w:hAnsi="Times New Roman" w:cs="Times New Roman"/>
          <w:sz w:val="24"/>
          <w:szCs w:val="24"/>
        </w:rPr>
        <w:t>Arsanchai</w:t>
      </w:r>
      <w:proofErr w:type="spellEnd"/>
      <w:r w:rsidRPr="00466E3D">
        <w:rPr>
          <w:rFonts w:ascii="Times New Roman" w:eastAsia="Times New Roman" w:hAnsi="Times New Roman" w:cs="Times New Roman"/>
          <w:sz w:val="24"/>
          <w:szCs w:val="24"/>
        </w:rPr>
        <w:t xml:space="preserve"> Sukkuea</w:t>
      </w:r>
      <w:r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DC7F13">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222 </w:t>
      </w:r>
      <w:proofErr w:type="spellStart"/>
      <w:r w:rsidRPr="00466E3D">
        <w:rPr>
          <w:rFonts w:ascii="Times New Roman" w:hAnsi="Times New Roman" w:cs="Times New Roman"/>
          <w:sz w:val="24"/>
          <w:szCs w:val="24"/>
        </w:rPr>
        <w:t>Thaiburi</w:t>
      </w:r>
      <w:proofErr w:type="spellEnd"/>
      <w:r w:rsidRPr="00466E3D">
        <w:rPr>
          <w:rFonts w:ascii="Times New Roman" w:hAnsi="Times New Roman" w:cs="Times New Roman"/>
          <w:sz w:val="24"/>
          <w:szCs w:val="24"/>
        </w:rPr>
        <w:t xml:space="preserve">, </w:t>
      </w:r>
      <w:proofErr w:type="spellStart"/>
      <w:r w:rsidRPr="00466E3D">
        <w:rPr>
          <w:rFonts w:ascii="Times New Roman" w:hAnsi="Times New Roman" w:cs="Times New Roman"/>
          <w:sz w:val="24"/>
          <w:szCs w:val="24"/>
        </w:rPr>
        <w:t>Thasala</w:t>
      </w:r>
      <w:proofErr w:type="spellEnd"/>
      <w:r w:rsidRPr="00466E3D">
        <w:rPr>
          <w:rFonts w:ascii="Times New Roman" w:hAnsi="Times New Roman" w:cs="Times New Roman"/>
          <w:sz w:val="24"/>
          <w:szCs w:val="24"/>
        </w:rPr>
        <w:t xml:space="preserve"> District, Nakhon Si Thammarat 80160, Thailand.</w:t>
      </w:r>
    </w:p>
    <w:p w14:paraId="6B06CEF0" w14:textId="77777777"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Nakhon Si Thammarat 80160, Thailand.</w:t>
      </w:r>
    </w:p>
    <w:p w14:paraId="7F3DB4CF" w14:textId="7718612F" w:rsidR="00710C26" w:rsidRPr="00466E3D" w:rsidRDefault="00857FE5"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 xml:space="preserve">Faculty of Engineering, </w:t>
      </w:r>
      <w:proofErr w:type="spellStart"/>
      <w:r w:rsidR="00C27182" w:rsidRPr="00C27182">
        <w:rPr>
          <w:rFonts w:ascii="Times New Roman" w:hAnsi="Times New Roman" w:cs="Times New Roman"/>
          <w:sz w:val="24"/>
          <w:szCs w:val="24"/>
        </w:rPr>
        <w:t>Kasetsart</w:t>
      </w:r>
      <w:proofErr w:type="spellEnd"/>
      <w:r w:rsidR="00C27182" w:rsidRPr="00C27182">
        <w:rPr>
          <w:rFonts w:ascii="Times New Roman" w:hAnsi="Times New Roman" w:cs="Times New Roman"/>
          <w:sz w:val="24"/>
          <w:szCs w:val="24"/>
        </w:rPr>
        <w:t xml:space="preserve"> University, Bangkok, 10900 Thailand</w:t>
      </w:r>
      <w:r w:rsidR="007F7553">
        <w:rPr>
          <w:rFonts w:ascii="Times New Roman" w:hAnsi="Times New Roman" w:cs="Times New Roman"/>
          <w:sz w:val="24"/>
          <w:szCs w:val="24"/>
        </w:rPr>
        <w:t>.</w:t>
      </w:r>
    </w:p>
    <w:p w14:paraId="0B2EFFAD" w14:textId="1A25DF94" w:rsidR="00912DEC" w:rsidRPr="009C14B8" w:rsidRDefault="00912DEC" w:rsidP="009960B6">
      <w:pPr>
        <w:spacing w:after="24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9960B6">
      <w:pPr>
        <w:keepNext/>
        <w:pBdr>
          <w:top w:val="nil"/>
          <w:left w:val="nil"/>
          <w:bottom w:val="nil"/>
          <w:right w:val="nil"/>
          <w:between w:val="nil"/>
        </w:pBdr>
        <w:spacing w:before="120" w:after="80" w:line="36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keepNext/>
        <w:keepLines/>
        <w:pBdr>
          <w:top w:val="nil"/>
          <w:left w:val="nil"/>
          <w:bottom w:val="nil"/>
          <w:right w:val="nil"/>
          <w:between w:val="nil"/>
        </w:pBdr>
        <w:spacing w:before="240" w:line="36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 xml:space="preserve">The financial forecasting literature contains increasingly elaborate hybrid systems. Reviews document extensive use of LSTM, CNN and hybrid deep-learning models for price and direction prediction, while also identifying continuing gaps in </w:t>
      </w:r>
      <w:proofErr w:type="spellStart"/>
      <w:r w:rsidRPr="000829A5">
        <w:rPr>
          <w:rFonts w:ascii="Times New Roman" w:hAnsi="Times New Roman" w:cs="Times New Roman"/>
          <w:sz w:val="24"/>
          <w:szCs w:val="24"/>
        </w:rPr>
        <w:t>backtesting</w:t>
      </w:r>
      <w:proofErr w:type="spellEnd"/>
      <w:r w:rsidRPr="000829A5">
        <w:rPr>
          <w:rFonts w:ascii="Times New Roman" w:hAnsi="Times New Roman" w:cs="Times New Roman"/>
          <w:sz w:val="24"/>
          <w:szCs w:val="24"/>
        </w:rPr>
        <w:t>,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1937FA">
        <w:rPr>
          <w:rFonts w:ascii="Times New Roman" w:hAnsi="Times New Roman" w:cs="Times New Roman"/>
          <w:sz w:val="24"/>
          <w:szCs w:val="24"/>
        </w:rPr>
        <w:t>particular architectures</w:t>
      </w:r>
      <w:proofErr w:type="gramEnd"/>
      <w:r w:rsidRPr="001937FA">
        <w:rPr>
          <w:rFonts w:ascii="Times New Roman" w:hAnsi="Times New Roman" w:cs="Times New Roman"/>
          <w:sz w:val="24"/>
          <w:szCs w:val="24"/>
        </w:rPr>
        <w:t xml:space="preserve">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9960B6">
      <w:pPr>
        <w:keepNext/>
        <w:keepLines/>
        <w:spacing w:before="180" w:after="8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xml:space="preserve">, the existence of a flexible mapping does not imply a stable signal. Market dynamics change across </w:t>
      </w:r>
      <w:proofErr w:type="gramStart"/>
      <w:r w:rsidR="00FE3662" w:rsidRPr="000829A5">
        <w:rPr>
          <w:rFonts w:ascii="Times New Roman" w:hAnsi="Times New Roman" w:cs="Times New Roman"/>
          <w:sz w:val="24"/>
          <w:szCs w:val="24"/>
        </w:rPr>
        <w:t>years</w:t>
      </w:r>
      <w:proofErr w:type="gramEnd"/>
      <w:r w:rsidR="00FE3662" w:rsidRPr="000829A5">
        <w:rPr>
          <w:rFonts w:ascii="Times New Roman" w:hAnsi="Times New Roman" w:cs="Times New Roman"/>
          <w:sz w:val="24"/>
          <w:szCs w:val="24"/>
        </w:rPr>
        <w:t xml:space="preserve"> and a high-capacity hybrid can magnify optimization variance or collapse to a majority-side decision while retaining superficially acceptable raw accuracy. Recent review evidence likewise treats architecture choice as only one part of a credible, </w:t>
      </w:r>
      <w:proofErr w:type="spellStart"/>
      <w:r w:rsidR="00FE3662" w:rsidRPr="000829A5">
        <w:rPr>
          <w:rFonts w:ascii="Times New Roman" w:hAnsi="Times New Roman" w:cs="Times New Roman"/>
          <w:sz w:val="24"/>
          <w:szCs w:val="24"/>
        </w:rPr>
        <w:t>backtested</w:t>
      </w:r>
      <w:proofErr w:type="spellEnd"/>
      <w:r w:rsidR="00FE3662" w:rsidRPr="000829A5">
        <w:rPr>
          <w:rFonts w:ascii="Times New Roman" w:hAnsi="Times New Roman" w:cs="Times New Roman"/>
          <w:sz w:val="24"/>
          <w:szCs w:val="24"/>
        </w:rPr>
        <w:t>,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w:t>
      </w:r>
      <w:proofErr w:type="spellStart"/>
      <w:r w:rsidR="00974FC3" w:rsidRPr="000829A5">
        <w:rPr>
          <w:rFonts w:ascii="Times New Roman" w:hAnsi="Times New Roman" w:cs="Times New Roman"/>
          <w:sz w:val="24"/>
          <w:szCs w:val="24"/>
        </w:rPr>
        <w:t>estimands</w:t>
      </w:r>
      <w:proofErr w:type="spellEnd"/>
      <w:r w:rsidR="00974FC3" w:rsidRPr="000829A5">
        <w:rPr>
          <w:rFonts w:ascii="Times New Roman" w:hAnsi="Times New Roman" w:cs="Times New Roman"/>
          <w:sz w:val="24"/>
          <w:szCs w:val="24"/>
        </w:rPr>
        <w:t>.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Figure 1" title="Figure 1" descr="Five-pillar point-in-time reliability-audit pipeline for SET50 fore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792A804A" w:rsidR="00916F49" w:rsidRPr="00916F49" w:rsidRDefault="00916F49" w:rsidP="009960B6">
      <w:pPr>
        <w:keepLines/>
        <w:spacing w:before="60" w:after="180" w:line="240" w:lineRule="auto"/>
        <w:jc w:val="center"/>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w:t>
      </w:r>
      <w:r w:rsidR="00880654">
        <w:rPr>
          <w:rFonts w:ascii="Times New Roman" w:hAnsi="Times New Roman"/>
          <w:bCs/>
          <w:sz w:val="24"/>
          <w:szCs w:val="24"/>
        </w:rPr>
        <w:t>out-of-sample Local-NLP forecasting and intrinsic Bull/Bear/Leader evaluation</w:t>
      </w:r>
      <w:r w:rsidRPr="00916F49">
        <w:rPr>
          <w:rFonts w:ascii="Times New Roman" w:hAnsi="Times New Roman"/>
          <w:bCs/>
          <w:sz w:val="24"/>
          <w:szCs w:val="24"/>
        </w:rPr>
        <w:t>,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w:t>
      </w:r>
      <w:proofErr w:type="gramStart"/>
      <w:r w:rsidRPr="00916F49">
        <w:rPr>
          <w:rFonts w:ascii="Times New Roman" w:hAnsi="Times New Roman"/>
          <w:bCs/>
          <w:sz w:val="24"/>
          <w:szCs w:val="24"/>
        </w:rPr>
        <w:t>apply</w:t>
      </w:r>
      <w:proofErr w:type="gramEnd"/>
      <w:r w:rsidRPr="00916F49">
        <w:rPr>
          <w:rFonts w:ascii="Times New Roman" w:hAnsi="Times New Roman"/>
          <w:bCs/>
          <w:sz w:val="24"/>
          <w:szCs w:val="24"/>
        </w:rPr>
        <w:t xml:space="preserve">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w:t>
      </w:r>
      <w:proofErr w:type="spellStart"/>
      <w:r w:rsidRPr="00916F49">
        <w:rPr>
          <w:rFonts w:ascii="Times New Roman" w:hAnsi="Times New Roman"/>
          <w:bCs/>
          <w:sz w:val="24"/>
          <w:szCs w:val="24"/>
        </w:rPr>
        <w:t>StockTBSA</w:t>
      </w:r>
      <w:proofErr w:type="spellEnd"/>
      <w:r w:rsidRPr="00916F49">
        <w:rPr>
          <w:rFonts w:ascii="Times New Roman" w:hAnsi="Times New Roman"/>
          <w:bCs/>
          <w:sz w:val="24"/>
          <w:szCs w:val="24"/>
        </w:rPr>
        <w:t xml:space="preserve">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w:t>
      </w:r>
      <w:proofErr w:type="gramStart"/>
      <w:r w:rsidRPr="00916F49">
        <w:rPr>
          <w:rFonts w:ascii="Times New Roman" w:hAnsi="Times New Roman"/>
          <w:bCs/>
          <w:sz w:val="24"/>
          <w:szCs w:val="24"/>
        </w:rPr>
        <w:t>ticker prepended</w:t>
      </w:r>
      <w:proofErr w:type="gramEnd"/>
      <w:r w:rsidRPr="00916F49">
        <w:rPr>
          <w:rFonts w:ascii="Times New Roman" w:hAnsi="Times New Roman"/>
          <w:bCs/>
          <w:sz w:val="24"/>
          <w:szCs w:val="24"/>
        </w:rPr>
        <w:t xml:space="preserve">. Annual expanding predictions trained on 2018 to predict 2019 and then expanded one year at a time through a 2018-2022 fit predicting 2023. For 2024-2025, the model was fitted once on labelled 2018-2023 data and frozen; pseudo-label retraining and </w:t>
      </w:r>
      <w:proofErr w:type="spellStart"/>
      <w:r w:rsidRPr="00916F49">
        <w:rPr>
          <w:rFonts w:ascii="Times New Roman" w:hAnsi="Times New Roman"/>
          <w:bCs/>
          <w:sz w:val="24"/>
          <w:szCs w:val="24"/>
        </w:rPr>
        <w:t>Optuna</w:t>
      </w:r>
      <w:proofErr w:type="spellEnd"/>
      <w:r w:rsidRPr="00916F49">
        <w:rPr>
          <w:rFonts w:ascii="Times New Roman" w:hAnsi="Times New Roman"/>
          <w:bCs/>
          <w:sz w:val="24"/>
          <w:szCs w:val="24"/>
        </w:rPr>
        <w:t xml:space="preserve">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1DAE19B2" w:rsidR="009960B6" w:rsidRPr="0034462D" w:rsidRDefault="0034462D" w:rsidP="0034462D">
      <w:pPr>
        <w:spacing w:line="360" w:lineRule="auto"/>
        <w:jc w:val="both"/>
        <w:rPr>
          <w:rFonts w:ascii="Times New Roman" w:hAnsi="Times New Roman" w:cs="Times New Roman"/>
          <w:color w:val="000000"/>
          <w:sz w:val="24"/>
          <w:cs/>
        </w:rPr>
      </w:pPr>
      <w:r w:rsidRPr="0034462D">
        <w:rPr>
          <w:rFonts w:ascii="Times New Roman" w:hAnsi="Times New Roman" w:cs="Times New Roman"/>
          <w:color w:val="000000"/>
          <w:sz w:val="24"/>
        </w:rPr>
        <w:t xml:space="preserve">For each article-ticker pair, the scalar sentiment score and its session-level aggregation are defined in Eq. (1). Here,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the set of pairs assigned to session t,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its </w:t>
      </w:r>
      <w:proofErr w:type="gramStart"/>
      <w:r w:rsidRPr="0034462D">
        <w:rPr>
          <w:rFonts w:ascii="Times New Roman" w:hAnsi="Times New Roman" w:cs="Times New Roman"/>
          <w:color w:val="000000"/>
          <w:sz w:val="24"/>
        </w:rPr>
        <w:t>size</w:t>
      </w:r>
      <w:proofErr w:type="gramEnd"/>
      <w:r w:rsidRPr="0034462D">
        <w:rPr>
          <w:rFonts w:ascii="Times New Roman" w:hAnsi="Times New Roman" w:cs="Times New Roman"/>
          <w:color w:val="000000"/>
          <w:sz w:val="24"/>
        </w:rPr>
        <w:t xml:space="preserve"> and c denotes the positive, neutral, or negative class. Article count, ticker-mention count and news availability follow directly from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This signed target-based construction is consistent with the labelled financial-sentiment task used to train the local classifier </w:t>
      </w:r>
      <w:r>
        <w:rPr>
          <w:rFonts w:ascii="Times New Roman" w:hAnsi="Times New Roman"/>
          <w:b/>
          <w:bCs/>
          <w:sz w:val="24"/>
          <w:szCs w:val="24"/>
        </w:rPr>
        <w:fldChar w:fldCharType="begin"/>
      </w:r>
      <w:r>
        <w:rPr>
          <w:rFonts w:ascii="Times New Roman" w:hAnsi="Times New Roman"/>
          <w:b/>
          <w:bCs/>
          <w:sz w:val="24"/>
          <w:szCs w:val="24"/>
        </w:rPr>
        <w:instrText xml:space="preserve"> ADDIN ZOTERO_ITEM CSL_CITATION {"citationID":"412c920a","properties":{"unsorted":false,"formattedCitation":"(Uthayopas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Pr>
          <w:rFonts w:ascii="Times New Roman" w:hAnsi="Times New Roman"/>
          <w:b/>
          <w:bCs/>
          <w:sz w:val="24"/>
          <w:szCs w:val="24"/>
        </w:rPr>
        <w:fldChar w:fldCharType="separate"/>
      </w:r>
      <w:r w:rsidRPr="0034462D">
        <w:rPr>
          <w:rFonts w:ascii="Times New Roman" w:hAnsi="Times New Roman" w:cs="Times New Roman"/>
          <w:sz w:val="24"/>
        </w:rPr>
        <w:t>(Uthayopas et al., 2025)</w:t>
      </w:r>
      <w:r>
        <w:rPr>
          <w:rFonts w:ascii="Times New Roman" w:hAnsi="Times New Roman"/>
          <w:b/>
          <w:bCs/>
          <w:sz w:val="24"/>
          <w:szCs w:val="24"/>
        </w:rPr>
        <w:fldChar w:fldCharType="end"/>
      </w:r>
    </w:p>
    <w:p w14:paraId="28D99ECE" w14:textId="5A12DAB2"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nary>
          </m:den>
        </m:f>
      </m:oMath>
      <w:r w:rsidRPr="009960B6">
        <w:rPr>
          <w:rFonts w:ascii="Times New Roman" w:hAnsi="Times New Roman" w:cs="Times New Roman"/>
          <w:sz w:val="21"/>
        </w:rPr>
        <w:tab/>
      </w:r>
      <w:r w:rsidR="0034462D">
        <w:rPr>
          <w:rFonts w:ascii="Times New Roman" w:hAnsi="Times New Roman" w:cs="Times New Roman"/>
          <w:sz w:val="21"/>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Figure 2" title="Figure 2" descr="Point-in-time financial-news normalization, filtering, sentiment prediction and session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w:t>
      </w:r>
      <w:proofErr w:type="spellStart"/>
      <w:r w:rsidRPr="0000017E">
        <w:rPr>
          <w:rFonts w:ascii="Times New Roman" w:hAnsi="Times New Roman" w:cs="Times New Roman"/>
          <w:bCs/>
          <w:sz w:val="24"/>
          <w:szCs w:val="24"/>
        </w:rPr>
        <w:t>StockTBSA</w:t>
      </w:r>
      <w:proofErr w:type="spellEnd"/>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4B63747A" w:rsidR="00916F49"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For feature date t, market variables use only information available through the close at t. The point-in-time regression target and the realized and predicted directions are defined in Eq. (2), following established next-period financial direction-classification formulations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{"citationID":"39228123","properties":{"unsorted":false,"formattedCitation":"(Fischer \u0026 Krauss, 2018; Hoseinzade \u0026 Haratizadeh, 2019)","plainCitation":"(Fischer \u0026 Krauss, 2018; Hoseinzade \u0026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(Fischer &amp; Krauss, 2018; Hoseinzade &amp; Haratizadeh, 2019)</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Each row records both its feature Date and the next-session </w:t>
      </w:r>
      <w:proofErr w:type="spellStart"/>
      <w:r w:rsidRPr="0034462D">
        <w:rPr>
          <w:rFonts w:ascii="Times New Roman" w:hAnsi="Times New Roman" w:cs="Times New Roman"/>
          <w:bCs/>
          <w:color w:val="000000"/>
          <w:sz w:val="24"/>
          <w:szCs w:val="24"/>
        </w:rPr>
        <w:t>Label_Date</w:t>
      </w:r>
      <w:proofErr w:type="spellEnd"/>
      <w:r w:rsidRPr="0034462D">
        <w:rPr>
          <w:rFonts w:ascii="Times New Roman" w:hAnsi="Times New Roman" w:cs="Times New Roman"/>
          <w:bCs/>
          <w:color w:val="000000"/>
          <w:sz w:val="24"/>
          <w:szCs w:val="24"/>
        </w:rPr>
        <w:t xml:space="preserve"> on which C_(t+1) becomes observable. At every boundary, a supervised training row is retained only when </w:t>
      </w:r>
      <w:proofErr w:type="spellStart"/>
      <w:r w:rsidRPr="0034462D">
        <w:rPr>
          <w:rFonts w:ascii="Times New Roman" w:hAnsi="Times New Roman" w:cs="Times New Roman"/>
          <w:bCs/>
          <w:color w:val="000000"/>
          <w:sz w:val="24"/>
          <w:szCs w:val="24"/>
        </w:rPr>
        <w:t>Label_Date_t</w:t>
      </w:r>
      <w:proofErr w:type="spellEnd"/>
      <w:r w:rsidRPr="0034462D">
        <w:rPr>
          <w:rFonts w:ascii="Times New Roman" w:hAnsi="Times New Roman" w:cs="Times New Roman"/>
          <w:bCs/>
          <w:color w:val="000000"/>
          <w:sz w:val="24"/>
          <w:szCs w:val="24"/>
        </w:rPr>
        <w:t xml:space="preserve">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24D088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r>
      <w:r w:rsidR="0034462D">
        <w:rPr>
          <w:rFonts w:ascii="Times New Roman" w:hAnsi="Times New Roman" w:cs="Times New Roman"/>
          <w:sz w:val="21"/>
        </w:rPr>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w:t>
      </w:r>
      <w:r w:rsidRPr="00916F49">
        <w:rPr>
          <w:rFonts w:ascii="Times New Roman" w:hAnsi="Times New Roman"/>
          <w:bCs/>
          <w:sz w:val="24"/>
          <w:szCs w:val="24"/>
        </w:rPr>
        <w:lastRenderedPageBreak/>
        <w:t xml:space="preserve">5 days for LSTM, 20 for CNN, 20 for LSTM-CNN, 10 for LSTM-Attention and 20 for LSTM-CNN-Attention. Outer folds trained through 2021, 2022, 2023 and 2024 and tested 2022, 2023, 2024 and 2025 using seeds 42, 123, 456, 789 and 2025. All dates </w:t>
      </w:r>
      <w:proofErr w:type="gramStart"/>
      <w:r w:rsidRPr="00916F49">
        <w:rPr>
          <w:rFonts w:ascii="Times New Roman" w:hAnsi="Times New Roman"/>
          <w:bCs/>
          <w:sz w:val="24"/>
          <w:szCs w:val="24"/>
        </w:rPr>
        <w:t>use</w:t>
      </w:r>
      <w:proofErr w:type="gramEnd"/>
      <w:r w:rsidRPr="00916F49">
        <w:rPr>
          <w:rFonts w:ascii="Times New Roman" w:hAnsi="Times New Roman"/>
          <w:bCs/>
          <w:sz w:val="24"/>
          <w:szCs w:val="24"/>
        </w:rPr>
        <w:t xml:space="preserv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Figure 3" title="Figure 3" descr="Expanding-window evaluation with purged next-day labels and held-out outer test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w:t>
      </w:r>
      <w:proofErr w:type="spellStart"/>
      <w:r w:rsidRPr="004A3C24">
        <w:rPr>
          <w:rFonts w:ascii="Times New Roman" w:hAnsi="Times New Roman" w:cs="Times New Roman"/>
          <w:bCs/>
          <w:sz w:val="24"/>
          <w:szCs w:val="24"/>
        </w:rPr>
        <w:t>t</w:t>
      </w:r>
      <w:proofErr w:type="spellEnd"/>
      <w:r w:rsidRPr="004A3C24">
        <w:rPr>
          <w:rFonts w:ascii="Times New Roman" w:hAnsi="Times New Roman" w:cs="Times New Roman"/>
          <w:bCs/>
          <w:sz w:val="24"/>
          <w:szCs w:val="24"/>
        </w:rPr>
        <w:t xml:space="preserve">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keepNext/>
        <w:keepLines/>
        <w:spacing w:before="180" w:after="8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w:t>
      </w:r>
      <w:r w:rsidRPr="00916F49">
        <w:rPr>
          <w:rFonts w:ascii="Times New Roman" w:hAnsi="Times New Roman"/>
          <w:bCs/>
          <w:sz w:val="24"/>
          <w:szCs w:val="24"/>
        </w:rPr>
        <w:lastRenderedPageBreak/>
        <w:t>returns; moving averages; volatility, momentum, rate-of-change, candlestick, cross-timeframe and 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Causal rolling VMD adds six variables. At each t, only the 60 closes from t-59 through t are decomposed using five modes, alpha = 1000, dual-ascent step tau = 0, a DC mode, tolerance 10^-7 and at most 500 iterations. The mode with the highest final </w:t>
      </w:r>
      <w:proofErr w:type="spellStart"/>
      <w:r w:rsidRPr="00916F49">
        <w:rPr>
          <w:rFonts w:ascii="Times New Roman" w:hAnsi="Times New Roman"/>
          <w:bCs/>
          <w:sz w:val="24"/>
          <w:szCs w:val="24"/>
        </w:rPr>
        <w:t>centre</w:t>
      </w:r>
      <w:proofErr w:type="spellEnd"/>
      <w:r w:rsidRPr="00916F49">
        <w:rPr>
          <w:rFonts w:ascii="Times New Roman" w:hAnsi="Times New Roman"/>
          <w:bCs/>
          <w:sz w:val="24"/>
          <w:szCs w:val="24"/>
        </w:rPr>
        <w:t xml:space="preserve"> frequency is treated as noise. Four retained intrinsic mode functions, the denoised close and removed-mode energy ratio produce 122 numerical inputs. VMD is tested as a causal auxiliary representation rather than assumed to improve direction.</w:t>
      </w:r>
    </w:p>
    <w:p w14:paraId="23757C77" w14:textId="39A27D09"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Equations (3)-(5) formalize the trailing decomposition window, highest-frequency noise-mode rule, denoised close and removed-mode energy ratio. The quantities u_(</w:t>
      </w:r>
      <w:proofErr w:type="spellStart"/>
      <w:proofErr w:type="gramStart"/>
      <w:r w:rsidRPr="0034462D">
        <w:rPr>
          <w:rFonts w:ascii="Times New Roman" w:hAnsi="Times New Roman" w:cs="Times New Roman"/>
          <w:color w:val="000000"/>
          <w:sz w:val="24"/>
        </w:rPr>
        <w:t>k,t</w:t>
      </w:r>
      <w:proofErr w:type="spellEnd"/>
      <w:proofErr w:type="gramEnd"/>
      <w:r w:rsidRPr="0034462D">
        <w:rPr>
          <w:rFonts w:ascii="Times New Roman" w:hAnsi="Times New Roman" w:cs="Times New Roman"/>
          <w:color w:val="000000"/>
          <w:sz w:val="24"/>
        </w:rPr>
        <w:t>) and omega_(</w:t>
      </w:r>
      <w:proofErr w:type="spellStart"/>
      <w:proofErr w:type="gramStart"/>
      <w:r w:rsidRPr="0034462D">
        <w:rPr>
          <w:rFonts w:ascii="Times New Roman" w:hAnsi="Times New Roman" w:cs="Times New Roman"/>
          <w:color w:val="000000"/>
          <w:sz w:val="24"/>
        </w:rPr>
        <w:t>k,t</w:t>
      </w:r>
      <w:proofErr w:type="spellEnd"/>
      <w:proofErr w:type="gramEnd"/>
      <w:r w:rsidRPr="0034462D">
        <w:rPr>
          <w:rFonts w:ascii="Times New Roman" w:hAnsi="Times New Roman" w:cs="Times New Roman"/>
          <w:color w:val="000000"/>
          <w:sz w:val="24"/>
        </w:rPr>
        <w:t xml:space="preserve">) denote mode k estimated at date t and its final </w:t>
      </w:r>
      <w:proofErr w:type="spellStart"/>
      <w:r w:rsidRPr="0034462D">
        <w:rPr>
          <w:rFonts w:ascii="Times New Roman" w:hAnsi="Times New Roman" w:cs="Times New Roman"/>
          <w:color w:val="000000"/>
          <w:sz w:val="24"/>
        </w:rPr>
        <w:t>centre</w:t>
      </w:r>
      <w:proofErr w:type="spellEnd"/>
      <w:r w:rsidRPr="0034462D">
        <w:rPr>
          <w:rFonts w:ascii="Times New Roman" w:hAnsi="Times New Roman" w:cs="Times New Roman"/>
          <w:color w:val="000000"/>
          <w:sz w:val="24"/>
        </w:rPr>
        <w:t xml:space="preserve"> frequency, respectively. The decomposition follows the VMD formulation, while the trailing-window implementation follows the leakage-avoiding window principle used in causal financial VMD forecasting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{"citationID":"38987fd8","properties":{"unsorted":false,"formattedCitation":"(Dragomiretskiy \u0026 Zosso, 2014; T. Liu et al., 2022)","plainCitation":"(Dragomiretskiy \u0026 Zosso, 2014; T. Liu et al., 2022)","noteIndex":0},"citationItems":[{"id":8,"uris":["http://zotero.org/users/local/DPQnJvcs/items/B5YAFXST"],"itemData":{"id":8,"type":"article-journal","container-title":"IEEE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w:t>
      </w:r>
      <w:r>
        <w:rPr>
          <w:rFonts w:ascii="Times New Roman" w:eastAsia="Times New Roman" w:hAnsi="Times New Roman" w:cs="Times New Roman"/>
          <w:b/>
          <w:sz w:val="24"/>
          <w:szCs w:val="24"/>
        </w:rPr>
        <w:fldChar w:fldCharType="end"/>
      </w:r>
    </w:p>
    <w:p w14:paraId="26ADA9EC" w14:textId="690F92E0"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r>
      <w:r w:rsidR="0034462D">
        <w:rPr>
          <w:rFonts w:ascii="Times New Roman" w:hAnsi="Times New Roman" w:cs="Times New Roman"/>
        </w:rPr>
        <w:t>(3)</w:t>
      </w:r>
    </w:p>
    <w:p w14:paraId="1A09A25F" w14:textId="4A5E7F10"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nary>
      </m:oMath>
      <w:r w:rsidRPr="009960B6">
        <w:rPr>
          <w:rFonts w:ascii="Times New Roman" w:hAnsi="Times New Roman" w:cs="Times New Roman"/>
          <w:sz w:val="21"/>
        </w:rPr>
        <w:tab/>
      </w:r>
      <w:r w:rsidR="0034462D">
        <w:rPr>
          <w:rFonts w:ascii="Times New Roman" w:hAnsi="Times New Roman" w:cs="Times New Roman"/>
          <w:sz w:val="21"/>
        </w:rPr>
        <w:t>(4)</w:t>
      </w:r>
    </w:p>
    <w:p w14:paraId="190C1A7C" w14:textId="1E2C1941"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r>
      <w:r w:rsidR="0034462D">
        <w:rPr>
          <w:rFonts w:ascii="Times New Roman" w:hAnsi="Times New Roman" w:cs="Times New Roman"/>
        </w:rPr>
        <w:t>(5)</w:t>
      </w:r>
    </w:p>
    <w:p w14:paraId="015EA3AD" w14:textId="4FEED9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 xml:space="preserve">3.5 Neural </w:t>
      </w:r>
      <w:proofErr w:type="gramStart"/>
      <w:r w:rsidRPr="00D0143A">
        <w:rPr>
          <w:rFonts w:ascii="Times New Roman" w:hAnsi="Times New Roman"/>
          <w:b/>
          <w:bCs/>
          <w:sz w:val="24"/>
          <w:szCs w:val="24"/>
        </w:rPr>
        <w:t>architectures</w:t>
      </w:r>
      <w:proofErr w:type="gramEnd"/>
      <w:r w:rsidRPr="00D0143A">
        <w:rPr>
          <w:rFonts w:ascii="Times New Roman" w:hAnsi="Times New Roman"/>
          <w:b/>
          <w:bCs/>
          <w:sz w:val="24"/>
          <w:szCs w:val="24"/>
        </w:rPr>
        <w:t xml:space="preserve"> and training</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CNN, causal Conv1</w:t>
      </w:r>
      <w:proofErr w:type="gramStart"/>
      <w:r w:rsidRPr="00916F49">
        <w:rPr>
          <w:rFonts w:ascii="Times New Roman" w:hAnsi="Times New Roman"/>
          <w:bCs/>
          <w:sz w:val="24"/>
          <w:szCs w:val="24"/>
        </w:rPr>
        <w:t>D(</w:t>
      </w:r>
      <w:proofErr w:type="gramEnd"/>
      <w:r w:rsidRPr="00916F49">
        <w:rPr>
          <w:rFonts w:ascii="Times New Roman" w:hAnsi="Times New Roman"/>
          <w:bCs/>
          <w:sz w:val="24"/>
          <w:szCs w:val="24"/>
        </w:rPr>
        <w:t xml:space="preserve">32, kernel 3) followed by global-average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LSTM-CNN,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the causal convolution and pooling stack; LSTM-Attention,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causal two-head attention (key dimension 8),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and LSTM-CNN-Attention, LSTM followed by causal convolution, causal two-head attention,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Every architecture uses a linear output.</w:t>
      </w:r>
    </w:p>
    <w:p w14:paraId="49EE2873" w14:textId="18CC70C0"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lastRenderedPageBreak/>
        <w:t xml:space="preserve">All five architectures minimize the mean squared error objective in Eq. (6), where n is the number of supervised training sequences. This continuous-price objective is widely used in VMD-based deep stock-series forecasting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{"citationID":"89f9489d","properties":{"unsorted":false,"formattedCitation":"(T.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(T. Liu et al., 2022; Y. Liu et al., 2024)</w:t>
      </w:r>
      <w:r>
        <w:rPr>
          <w:rFonts w:ascii="Times New Roman" w:hAnsi="Times New Roman" w:cs="Times New Roman"/>
          <w:b/>
          <w:sz w:val="24"/>
          <w:szCs w:val="24"/>
        </w:rPr>
        <w:fldChar w:fldCharType="end"/>
      </w:r>
    </w:p>
    <w:p w14:paraId="4170E9C3" w14:textId="74EC2A11"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r>
              <w:rPr>
                <w:rFonts w:ascii="Cambria Math" w:hAnsi="Cambria Math" w:cs="Times New Roman"/>
                <w:sz w:val="21"/>
              </w:rPr>
              <m:t xml:space="preserve"> </m:t>
            </m:r>
          </m:e>
        </m:nary>
      </m:oMath>
      <w:r w:rsidRPr="009960B6">
        <w:rPr>
          <w:rFonts w:ascii="Times New Roman" w:hAnsi="Times New Roman" w:cs="Times New Roman"/>
          <w:sz w:val="21"/>
        </w:rPr>
        <w:tab/>
      </w:r>
      <w:r w:rsidR="0034462D">
        <w:rPr>
          <w:rFonts w:ascii="Times New Roman" w:hAnsi="Times New Roman" w:cs="Times New Roman"/>
          <w:sz w:val="21"/>
        </w:rPr>
        <w:t>(6)</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w:t>
      </w:r>
      <w:proofErr w:type="spellStart"/>
      <w:r w:rsidRPr="00916F49">
        <w:rPr>
          <w:rFonts w:ascii="Times New Roman" w:hAnsi="Times New Roman"/>
          <w:bCs/>
          <w:sz w:val="24"/>
          <w:szCs w:val="24"/>
        </w:rPr>
        <w:t>Keras</w:t>
      </w:r>
      <w:proofErr w:type="spellEnd"/>
      <w:r w:rsidRPr="00916F49">
        <w:rPr>
          <w:rFonts w:ascii="Times New Roman" w:hAnsi="Times New Roman"/>
          <w:bCs/>
          <w:sz w:val="24"/>
          <w:szCs w:val="24"/>
        </w:rPr>
        <w:t xml:space="preserve">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Figure 4" title="Figure 4" descr="Numerical feature construction, causal rolling VMD and the five registered neural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w:t>
      </w:r>
      <w:proofErr w:type="gramStart"/>
      <w:r w:rsidRPr="004A3C24">
        <w:rPr>
          <w:rFonts w:ascii="Times New Roman" w:hAnsi="Times New Roman" w:cs="Times New Roman"/>
          <w:bCs/>
          <w:sz w:val="24"/>
          <w:szCs w:val="24"/>
        </w:rPr>
        <w:t>architectures</w:t>
      </w:r>
      <w:proofErr w:type="gramEnd"/>
      <w:r w:rsidRPr="004A3C24">
        <w:rPr>
          <w:rFonts w:ascii="Times New Roman" w:hAnsi="Times New Roman" w:cs="Times New Roman"/>
          <w:bCs/>
          <w:sz w:val="24"/>
          <w:szCs w:val="24"/>
        </w:rPr>
        <w:t>.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t>
      </w:r>
      <w:r w:rsidRPr="00916F49">
        <w:rPr>
          <w:rFonts w:ascii="Times New Roman" w:hAnsi="Times New Roman"/>
          <w:bCs/>
          <w:sz w:val="24"/>
          <w:szCs w:val="24"/>
        </w:rPr>
        <w:lastRenderedPageBreak/>
        <w:t>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w:t>
      </w:r>
      <w:proofErr w:type="gramStart"/>
      <w:r w:rsidRPr="00916F49">
        <w:rPr>
          <w:rFonts w:ascii="Times New Roman" w:hAnsi="Times New Roman"/>
          <w:bCs/>
          <w:sz w:val="24"/>
          <w:szCs w:val="24"/>
        </w:rPr>
        <w:t>article</w:t>
      </w:r>
      <w:proofErr w:type="gramEnd"/>
      <w:r w:rsidRPr="00916F49">
        <w:rPr>
          <w:rFonts w:ascii="Times New Roman" w:hAnsi="Times New Roman"/>
          <w:bCs/>
          <w:sz w:val="24"/>
          <w:szCs w:val="24"/>
        </w:rPr>
        <w:t xml:space="preserve"> and the two Leader contrasts were Holm-adjusted.</w:t>
      </w:r>
    </w:p>
    <w:p w14:paraId="73F1535D" w14:textId="1B3631A4"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 xml:space="preserve">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w:t>
      </w:r>
      <w:proofErr w:type="gramStart"/>
      <w:r>
        <w:rPr>
          <w:rFonts w:ascii="Times New Roman" w:hAnsi="Times New Roman"/>
          <w:bCs/>
          <w:sz w:val="24"/>
          <w:szCs w:val="24"/>
        </w:rPr>
        <w:t>cohort</w:t>
      </w:r>
      <w:proofErr w:type="gramEnd"/>
      <w:r>
        <w:rPr>
          <w:rFonts w:ascii="Times New Roman" w:hAnsi="Times New Roman"/>
          <w:bCs/>
          <w:sz w:val="24"/>
          <w:szCs w:val="24"/>
        </w:rPr>
        <w:t xml:space="preserve"> and its sentiment accuracy is not interpreted as evidence of downstream forecasting value. Figure 5 summarizes these two distinct audit components.</w:t>
      </w:r>
    </w:p>
    <w:p w14:paraId="115DC18F" w14:textId="6D302617" w:rsidR="004A3C24" w:rsidRPr="004A3C24" w:rsidRDefault="00BE5FE7" w:rsidP="00BE5FE7">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6B3228E1" wp14:editId="497A09A4">
            <wp:extent cx="5400000" cy="2621538"/>
            <wp:effectExtent l="0" t="0" r="0" b="7620"/>
            <wp:docPr id="438085888" name="Figure 5" title="Figure 5" descr="Separate downstream SET50 news-forecasting audit and locked intrinsic Bull-Bear-Leader sentimen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1E48F48C" w14:textId="6D2CA1A5" w:rsidR="004A3C24" w:rsidRPr="00814095" w:rsidRDefault="00880654" w:rsidP="009960B6">
      <w:pPr>
        <w:keepLines/>
        <w:spacing w:before="60" w:after="180" w:line="240" w:lineRule="auto"/>
        <w:jc w:val="center"/>
        <w:rPr>
          <w:rFonts w:ascii="Times New Roman" w:hAnsi="Times New Roman" w:cs="Times New Roman"/>
          <w:sz w:val="24"/>
          <w:szCs w:val="24"/>
        </w:rPr>
      </w:pPr>
      <w:r>
        <w:rPr>
          <w:rFonts w:ascii="Times New Roman" w:hAnsi="Times New Roman" w:cs="Times New Roman"/>
          <w:b/>
          <w:bCs/>
          <w:sz w:val="24"/>
          <w:szCs w:val="24"/>
        </w:rPr>
        <w:t xml:space="preserve">Figure 5. </w:t>
      </w:r>
      <w:r w:rsidRPr="00814095">
        <w:rPr>
          <w:rFonts w:ascii="Times New Roman" w:hAnsi="Times New Roman" w:cs="Times New Roman"/>
          <w:sz w:val="24"/>
          <w:szCs w:val="24"/>
        </w:rPr>
        <w:t>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2C445A47" w14:textId="5EF5FF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lastRenderedPageBreak/>
        <w:t>3.7 Causal market regimes and SHAP selection</w:t>
      </w:r>
    </w:p>
    <w:p w14:paraId="738C4AA0" w14:textId="7C40348B"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Daily regimes are assigned without future information using the causal trend score in Eq. (7). H contains the six return horizons in Eq. (8); sigma_(</w:t>
      </w:r>
      <w:proofErr w:type="spellStart"/>
      <w:proofErr w:type="gramStart"/>
      <w:r w:rsidRPr="0034462D">
        <w:rPr>
          <w:rFonts w:ascii="Times New Roman" w:hAnsi="Times New Roman" w:cs="Times New Roman"/>
          <w:color w:val="000000"/>
          <w:sz w:val="24"/>
        </w:rPr>
        <w:t>t,v</w:t>
      </w:r>
      <w:proofErr w:type="spellEnd"/>
      <w:proofErr w:type="gramEnd"/>
      <w:r w:rsidRPr="0034462D">
        <w:rPr>
          <w:rFonts w:ascii="Times New Roman" w:hAnsi="Times New Roman" w:cs="Times New Roman"/>
          <w:color w:val="000000"/>
          <w:sz w:val="24"/>
        </w:rPr>
        <w:t>(h)) is trailing volatility, with v(h)=20 sessions for h up to 20 and 60 sessions for h=60. ADX_(</w:t>
      </w:r>
      <w:proofErr w:type="gramStart"/>
      <w:r w:rsidRPr="0034462D">
        <w:rPr>
          <w:rFonts w:ascii="Times New Roman" w:hAnsi="Times New Roman" w:cs="Times New Roman"/>
          <w:color w:val="000000"/>
          <w:sz w:val="24"/>
        </w:rPr>
        <w:t>14,t</w:t>
      </w:r>
      <w:proofErr w:type="gramEnd"/>
      <w:r w:rsidRPr="0034462D">
        <w:rPr>
          <w:rFonts w:ascii="Times New Roman" w:hAnsi="Times New Roman" w:cs="Times New Roman"/>
          <w:color w:val="000000"/>
          <w:sz w:val="24"/>
        </w:rPr>
        <w:t xml:space="preserve">) scales trend strength and EWMA_3 </w:t>
      </w:r>
      <w:proofErr w:type="gramStart"/>
      <w:r w:rsidRPr="0034462D">
        <w:rPr>
          <w:rFonts w:ascii="Times New Roman" w:hAnsi="Times New Roman" w:cs="Times New Roman"/>
          <w:color w:val="000000"/>
          <w:sz w:val="24"/>
        </w:rPr>
        <w:t>smooths</w:t>
      </w:r>
      <w:proofErr w:type="gramEnd"/>
      <w:r w:rsidRPr="0034462D">
        <w:rPr>
          <w:rFonts w:ascii="Times New Roman" w:hAnsi="Times New Roman" w:cs="Times New Roman"/>
          <w:color w:val="000000"/>
          <w:sz w:val="24"/>
        </w:rPr>
        <w:t xml:space="preserve"> the composite score. The construction adapts bull/bear phase analysis, multi-horizon time-series momentum and ADX trend strength to a causal day-level routing rule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{"citationID":"6e9e6216","properties":{"unsorted":false,"formattedCitation":"(Pagan \u0026 Sossounov, 2003; Moskowitz et al., 2012; Wilder, 1978)","plainCitation":"(Pagan \u0026 Sossounov, 2003; Moskowitz et al., 2012; Wilder, 1978)","noteIndex":0},"citationItems":[{"id":20,"uris":["http://zotero.org/users/local/DPQnJvcs/items/RQKMDA85"],"itemData":{"id":20,"type":"article-journal","container-title":"Journal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 Wilder, 1978)</w:t>
      </w:r>
      <w:r>
        <w:rPr>
          <w:rFonts w:ascii="Times New Roman" w:eastAsia="Times New Roman" w:hAnsi="Times New Roman" w:cs="Times New Roman"/>
          <w:b/>
          <w:sz w:val="24"/>
          <w:szCs w:val="24"/>
        </w:rPr>
        <w:fldChar w:fldCharType="end"/>
      </w:r>
    </w:p>
    <w:p w14:paraId="13DC64FF" w14:textId="2AA3A176"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r>
      <w:r w:rsidR="0034462D">
        <w:rPr>
          <w:rFonts w:ascii="Times New Roman" w:hAnsi="Times New Roman" w:cs="Times New Roman"/>
        </w:rPr>
        <w:t>(7)</w:t>
      </w:r>
    </w:p>
    <w:p w14:paraId="01C5CB18" w14:textId="62CBD92F"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r>
      <w:r w:rsidR="0034462D">
        <w:rPr>
          <w:rFonts w:ascii="Times New Roman" w:hAnsi="Times New Roman" w:cs="Times New Roman"/>
        </w:rPr>
        <w:t>(8)</w:t>
      </w:r>
    </w:p>
    <w:p w14:paraId="50CD31E5" w14:textId="39344F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For outer fold f, the symmetric deadband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in Eq. (9) is the 35th percentile of absolute training-fold scores only. Date t is Bull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exceeds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Bear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is below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and </w:t>
      </w:r>
      <w:proofErr w:type="gramStart"/>
      <w:r w:rsidRPr="0034462D">
        <w:rPr>
          <w:rFonts w:ascii="Times New Roman" w:hAnsi="Times New Roman" w:cs="Times New Roman"/>
          <w:color w:val="000000"/>
          <w:sz w:val="24"/>
        </w:rPr>
        <w:t>Sideway</w:t>
      </w:r>
      <w:proofErr w:type="gramEnd"/>
      <w:r w:rsidRPr="0034462D">
        <w:rPr>
          <w:rFonts w:ascii="Times New Roman" w:hAnsi="Times New Roman" w:cs="Times New Roman"/>
          <w:color w:val="000000"/>
          <w:sz w:val="24"/>
        </w:rPr>
        <w:t xml:space="preserve"> otherwise. The state at t routes the prediction for t+1; targets and future columns are never used in regime construction. The train-only deadband is the study-specific causal adaptation of established bull/bear and momentum definitions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{"citationID":"a83b6b3b","properties":{"unsorted":false,"formattedCitation":"(Pagan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p>
    <w:p w14:paraId="0D5E431A" w14:textId="62A89C72"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r>
      <w:r w:rsidR="0034462D">
        <w:rPr>
          <w:rFonts w:ascii="Times New Roman" w:hAnsi="Times New Roman" w:cs="Times New Roman"/>
          <w:sz w:val="21"/>
        </w:rPr>
        <w:t>(9)</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55F5ECC5"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Within regime r, feature j is ranked by the mean absolute SHAP value in Eq. (10), computed only from the training ranking set </w:t>
      </w:r>
      <w:proofErr w:type="spellStart"/>
      <w:r w:rsidRPr="0034462D">
        <w:rPr>
          <w:rFonts w:ascii="Times New Roman" w:hAnsi="Times New Roman" w:cs="Times New Roman"/>
          <w:color w:val="000000"/>
          <w:sz w:val="24"/>
        </w:rPr>
        <w:t>T_r</w:t>
      </w:r>
      <w:proofErr w:type="spellEnd"/>
      <w:r w:rsidRPr="0034462D">
        <w:rPr>
          <w:rFonts w:ascii="Times New Roman" w:hAnsi="Times New Roman" w:cs="Times New Roman"/>
          <w:color w:val="000000"/>
          <w:sz w:val="24"/>
        </w:rPr>
        <w:t xml:space="preserve">. The selected set </w:t>
      </w:r>
      <w:proofErr w:type="spellStart"/>
      <w:r w:rsidRPr="0034462D">
        <w:rPr>
          <w:rFonts w:ascii="Times New Roman" w:hAnsi="Times New Roman" w:cs="Times New Roman"/>
          <w:color w:val="000000"/>
          <w:sz w:val="24"/>
        </w:rPr>
        <w:t>S_r</w:t>
      </w:r>
      <w:proofErr w:type="spellEnd"/>
      <w:r w:rsidRPr="0034462D">
        <w:rPr>
          <w:rFonts w:ascii="Times New Roman" w:hAnsi="Times New Roman" w:cs="Times New Roman"/>
          <w:color w:val="000000"/>
          <w:sz w:val="24"/>
        </w:rPr>
        <w:t xml:space="preserve">(k) contains the </w:t>
      </w:r>
      <w:proofErr w:type="gramStart"/>
      <w:r w:rsidRPr="0034462D">
        <w:rPr>
          <w:rFonts w:ascii="Times New Roman" w:hAnsi="Times New Roman" w:cs="Times New Roman"/>
          <w:color w:val="000000"/>
          <w:sz w:val="24"/>
        </w:rPr>
        <w:t>k highest-ranked</w:t>
      </w:r>
      <w:proofErr w:type="gramEnd"/>
      <w:r w:rsidRPr="0034462D">
        <w:rPr>
          <w:rFonts w:ascii="Times New Roman" w:hAnsi="Times New Roman" w:cs="Times New Roman"/>
          <w:color w:val="000000"/>
          <w:sz w:val="24"/>
        </w:rPr>
        <w:t xml:space="preserve"> features. SHAP is an additive feature-attribution framework for assigning prediction-specific feature contributions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{"citationID":"6876867d","properties":{"unsorted":false,"formattedCitation":"(Lundberg \u0026 Lee, 2017)","plainCitation":"(Lundberg \u0026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w:t>
      </w:r>
      <w:r w:rsidRPr="00823AE8">
        <w:rPr>
          <w:rFonts w:ascii="Times New Roman" w:hAnsi="Times New Roman" w:cs="Times New Roman"/>
          <w:sz w:val="24"/>
          <w:szCs w:val="24"/>
        </w:rPr>
        <w:fldChar w:fldCharType="end"/>
      </w:r>
    </w:p>
    <w:p w14:paraId="40D5DD75" w14:textId="40882A0A"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r>
      <w:r w:rsidR="0034462D">
        <w:rPr>
          <w:rFonts w:ascii="Times New Roman" w:hAnsi="Times New Roman" w:cs="Times New Roman"/>
        </w:rPr>
        <w:t>(10)</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w:t>
      </w:r>
      <w:r w:rsidRPr="00916F49">
        <w:rPr>
          <w:rFonts w:ascii="Times New Roman" w:hAnsi="Times New Roman"/>
          <w:bCs/>
          <w:sz w:val="24"/>
          <w:szCs w:val="24"/>
        </w:rPr>
        <w:lastRenderedPageBreak/>
        <w:t>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1C4210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Balanced accuracy is defined in Eq. (11), giving equal weight to sensitivity and specificity and therefore avoiding inflation from the majority class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{"citationID":"eb78c28a","properties":{"unsorted":false,"formattedCitation":"(Brodersen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p>
    <w:p w14:paraId="3F1DC001" w14:textId="16205D88"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r>
      <w:r w:rsidR="0034462D">
        <w:rPr>
          <w:rFonts w:ascii="Times New Roman" w:hAnsi="Times New Roman" w:cs="Times New Roman"/>
          <w:sz w:val="21"/>
        </w:rPr>
        <w:t>(11)</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0EEDC707" w:rsidR="009960B6" w:rsidRPr="0034462D" w:rsidRDefault="0034462D" w:rsidP="0034462D">
      <w:pPr>
        <w:spacing w:line="360" w:lineRule="auto"/>
        <w:jc w:val="both"/>
        <w:rPr>
          <w:rFonts w:ascii="Times New Roman" w:hAnsi="Times New Roman" w:cs="Times New Roman"/>
          <w:color w:val="000000"/>
          <w:sz w:val="24"/>
          <w:cs/>
        </w:rPr>
      </w:pPr>
      <w:bookmarkStart w:id="0" w:name="_Hlk127275562"/>
      <w:r w:rsidRPr="0034462D">
        <w:rPr>
          <w:rFonts w:ascii="Times New Roman" w:hAnsi="Times New Roman" w:cs="Times New Roman"/>
          <w:color w:val="000000"/>
          <w:sz w:val="24"/>
        </w:rPr>
        <w:t xml:space="preserve">For paired arms A and B, Eq. (12) first averages the five seed-level balanced-accuracy differences within each architecture m and outer year y and then averages the </w:t>
      </w:r>
      <w:proofErr w:type="gramStart"/>
      <w:r w:rsidRPr="0034462D">
        <w:rPr>
          <w:rFonts w:ascii="Times New Roman" w:hAnsi="Times New Roman" w:cs="Times New Roman"/>
          <w:color w:val="000000"/>
          <w:sz w:val="24"/>
        </w:rPr>
        <w:t>four year</w:t>
      </w:r>
      <w:proofErr w:type="gramEnd"/>
      <w:r w:rsidRPr="0034462D">
        <w:rPr>
          <w:rFonts w:ascii="Times New Roman" w:hAnsi="Times New Roman" w:cs="Times New Roman"/>
          <w:color w:val="000000"/>
          <w:sz w:val="24"/>
        </w:rPr>
        <w:t xml:space="preserve"> effects. Equations (13)-(14) define the 16 sign-flipped test statistics and their exact two-sided probability. The finite randomization distribution and familywise interpretation are paired with Holm adjustment, while serial dependence is checked separately using block resampling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{"citationID":"cf15f4f1","properties":{"unsorted":false,"formattedCitation":"(Holm, 1979; Politis \u0026 Romano, 1992)","plainCitation":"(Holm, 1979; Politis \u0026 Romano, 1992)","noteIndex":0},"citationItems":[{"id":25,"uris":["http://zotero.org/users/local/DPQnJvcs/items/YPBXTXIH"],"itemData":{"id":25,"type":"article-journal","container-title":"Scandinavian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Procedure","volume":"6","author":[{"family":"Holm","given":"Sture"}],"issued":{"date-parts":[["1979"]]}}},{"id":43,"uris":["http://zotero.org/users/local/DPQnJvcs/items/8ZXYSTZP"],"itemData":{"id":43,"type":"chapter","container-title":"Exploring the Limits of Bootstrap","page":"263–270","publisher":"John Wiley \u0026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(Holm, 1979; Politis &amp; Romano, 1992)</w:t>
      </w:r>
      <w:r>
        <w:rPr>
          <w:rFonts w:ascii="Times New Roman" w:hAnsi="Times New Roman" w:cs="Times New Roman"/>
          <w:b/>
          <w:sz w:val="24"/>
          <w:szCs w:val="24"/>
        </w:rPr>
        <w:fldChar w:fldCharType="end"/>
      </w:r>
    </w:p>
    <w:p w14:paraId="58B3E7B6" w14:textId="0825A2C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r>
      <w:r w:rsidR="0034462D">
        <w:rPr>
          <w:rFonts w:ascii="Times New Roman" w:hAnsi="Times New Roman" w:cs="Times New Roman"/>
          <w:sz w:val="19"/>
        </w:rPr>
        <w:t>(12)</w:t>
      </w:r>
    </w:p>
    <w:p w14:paraId="50089B7E" w14:textId="6AED63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r>
      <w:r w:rsidR="0034462D">
        <w:rPr>
          <w:rFonts w:ascii="Times New Roman" w:hAnsi="Times New Roman" w:cs="Angsana New"/>
          <w:sz w:val="19"/>
          <w:cs/>
        </w:rPr>
        <w:t>(13)</w:t>
      </w:r>
    </w:p>
    <w:p w14:paraId="7C554421" w14:textId="338FC567"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lastRenderedPageBreak/>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r>
      <w:r w:rsidR="0034462D">
        <w:rPr>
          <w:rFonts w:ascii="Times New Roman" w:hAnsi="Times New Roman" w:cs="Times New Roman"/>
          <w:sz w:val="19"/>
        </w:rPr>
        <w:t>(14)</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Figure 6" title="Figure 6" descr="Causal Bull-Sideway-Bear routing, training-only SHAP selection and paired temporal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keepLines/>
        <w:spacing w:before="60" w:after="180" w:line="240" w:lineRule="auto"/>
        <w:jc w:val="center"/>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1FED5CFB" w:rsidR="00F06F20" w:rsidRPr="004B02B2" w:rsidRDefault="004B02B2" w:rsidP="004B02B2">
      <w:pPr>
        <w:keepNext/>
        <w:keepLines/>
        <w:spacing w:before="240" w:line="360" w:lineRule="auto"/>
        <w:rPr>
          <w:rFonts w:ascii="Times New Roman" w:hAnsi="Times New Roman" w:cs="Times New Roman"/>
          <w:b/>
          <w:bCs/>
          <w:color w:val="000000"/>
          <w:sz w:val="24"/>
          <w:szCs w:val="24"/>
        </w:rPr>
      </w:pPr>
      <w:r w:rsidRPr="004B02B2">
        <w:rPr>
          <w:rFonts w:ascii="Times New Roman" w:eastAsia="Times New Roman" w:hAnsi="Times New Roman" w:cs="Times New Roman"/>
          <w:b/>
          <w:color w:val="000000"/>
          <w:sz w:val="24"/>
          <w:szCs w:val="24"/>
        </w:rPr>
        <w:t>4. Results</w:t>
      </w:r>
    </w:p>
    <w:p w14:paraId="071F7BC5" w14:textId="03ED1CD6" w:rsidR="00FC4CF6" w:rsidRDefault="00F06F20"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{"citationID":"347439a768","properties":{"unsorted":false,"formattedCitation":"(T.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(T. Liu et al., 2022; Y. Liu et al., 2024)</w:t>
      </w:r>
      <w:r w:rsidR="00A84458">
        <w:rPr>
          <w:rFonts w:ascii="Times New Roman" w:hAnsi="Times New Roman" w:cs="Times New Roman"/>
          <w:sz w:val="24"/>
          <w:szCs w:val="24"/>
        </w:rPr>
        <w:fldChar w:fldCharType="end"/>
      </w:r>
    </w:p>
    <w:p w14:paraId="3A8D3EB1"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Full-TA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+VMD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spacing w:before="6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w:t>
      </w:r>
      <w:proofErr w:type="spellStart"/>
      <w:r w:rsidRPr="000829A5">
        <w:rPr>
          <w:rFonts w:ascii="Times New Roman" w:hAnsi="Times New Roman" w:cs="Times New Roman"/>
          <w:sz w:val="24"/>
          <w:szCs w:val="24"/>
        </w:rPr>
        <w:t>BAcc</w:t>
      </w:r>
      <w:proofErr w:type="spellEnd"/>
      <w:r w:rsidRPr="000829A5">
        <w:rPr>
          <w:rFonts w:ascii="Times New Roman" w:hAnsi="Times New Roman" w:cs="Times New Roman"/>
          <w:sz w:val="24"/>
          <w:szCs w:val="24"/>
        </w:rPr>
        <w:t xml:space="preserve">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{"citationID":"18b5635068","properties":{"unsorted":false,"formattedCitation":"(Olorunnimbe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(Olorunnimbe &amp; Viktor, 2023; Sezer et al., 2020)</w:t>
      </w:r>
      <w:r w:rsidR="00A84458">
        <w:rPr>
          <w:rFonts w:ascii="Times New Roman" w:hAnsi="Times New Roman" w:cs="Times New Roman"/>
          <w:sz w:val="24"/>
          <w:szCs w:val="24"/>
        </w:rPr>
        <w:fldChar w:fldCharType="end"/>
      </w:r>
    </w:p>
    <w:p w14:paraId="6D484E48" w14:textId="52089D89"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Unlike decomposition studies that report lower continuous-price errors, the present result does not imply that VMD is ineffective in every forecasting setting. Liu et al. decomposed causal sliding windows and predicted and recombined multiple modal subseries with a meta-learned LSTM, whereas later work paired VMD with a dual-channel attention network for stock-series regression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{"citationID":"bac1effe","properties":{"unsorted":false,"formattedCitation":"(Dragomiretskiy \u0026 Zosso, 2014; T. Liu et al., 2022; Y. Liu et al., 2024)","plainCitation":"(Dragomiretskiy \u0026 Zosso, 2014; T. Liu et al., 2022; Y. Liu et al., 2024)","noteIndex":0},"citationItems":[{"id":8,"uris":["http://zotero.org/users/local/DPQnJvcs/items/B5YAFXST"],"itemData":{"id":8,"type":"article-journal","container-title":"IEEE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 Y. Liu et al., 2024)</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Our ablation instead removes only the highest-frequency mode, keeps </w:t>
      </w:r>
      <w:r w:rsidR="00814095" w:rsidRPr="0034462D">
        <w:rPr>
          <w:rFonts w:ascii="Times New Roman" w:hAnsi="Times New Roman" w:cs="Times New Roman"/>
          <w:bCs/>
          <w:color w:val="000000"/>
          <w:sz w:val="24"/>
          <w:szCs w:val="24"/>
        </w:rPr>
        <w:t>architecture</w:t>
      </w:r>
      <w:r w:rsidRPr="0034462D">
        <w:rPr>
          <w:rFonts w:ascii="Times New Roman" w:hAnsi="Times New Roman" w:cs="Times New Roman"/>
          <w:bCs/>
          <w:color w:val="000000"/>
          <w:sz w:val="24"/>
          <w:szCs w:val="24"/>
        </w:rPr>
        <w:t xml:space="preserve"> and training budgets fixed and evaluates the sign of a one-day movement. Smoothing can therefore reduce squared price error by shrinking deviations while erasing small sign-bearing movements around zero. The isolated +0.35-point LSTM-CNN effect is plausibly an architecture interaction: convolutional filters may exploit local residual patterns left after decomposition, whereas the recurrent and attention models may lose useful short-horizon variation. Because its interval crosses zero, this mechanism explains the observed pattern but does not establish a general denoising advantage.</w:t>
      </w:r>
    </w:p>
    <w:p w14:paraId="2F4E6F92" w14:textId="0C10A0BA" w:rsidR="00F6088D" w:rsidRDefault="00F6088D"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w:t>
      </w:r>
      <w:r w:rsidRPr="000829A5">
        <w:rPr>
          <w:rFonts w:ascii="Times New Roman" w:hAnsi="Times New Roman" w:cs="Times New Roman"/>
          <w:sz w:val="24"/>
          <w:szCs w:val="24"/>
        </w:rPr>
        <w:lastRenderedPageBreak/>
        <w:t>feature controls likewise produced no adjusted balanced-accuracy superiority. Across the registered exact fold-level families, zero of 30 primary balanced-accuracy contrasts survived Holm correction</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{"citationID":"87204034ba","properties":{"unsorted":false,"formattedCitation":"(W.-J.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(W.-J. Liu et al., 2024; M. Wang et al., 2024)</w:t>
      </w:r>
      <w:r w:rsidR="00A84458">
        <w:rPr>
          <w:rFonts w:ascii="Times New Roman" w:hAnsi="Times New Roman" w:cs="Times New Roman"/>
          <w:sz w:val="24"/>
          <w:szCs w:val="24"/>
        </w:rPr>
        <w:fldChar w:fldCharType="end"/>
      </w:r>
    </w:p>
    <w:p w14:paraId="51D8093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 xml:space="preserve">Delta </w:t>
            </w: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{"citationID":"2fcaa61c44","properties":{"unsorted":false,"formattedCitation":"(Luo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(Luo et al., 2023; Sawhney et al., 2020; H. Wang et al., 2020)</w:t>
      </w:r>
      <w:r w:rsidR="00A84458">
        <w:rPr>
          <w:rFonts w:ascii="Times New Roman" w:hAnsi="Times New Roman" w:cs="Times New Roman"/>
          <w:sz w:val="24"/>
          <w:szCs w:val="24"/>
        </w:rPr>
        <w:fldChar w:fldCharType="end"/>
      </w:r>
    </w:p>
    <w:p w14:paraId="732C9553" w14:textId="6A53298C"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These findings contrast with multimodal systems that report gains from richer news representations. Sentiment-attention models learn time-varying fusion from large news collections, while interaction-based models explicitly connect news items and report delayed pricing, long-memory effects and limitations of sentiment alone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{"citationID":"6a297d0e","properties":{"unsorted":false,"formattedCitation":"(W.-J.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(W.-J. Liu et al., 2024; M. Wang et al., 2024)</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present daily scalar aggregation deliberately omits article-to-article interaction and compresses timing, entity specificity and narrative context. That compression, together with the shorter 2024-2025 headlines and lower sentiment confidence, provides a plausible mechanism for the negative incremental effects. The </w:t>
      </w:r>
      <w:proofErr w:type="gramStart"/>
      <w:r w:rsidRPr="0034462D">
        <w:rPr>
          <w:rFonts w:ascii="Times New Roman" w:hAnsi="Times New Roman" w:cs="Times New Roman"/>
          <w:bCs/>
          <w:color w:val="000000"/>
          <w:sz w:val="24"/>
          <w:szCs w:val="24"/>
        </w:rPr>
        <w:t>shuffled-news</w:t>
      </w:r>
      <w:proofErr w:type="gramEnd"/>
      <w:r w:rsidRPr="0034462D">
        <w:rPr>
          <w:rFonts w:ascii="Times New Roman" w:hAnsi="Times New Roman" w:cs="Times New Roman"/>
          <w:bCs/>
          <w:color w:val="000000"/>
          <w:sz w:val="24"/>
          <w:szCs w:val="24"/>
        </w:rPr>
        <w:t xml:space="preserve"> comparison is especially informative: if dated semantic information were driving the forecast, breaking its temporal alignment should materially reduce performance. Because that did not occur after adjustment, the news channel more likely acted as a weak proxy or noisy </w:t>
      </w:r>
      <w:proofErr w:type="spellStart"/>
      <w:r w:rsidRPr="0034462D">
        <w:rPr>
          <w:rFonts w:ascii="Times New Roman" w:hAnsi="Times New Roman" w:cs="Times New Roman"/>
          <w:bCs/>
          <w:color w:val="000000"/>
          <w:sz w:val="24"/>
          <w:szCs w:val="24"/>
        </w:rPr>
        <w:t>regularizer</w:t>
      </w:r>
      <w:proofErr w:type="spellEnd"/>
      <w:r w:rsidRPr="0034462D">
        <w:rPr>
          <w:rFonts w:ascii="Times New Roman" w:hAnsi="Times New Roman" w:cs="Times New Roman"/>
          <w:bCs/>
          <w:color w:val="000000"/>
          <w:sz w:val="24"/>
          <w:szCs w:val="24"/>
        </w:rPr>
        <w:t xml:space="preserve"> than as stable dated information. This does not show that financial news is uninformative; it narrows the claim to this out-of-sample daily representation under a fixed compute budget.</w:t>
      </w:r>
    </w:p>
    <w:p w14:paraId="7D6744B3" w14:textId="6FD1B3D4" w:rsidR="0038564F" w:rsidRDefault="00880654" w:rsidP="009960B6">
      <w:pPr>
        <w:keepNext/>
        <w:keepLines/>
        <w:spacing w:before="180" w:after="80" w:line="360" w:lineRule="auto"/>
        <w:rPr>
          <w:rFonts w:ascii="Times New Roman" w:hAnsi="Times New Roman"/>
          <w:b/>
          <w:bCs/>
          <w:sz w:val="24"/>
          <w:szCs w:val="24"/>
        </w:rPr>
      </w:pPr>
      <w:r>
        <w:rPr>
          <w:rFonts w:ascii="Times New Roman" w:hAnsi="Times New Roman"/>
          <w:b/>
          <w:bCs/>
          <w:sz w:val="24"/>
          <w:szCs w:val="24"/>
        </w:rPr>
        <w:t>4.3 The LLM role system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{"citationID":"d38fd17ae6","properties":{"unsorted":false,"formattedCitation":"(Uthayopas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(Uthayopas et al., 2025)</w:t>
      </w:r>
      <w:r w:rsidR="00A84458">
        <w:rPr>
          <w:rFonts w:ascii="Times New Roman" w:hAnsi="Times New Roman" w:cs="Times New Roman"/>
          <w:sz w:val="24"/>
          <w:szCs w:val="24"/>
        </w:rPr>
        <w:fldChar w:fldCharType="end"/>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w:t>
      </w:r>
      <w:proofErr w:type="gramStart"/>
      <w:r w:rsidRPr="004A3C24">
        <w:rPr>
          <w:rFonts w:ascii="Times New Roman" w:hAnsi="Times New Roman" w:cs="Times New Roman"/>
          <w:iCs/>
          <w:sz w:val="24"/>
          <w:szCs w:val="24"/>
        </w:rPr>
        <w:t>article</w:t>
      </w:r>
      <w:proofErr w:type="gramEnd"/>
      <w:r w:rsidRPr="004A3C24">
        <w:rPr>
          <w:rFonts w:ascii="Times New Roman" w:hAnsi="Times New Roman" w:cs="Times New Roman"/>
          <w:iCs/>
          <w:sz w:val="24"/>
          <w:szCs w:val="24"/>
        </w:rPr>
        <w:t xml:space="preserv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00FD6D80" w:rsidR="00B72DF8" w:rsidRDefault="00880654" w:rsidP="009960B6">
      <w:pPr>
        <w:spacing w:before="60" w:line="240" w:lineRule="auto"/>
        <w:rPr>
          <w:rFonts w:ascii="Times New Roman" w:hAnsi="Times New Roman" w:cs="Times New Roman"/>
          <w:b/>
          <w:bCs/>
          <w:sz w:val="24"/>
          <w:szCs w:val="24"/>
        </w:rPr>
      </w:pPr>
      <w:r>
        <w:rPr>
          <w:rFonts w:ascii="Times New Roman" w:hAnsi="Times New Roman" w:cs="Times New Roman"/>
          <w:i/>
          <w:iCs/>
          <w:sz w:val="24"/>
          <w:szCs w:val="24"/>
        </w:rPr>
        <w:t>Note: Table 3B reports intrinsic sentiment performance on the locked 2023 cohort. These results must not be interpreted as evidence of downstream SET50 forecasting value.</w:t>
      </w:r>
    </w:p>
    <w:p w14:paraId="7999A36F" w14:textId="68572616"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Leader advantage is consistent with multi-agent debate studies in which divergent arguments improve reasoning relative to a single trajectory, while self-consistency improves performance by sampling and aggregating multiple reasoning paths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{"citationID":"806f457f","properties":{"unsorted":false,"formattedCitation":"(Du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Pr>
          <w:rFonts w:ascii="Times New Roman" w:eastAsia="Times New Roman" w:hAnsi="Times New Roman"/>
          <w:b/>
          <w:sz w:val="24"/>
          <w:szCs w:val="24"/>
          <w:cs/>
        </w:rPr>
        <w:fldChar w:fldCharType="separate"/>
      </w:r>
      <w:r w:rsidRPr="0034462D">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34462D">
        <w:rPr>
          <w:rFonts w:ascii="Times New Roman" w:hAnsi="Times New Roman" w:cs="Times New Roman"/>
          <w:bCs/>
          <w:color w:val="000000"/>
          <w:sz w:val="24"/>
          <w:szCs w:val="24"/>
        </w:rPr>
        <w:t xml:space="preserve"> The equal-call and near-cost controls matter because they separate role diversity from the simpler benefit of spending more </w:t>
      </w:r>
      <w:r w:rsidR="0011168E">
        <w:rPr>
          <w:rFonts w:ascii="Times New Roman" w:hAnsi="Times New Roman" w:cs="Times New Roman"/>
          <w:bCs/>
          <w:color w:val="000000"/>
          <w:sz w:val="24"/>
          <w:szCs w:val="24"/>
        </w:rPr>
        <w:t>inference calls. Recent finance-agent</w:t>
      </w:r>
      <w:r w:rsidRPr="0034462D">
        <w:rPr>
          <w:rFonts w:ascii="Times New Roman" w:hAnsi="Times New Roman" w:cs="Times New Roman"/>
          <w:bCs/>
          <w:color w:val="000000"/>
          <w:sz w:val="24"/>
          <w:szCs w:val="24"/>
        </w:rPr>
        <w:t xml:space="preserve"> reviews similarly identify prompt sensitivity and limited real-time adaptability as barriers to deployment, so the intrinsic gain remains distinct from downstream market value.</w:t>
      </w:r>
    </w:p>
    <w:p w14:paraId="12647C94" w14:textId="6378713B" w:rsidR="00743CA6" w:rsidRPr="00D97087" w:rsidRDefault="00743CA6"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 xml:space="preserve">Delta </w:t>
            </w:r>
            <w:proofErr w:type="spellStart"/>
            <w:r w:rsidRPr="000959B0">
              <w:rPr>
                <w:rFonts w:ascii="Times New Roman" w:hAnsi="Times New Roman" w:cs="Times New Roman"/>
                <w:b/>
                <w:iCs/>
                <w:sz w:val="16"/>
              </w:rPr>
              <w:t>BAcc</w:t>
            </w:r>
            <w:proofErr w:type="spellEnd"/>
            <w:r w:rsidRPr="000959B0">
              <w:rPr>
                <w:rFonts w:ascii="Times New Roman" w:hAnsi="Times New Roman" w:cs="Times New Roman"/>
                <w:b/>
                <w:iCs/>
                <w:sz w:val="16"/>
              </w:rPr>
              <w:t xml:space="preserve">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56AF6BD3"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341794">
        <w:rPr>
          <w:rFonts w:ascii="Times New Roman" w:hAnsi="Times New Roman" w:cs="Times New Roman"/>
          <w:sz w:val="24"/>
          <w:szCs w:val="24"/>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w:t>
      </w:r>
      <w:r w:rsidRPr="000829A5">
        <w:rPr>
          <w:rFonts w:ascii="Times New Roman" w:hAnsi="Times New Roman" w:cs="Times New Roman"/>
          <w:sz w:val="24"/>
          <w:szCs w:val="24"/>
        </w:rPr>
        <w:lastRenderedPageBreak/>
        <w:t>stability tables are placed in the Supplement and no feature-level causal narrative is built from them</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{"citationID":"07c93093a2","properties":{"unsorted":false,"formattedCitation":"(Ribeiro et al., 2016; Adebayo et al., 2018; Yeo et al., 2025)","plainCitation":"(Ribeiro et al., 2016; Adebayo et al., 2018; Yeo et al., 2025)","noteIndex":0},"citationItems":[{"id":18,"uris":["http://zotero.org/users/local/DPQnJvcs/items/62AI8BRL"],"itemData":{"id":18,"type":"paper-conference","container-title":"Proceedings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(Ribeiro et al., 2016; Adebayo et al., 2018; Yeo et al., 2025)</w:t>
      </w:r>
      <w:r w:rsidR="00A84458">
        <w:rPr>
          <w:rFonts w:ascii="Times New Roman" w:hAnsi="Times New Roman" w:cs="Times New Roman"/>
          <w:sz w:val="24"/>
          <w:szCs w:val="24"/>
        </w:rPr>
        <w:fldChar w:fldCharType="end"/>
      </w:r>
    </w:p>
    <w:p>
      <w:pPr>
        <w:keepLines/>
        <w:spacing w:line="360" w:lineRule="auto"/>
        <w:jc w:val="both"/>
        <w:rPr>
          <w:rFonts w:ascii="Times New Roman" w:hAnsi="Times New Roman" w:cs="Times New Roman"/>
          <w:color w:val="000000"/>
          <w:sz w:val="24"/>
          <w:szCs w:val="24"/>
        </w:rPr>
      </w:pPr>
      <w:r>
        <w:rPr>
          <w:rFonts w:ascii="Times New Roman" w:hAnsi="Times New Roman"/>
          <w:sz w:val="24"/>
        </w:rPr>
        <w:t>Figure 7 places the selector effect beside the independent local-fidelity diagnostic. Regime-SHAP improved CNN by 1.46 percentage points and LSTM-CNN by 0.05 points, while changing LSTM, LSTM-Attention and LSTM-CNN-Attention by -0.10, -1.03 and -0.74 points, respectively. Every 95% interval crossed zero and no contrast survived Holm adjustment. LIME classified 65.8-77.5% of the 120 repeats in each model-regime cell as low fidelity; overall, 1,293 of 1,800 explanations (71.83%) had local-surrogate R^2 below 0.70.</w:t>
      </w:r>
    </w:p>
    <w:p>
      <w:pPr>
        <w:keepNext/>
        <w:pageBreakBefore w:val="0"/>
        <w:spacing w:before="60" w:after="40"/>
        <w:jc w:val="center"/>
      </w:pPr>
      <w:r>
        <w:drawing>
          <wp:inline xmlns:a="http://schemas.openxmlformats.org/drawingml/2006/main" xmlns:pic="http://schemas.openxmlformats.org/drawingml/2006/picture">
            <wp:extent cx="5897880" cy="2248771"/>
            <wp:docPr id="1399279417" name="Figure 7" title="Figure 7" descr="Regime-SHAP balanced-accuracy effects and model-by-regime LIME low-fidelity rates."/>
            <wp:cNvGraphicFramePr>
              <a:graphicFrameLocks noChangeAspect="1"/>
            </wp:cNvGraphicFramePr>
            <a:graphic>
              <a:graphicData uri="http://schemas.openxmlformats.org/drawingml/2006/picture">
                <pic:pic>
                  <pic:nvPicPr>
                    <pic:cNvPr id="0" name="figure10_shap_lime_result_audit.png"/>
                    <pic:cNvPicPr/>
                  </pic:nvPicPr>
                  <pic:blipFill>
                    <a:blip r:embed="rId21"/>
                    <a:stretch>
                      <a:fillRect/>
                    </a:stretch>
                  </pic:blipFill>
                  <pic:spPr>
                    <a:xfrm>
                      <a:off x="0" y="0"/>
                      <a:ext cx="5897880" cy="2248771"/>
                    </a:xfrm>
                    <a:prstGeom prst="rect"/>
                  </pic:spPr>
                </pic:pic>
              </a:graphicData>
            </a:graphic>
          </wp:inline>
        </w:drawing>
      </w:r>
    </w:p>
    <w:p>
      <w:pPr>
        <w:keepLines/>
        <w:spacing w:before="60" w:after="180" w:line="240" w:lineRule="auto"/>
        <w:jc w:val="center"/>
        <w:rPr>
          <w:rFonts w:ascii="Times New Roman" w:eastAsia="Times New Roman" w:hAnsi="Times New Roman" w:cs="Times New Roman"/>
          <w:sz w:val="24"/>
          <w:szCs w:val="24"/>
        </w:rPr>
      </w:pPr>
      <w:r>
        <w:rPr>
          <w:rFonts w:ascii="Times New Roman" w:hAnsi="Times New Roman"/>
          <w:b/>
          <w:sz w:val="24"/>
        </w:rPr>
        <w:t>Figure 7.</w:t>
      </w:r>
      <w:r>
        <w:rPr>
          <w:rFonts w:ascii="Times New Roman" w:hAnsi="Times New Roman"/>
          <w:sz w:val="24"/>
        </w:rPr>
        <w:t xml:space="preserve"> Explainability audit. Panel A reports the Regime-SHAP minus Regime-All balanced-accuracy change with descriptive 95% intervals after seed aggregation within outer years; no effect survived Holm adjustment. Panel B reports the percentage of LIME repeats with local-surrogate R^2 below 0.70; failed repeats remain in the denominator.</w:t>
      </w:r>
    </w:p>
    <w:p w14:paraId="26F4F236" w14:textId="7A7CDF91"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regime result should also be interpreted relative to the definition of regime. Classical bull/bear work identifies sustained market phases and time-series momentum documents persistence across multiple horizons; the present method instead converts those ideas into a train-only day-level routing variable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{"citationID":"360cf6e3","properties":{"unsorted":false,"formattedCitation":"(Pagan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CNN gain is plausibly consistent with architecture-specific compression: local convolutional filters may benefit when regime-irrelevant inputs are removed, whereas recurrent and attention models can already reweight temporal context and may be harmed when selection discards weak but complementary variables. Splitting the training data by regime further reduces the effective sample size, increasing ranking and refit variance. SHAP explains the fitted model rather than establishing a causal market mechanism and financial-XAI research emphasizes that stability and fidelity must be checked before feature narratives are trusted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{"citationID":"dabde4b4","properties":{"unsorted":false,"formattedCitation":"(Lundberg \u0026 Lee, 2017; Yeo et al., 2025)","plainCitation":"(Lundberg \u0026 Lee, 2017;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 Yeo et al., 2025)</w:t>
      </w:r>
      <w:r w:rsidRPr="00823AE8">
        <w:rPr>
          <w:rFonts w:ascii="Times New Roman" w:hAnsi="Times New Roman" w:cs="Times New Roman"/>
          <w:sz w:val="24"/>
          <w:szCs w:val="24"/>
        </w:rPr>
        <w:fldChar w:fldCharType="end"/>
      </w:r>
      <w:r w:rsidRPr="0034462D">
        <w:rPr>
          <w:rFonts w:ascii="Times New Roman" w:hAnsi="Times New Roman" w:cs="Times New Roman"/>
          <w:bCs/>
          <w:color w:val="000000"/>
          <w:sz w:val="24"/>
          <w:szCs w:val="24"/>
        </w:rPr>
        <w:t xml:space="preserve"> The low-fidelity LIME result reinforces that caution; consequently, the CNN effect is evidence of a model-specific routing hypothesis, not a universal regime feature set.</w:t>
      </w:r>
    </w:p>
    <w:p w14:paraId="22C86DE6"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p>
    <w:p>
      <w:pPr>
        <w:keepLines/>
        <w:spacing w:line="360" w:lineRule="auto"/>
        <w:jc w:val="both"/>
        <w:rPr>
          <w:rFonts w:ascii="Times New Roman" w:hAnsi="Times New Roman" w:cs="Times New Roman"/>
          <w:color w:val="000000"/>
          <w:sz w:val="24"/>
          <w:szCs w:val="24"/>
        </w:rPr>
      </w:pPr>
      <w:r>
        <w:rPr>
          <w:rFonts w:ascii="Times New Roman" w:hAnsi="Times New Roman"/>
          <w:sz w:val="24"/>
        </w:rPr>
        <w:t>Figures 8 and 9 visualize the five seed-averaged out-of-sample prediction series from the post-hoc Regime-SHAP-Numeric-News arm. Over 2022-2025, LSTM produced the smallest level errors (RMSE 15.97; MAE 12.73) and the tightest scatter around the identity line, but its mean balanced accuracy was only 52.01%. LSTM-CNN-Attention produced the highest balanced accuracy (53.64%) and MCC (0.089) but the largest level errors (RMSE 31.77; MAE 25.34). LSTM-Attention occupied the middle ground (BAcc 52.62%; RMSE 20.41), LSTM-CNN improved directional performance (52.81%) at the cost of larger level error (RMSE 29.79), and CNN had the weakest mean directional result (51.49%) despite visible level co-movement (RMSE 22.74). Thus, the model ranking depends on whether the endpoint is next-day level error or the sign of the next-day move.</w:t>
      </w:r>
    </w:p>
    <w:p>
      <w:pPr>
        <w:keepNext/>
        <w:pageBreakBefore w:val="0"/>
        <w:spacing w:before="60" w:after="40"/>
        <w:jc w:val="center"/>
      </w:pPr>
      <w:r>
        <w:drawing>
          <wp:inline xmlns:a="http://schemas.openxmlformats.org/drawingml/2006/main" xmlns:pic="http://schemas.openxmlformats.org/drawingml/2006/picture">
            <wp:extent cx="5897880" cy="3515660"/>
            <wp:docPr id="1399279418" name="Figure 8" title="Figure 8" descr="Observed-versus-predicted next-day SET50 scatter plots for the five frozen architectures."/>
            <wp:cNvGraphicFramePr>
              <a:graphicFrameLocks noChangeAspect="1"/>
            </wp:cNvGraphicFramePr>
            <a:graphic>
              <a:graphicData uri="http://schemas.openxmlformats.org/drawingml/2006/picture">
                <pic:pic>
                  <pic:nvPicPr>
                    <pic:cNvPr id="0" name="observed_vs_predicted_scatter_oos_2022_2025.png"/>
                    <pic:cNvPicPr/>
                  </pic:nvPicPr>
                  <pic:blipFill>
                    <a:blip r:embed="rId22"/>
                    <a:stretch>
                      <a:fillRect/>
                    </a:stretch>
                  </pic:blipFill>
                  <pic:spPr>
                    <a:xfrm>
                      <a:off x="0" y="0"/>
                      <a:ext cx="5897880" cy="3515660"/>
                    </a:xfrm>
                    <a:prstGeom prst="rect"/>
                  </pic:spPr>
                </pic:pic>
              </a:graphicData>
            </a:graphic>
          </wp:inline>
        </w:drawing>
      </w:r>
    </w:p>
    <w:p>
      <w:pPr>
        <w:keepLines/>
        <w:spacing w:before="60" w:after="180" w:line="240" w:lineRule="auto"/>
        <w:jc w:val="center"/>
        <w:rPr>
          <w:rFonts w:ascii="Times New Roman" w:eastAsia="Times New Roman" w:hAnsi="Times New Roman" w:cs="Times New Roman"/>
          <w:sz w:val="24"/>
          <w:szCs w:val="24"/>
        </w:rPr>
      </w:pPr>
      <w:r>
        <w:rPr>
          <w:rFonts w:ascii="Times New Roman" w:hAnsi="Times New Roman"/>
          <w:b/>
          <w:sz w:val="24"/>
        </w:rPr>
        <w:t>Figure 8.</w:t>
      </w:r>
      <w:r>
        <w:rPr>
          <w:rFonts w:ascii="Times New Roman" w:hAnsi="Times New Roman"/>
          <w:sz w:val="24"/>
        </w:rPr>
        <w:t xml:space="preserve"> Observed versus predicted next-day SET50 levels for the post-hoc integrated arm, 2022-2025. Each point is a seed-averaged out-of-sample forecast; the dashed identity line indicates exact level agreement. RMSE and MAE evaluate level error, whereas balanced accuracy evaluates direction.</w:t>
      </w:r>
    </w:p>
    <w:p>
      <w:pPr>
        <w:keepNext/>
        <w:pageBreakBefore/>
        <w:spacing w:before="60" w:after="40"/>
        <w:jc w:val="center"/>
      </w:pPr>
      <w:r>
        <w:drawing>
          <wp:inline xmlns:a="http://schemas.openxmlformats.org/drawingml/2006/main" xmlns:pic="http://schemas.openxmlformats.org/drawingml/2006/picture">
            <wp:extent cx="5897880" cy="5560355"/>
            <wp:docPr id="1399279419" name="Figure 9" title="Figure 9" descr="Actual and predicted next-day SET50 level series for the five architectures in the 2025 fold."/>
            <wp:cNvGraphicFramePr>
              <a:graphicFrameLocks noChangeAspect="1"/>
            </wp:cNvGraphicFramePr>
            <a:graphic>
              <a:graphicData uri="http://schemas.openxmlformats.org/drawingml/2006/picture">
                <pic:pic>
                  <pic:nvPicPr>
                    <pic:cNvPr id="0" name="actual_vs_predicted_oos_2025_zoom.png"/>
                    <pic:cNvPicPr/>
                  </pic:nvPicPr>
                  <pic:blipFill>
                    <a:blip r:embed="rId23"/>
                    <a:stretch>
                      <a:fillRect/>
                    </a:stretch>
                  </pic:blipFill>
                  <pic:spPr>
                    <a:xfrm>
                      <a:off x="0" y="0"/>
                      <a:ext cx="5897880" cy="5560355"/>
                    </a:xfrm>
                    <a:prstGeom prst="rect"/>
                  </pic:spPr>
                </pic:pic>
              </a:graphicData>
            </a:graphic>
          </wp:inline>
        </w:drawing>
      </w:r>
    </w:p>
    <w:p>
      <w:pPr>
        <w:keepLines/>
        <w:spacing w:before="60" w:after="180" w:line="240" w:lineRule="auto"/>
        <w:jc w:val="center"/>
        <w:rPr>
          <w:rFonts w:ascii="Times New Roman" w:eastAsia="Times New Roman" w:hAnsi="Times New Roman" w:cs="Times New Roman"/>
          <w:sz w:val="24"/>
          <w:szCs w:val="24"/>
        </w:rPr>
      </w:pPr>
      <w:r>
        <w:rPr>
          <w:rFonts w:ascii="Times New Roman" w:hAnsi="Times New Roman"/>
          <w:b/>
          <w:sz w:val="24"/>
        </w:rPr>
        <w:t>Figure 9.</w:t>
      </w:r>
      <w:r>
        <w:rPr>
          <w:rFonts w:ascii="Times New Roman" w:hAnsi="Times New Roman"/>
          <w:sz w:val="24"/>
        </w:rPr>
        <w:t xml:space="preserve"> Seed-averaged out-of-sample next-day SET50 forecasts in the 2025 fold. Black lines show realized next-day closes and colored lines show model forecasts; annotations report the metrics calculated only on the displayed fold. The visual diagnoses level tracking and turning-point behavior, while balanced accuracy remains the primary directional endpoint.</w:t>
      </w:r>
    </w:p>
    <w:p>
      <w:pPr>
        <w:keepLines/>
        <w:spacing w:line="360" w:lineRule="auto"/>
        <w:jc w:val="both"/>
        <w:rPr>
          <w:rFonts w:ascii="Times New Roman" w:hAnsi="Times New Roman" w:cs="Times New Roman"/>
          <w:color w:val="000000"/>
          <w:sz w:val="24"/>
          <w:szCs w:val="24"/>
        </w:rPr>
      </w:pPr>
      <w:r>
        <w:rPr>
          <w:rFonts w:ascii="Times New Roman" w:hAnsi="Times New Roman"/>
          <w:sz w:val="24"/>
        </w:rPr>
        <w:t>In the 2025 fold, LSTM-CNN achieved the best balanced accuracy (55.15%) and direction accuracy (54.27%) but an RMSE of 30.41, whereas LSTM retained the lowest RMSE (21.57) with balanced accuracy of 53.20%. LSTM-Attention reached 53.82% balanced accuracy; CNN was near chance at 51.07%; and LSTM-CNN-Attention fell to 53.07% while its RMSE rose to 36.12. The realized Up share was 48.72%, yet the models predicted Up on 74.79-86.32% of dates; corresponding Down recall was only 16.67-28.33%. The broad level paths can therefore appear visually convincing even when local reversals and small negative moves are missed.</w:t>
      </w:r>
    </w:p>
    <w:p>
      <w:pPr>
        <w:keepLines/>
        <w:spacing w:line="360" w:lineRule="auto"/>
        <w:jc w:val="both"/>
        <w:rPr>
          <w:rFonts w:ascii="Times New Roman" w:hAnsi="Times New Roman" w:cs="Times New Roman"/>
          <w:color w:val="000000"/>
          <w:sz w:val="24"/>
          <w:szCs w:val="24"/>
        </w:rPr>
      </w:pPr>
      <w:r>
        <w:rPr>
          <w:rFonts w:ascii="Times New Roman" w:hAnsi="Times New Roman"/>
          <w:sz w:val="24"/>
        </w:rPr>
        <w:t xml:space="preserve">Taken model by model, LSTM was strongest at level calibration but remained directionally asymmetric; CNN captured broad level co-movement but smoothed or plateaued around turning points and provided little net sign discrimination; LSTM-CNN gained 2025 directional sensitivity but produced more dispersed levels; LSTM-Attention offered a compromise with smaller level error than the convolutional hybrids but remained Up-skewed; and LSTM-CNN-Attention had the best four-year primary metric while showing the largest 2025 error and weakest Down recall. This pattern is consistent with added convolution and attention capacity trading level calibration for sensitivity to selected temporal patterns, but the audit cannot identify that mechanism causally. CNN's positive Regime-SHAP cell is compatible with feature compression helping a local-filter architecture, whereas LIME's low fidelity prevents a stable feature-level explanation from being claimed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{"citationID":"98da7f63a7","properties":{"unsorted":false,"formattedCitation":"(Lundberg &amp; Lee, 2017; Ribeiro et al., 2016; Yeo et al., 2025)","plainCitation":"(Lundberg &amp; Lee, 2017; Ribeiro et al., 2016;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(Lundberg &amp; Lee, 2017; Ribeiro et al., 2016; Yeo et al., 2025)</w:t>
      </w:r>
      <w:r w:rsidR="00A84458">
        <w:rPr>
          <w:rFonts w:ascii="Times New Roman" w:hAnsi="Times New Roman" w:cs="Times New Roman"/>
          <w:sz w:val="24"/>
          <w:szCs w:val="24"/>
        </w:rPr>
        <w:fldChar w:fldCharType="end"/>
      </w:r>
    </w:p>
    <w:p w14:paraId="0E01A98F" w14:textId="3A90CA79" w:rsidR="00674EE8" w:rsidRPr="00911B2B" w:rsidRDefault="00674EE8"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 performance exposed majority-side collapse</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138-row partial-2026 stress test provided weak and objective-dependent evidence (Table 5A). Direct LSTM had the highest balanced accuracy at 54.42% and MCC 0.088, but its direction </w:t>
      </w:r>
      <w:r w:rsidRPr="000829A5">
        <w:rPr>
          <w:rFonts w:ascii="Times New Roman" w:hAnsi="Times New Roman" w:cs="Times New Roman"/>
          <w:sz w:val="24"/>
          <w:szCs w:val="24"/>
        </w:rPr>
        <w:lastRenderedPageBreak/>
        <w:t>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{"citationID":"00ec0147ec","properties":{"unsorted":false,"formattedCitation":"(Brodersen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(Brodersen et al., 2010)</w:t>
      </w:r>
      <w:r w:rsidR="00A84458">
        <w:rPr>
          <w:rFonts w:ascii="Times New Roman" w:hAnsi="Times New Roman" w:cs="Times New Roman"/>
          <w:sz w:val="24"/>
          <w:szCs w:val="24"/>
        </w:rPr>
        <w:fldChar w:fldCharType="end"/>
      </w:r>
    </w:p>
    <w:p w14:paraId="41DB6121"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1EFBC17" w14:textId="0C3DD46B"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majority-side failures explain why raw accuracy and directional skill diverged. Balanced accuracy averages sensitivity and specificity, so a classifier that always predicts Up has balanced accuracy of 0.50 even when the Up share makes its raw accuracy appear high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{"citationID":"f497561c","properties":{"unsorted":false,"formattedCitation":"(Brodersen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LSTM multitask objective illustrates the mechanism: it reached 59.42% raw accuracy but only 51.40% balanced accuracy and AUC 0.502, suggesting that the auxiliary return head shifted the decision boundary toward the dominant class without improving ranking. Direct LSTM had lower raw accuracy but higher balanced accuracy and AUC. Thus, an auxiliary regression loss can improve a headline metric while weakening two-sided discrimination under distribution shift. The Deflated-Sharpe probability of 0.441 for the selected economic cell is consistent with warnings about </w:t>
      </w:r>
      <w:proofErr w:type="spellStart"/>
      <w:r w:rsidRPr="0034462D">
        <w:rPr>
          <w:rFonts w:ascii="Times New Roman" w:hAnsi="Times New Roman" w:cs="Times New Roman"/>
          <w:bCs/>
          <w:color w:val="000000"/>
          <w:sz w:val="24"/>
          <w:szCs w:val="24"/>
        </w:rPr>
        <w:t>backtest</w:t>
      </w:r>
      <w:proofErr w:type="spellEnd"/>
      <w:r w:rsidRPr="0034462D">
        <w:rPr>
          <w:rFonts w:ascii="Times New Roman" w:hAnsi="Times New Roman" w:cs="Times New Roman"/>
          <w:bCs/>
          <w:color w:val="000000"/>
          <w:sz w:val="24"/>
          <w:szCs w:val="24"/>
        </w:rPr>
        <w:t xml:space="preserve"> selection and multiplicity; it supports retaining that result as a diagnostic rather than a profitability claim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{"citationID":"726227fc","properties":{"unsorted":false,"formattedCitation":"(Arnott et al., 2019; Bailey \u0026 López de Prado, 2014; Olorunnimbe \u0026 Viktor, 2023)","plainCitation":"(Arnott et al., 2019; Bailey \u0026 López de Prado, 2014; Olorunnimbe \u0026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(Arnott et al., 2019; Bailey &amp; López de Prado, 2014; Olorunnimbe &amp; Viktor, 2023)</w:t>
      </w:r>
      <w:r>
        <w:rPr>
          <w:rFonts w:ascii="Times New Roman" w:hAnsi="Times New Roman" w:cs="Times New Roman"/>
          <w:b/>
          <w:sz w:val="24"/>
          <w:szCs w:val="24"/>
        </w:rPr>
        <w:fldChar w:fldCharType="end"/>
      </w:r>
    </w:p>
    <w:p w14:paraId="1DF141AC" w14:textId="2C00B68F" w:rsidR="00511544" w:rsidRPr="00911B2B" w:rsidRDefault="00511544"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916F49">
        <w:rPr>
          <w:rFonts w:ascii="Times New Roman" w:hAnsi="Times New Roman" w:cs="Times New Roman"/>
          <w:sz w:val="24"/>
          <w:szCs w:val="24"/>
        </w:rPr>
        <w:t>retuning</w:t>
      </w:r>
      <w:proofErr w:type="gramEnd"/>
      <w:r w:rsidRPr="00916F49">
        <w:rPr>
          <w:rFonts w:ascii="Times New Roman" w:hAnsi="Times New Roman" w:cs="Times New Roman"/>
          <w:sz w:val="24"/>
          <w:szCs w:val="24"/>
        </w:rPr>
        <w:t xml:space="preserve">, </w:t>
      </w:r>
      <w:proofErr w:type="spellStart"/>
      <w:r w:rsidRPr="00916F49">
        <w:rPr>
          <w:rFonts w:ascii="Times New Roman" w:hAnsi="Times New Roman" w:cs="Times New Roman"/>
          <w:sz w:val="24"/>
          <w:szCs w:val="24"/>
        </w:rPr>
        <w:t>Optuna</w:t>
      </w:r>
      <w:proofErr w:type="spellEnd"/>
      <w:r w:rsidRPr="00916F49">
        <w:rPr>
          <w:rFonts w:ascii="Times New Roman" w:hAnsi="Times New Roman" w:cs="Times New Roman"/>
          <w:sz w:val="24"/>
          <w:szCs w:val="24"/>
        </w:rPr>
        <w:t xml:space="preserve">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{"citationID":"c3a01422ca","properties":{"unsorted":false,"formattedCitation":"(Bergmeir et al., 2018; Olorunnimbe &amp; Viktor, 2023; Sezer et al., 2020)","plainCitation":"(Bergmeir et al., 2018; Olorunnimbe &amp; Viktor, 2023; Sezer et al., 2020)","noteIndex":0},"citationItems":[{"id":24,"uris":["http://zotero.org/users/local/DPQnJvcs/items/HFFD8978"],"itemData":{"id":24,"type":"article-journal","container-title":"Computational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(Bergmeir et al., 2018; Olorunnimbe &amp; Viktor, 2023; Sezer et al., 2020)</w:t>
      </w:r>
      <w:r w:rsidR="00A84458">
        <w:rPr>
          <w:rFonts w:ascii="Times New Roman" w:hAnsi="Times New Roman" w:cs="Times New Roman"/>
          <w:sz w:val="24"/>
          <w:szCs w:val="24"/>
        </w:rPr>
        <w:fldChar w:fldCharType="end"/>
      </w:r>
    </w:p>
    <w:p w14:paraId="5ED820CA"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w:t>
      </w:r>
      <w:proofErr w:type="gramStart"/>
      <w:r w:rsidRPr="004A3C24">
        <w:rPr>
          <w:rFonts w:ascii="Times New Roman" w:hAnsi="Times New Roman" w:cs="Times New Roman"/>
          <w:iCs/>
          <w:sz w:val="24"/>
          <w:szCs w:val="24"/>
        </w:rPr>
        <w:t>retuning</w:t>
      </w:r>
      <w:proofErr w:type="gramEnd"/>
      <w:r w:rsidRPr="004A3C24">
        <w:rPr>
          <w:rFonts w:ascii="Times New Roman" w:hAnsi="Times New Roman" w:cs="Times New Roman"/>
          <w:iCs/>
          <w:sz w:val="24"/>
          <w:szCs w:val="24"/>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SET50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SET100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spacing w:before="6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{"citationID":"5b67e3e26b","properties":{"unsorted":false,"formattedCitation":"(The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(The Stock Exchange of Thailand, n.d.-a, n.d.-b)</w:t>
      </w:r>
      <w:r w:rsidR="00A84458">
        <w:rPr>
          <w:rFonts w:ascii="Times New Roman" w:hAnsi="Times New Roman" w:cs="Times New Roman"/>
          <w:sz w:val="24"/>
          <w:szCs w:val="24"/>
        </w:rPr>
        <w:fldChar w:fldCharType="end"/>
      </w:r>
    </w:p>
    <w:p w14:paraId="3468F74C" w14:textId="1A5F7C5E" w:rsidR="0034462D"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transfer pattern is more naturally interpreted as a transportability test than as a second independent market. SET50 and SET100 share the exchange and calendar, but SET100 broadens the constituent universe; using the same frozen features and architecture-specific windows therefore tests whether a SET50-selected representation survives a different cross-sectional composition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{"citationID":"69cf8381","properties":{"unsorted":false,"formattedCitation":"(Bergmeir et al., 2018; Olorunnimbe \u0026 Viktor, 2023; Sezer et al., 2020; The Stock Exchange of Thailand, n.d.-a, n.d.-b)","plainCitation":"(Bergmeir et al., 2018; Olorunnimbe \u0026 Viktor, 2023; Sezer et al., 2020; 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(Bergmeir et al., 2018; Olorunnimbe &amp; Viktor, 2023; Sezer et al., 2020; The Stock Exchange of Thailand, n.d.-a, n.d.-b)</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uniformly negative point estimates are consistent with feature-window mismatch rather than a different macro regime, because the outer years are identical. This stricter frozen design differs from dataset-specific studies that </w:t>
      </w:r>
      <w:proofErr w:type="gramStart"/>
      <w:r w:rsidRPr="0034462D">
        <w:rPr>
          <w:rFonts w:ascii="Times New Roman" w:hAnsi="Times New Roman" w:cs="Times New Roman"/>
          <w:bCs/>
          <w:color w:val="000000"/>
          <w:sz w:val="24"/>
          <w:szCs w:val="24"/>
        </w:rPr>
        <w:t>retune</w:t>
      </w:r>
      <w:proofErr w:type="gramEnd"/>
      <w:r w:rsidRPr="0034462D">
        <w:rPr>
          <w:rFonts w:ascii="Times New Roman" w:hAnsi="Times New Roman" w:cs="Times New Roman"/>
          <w:bCs/>
          <w:color w:val="000000"/>
          <w:sz w:val="24"/>
          <w:szCs w:val="24"/>
        </w:rPr>
        <w:t xml:space="preserve"> each market and can thereby absorb part of the shift. At the same time, four outer-year effects imply a minimum attainable exact two-sided p-value of 0.125, so sign consistency alone cannot establish degradation. The result narrows external validity: the audited configurations are not automatically portable even within the same exchange, but the evidence is insufficient to attribute the loss to any single architecture or constituent characteristic.</w:t>
      </w:r>
    </w:p>
    <w:p w14:paraId="368444A3" w14:textId="17E7D87D"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sz w:val="24"/>
        </w:rPr>
        <w:t>Figure 10 summarizes architecture-wise point estimates across the completed audit pillars, while corresponding uncertainty and multiplicity-adjusted results remain in Tables 2, 3A, 4 and 5B.</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0579BC4"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Figure 10" title="Figure 10" descr="Heatmap of architecture-wise audit effects and intrinsic Leader sentiment g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1E5EC56B" w14:textId="762C61BB" w:rsidR="0085069D"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b/>
          <w:sz w:val="24"/>
        </w:rPr>
        <w:t>Figure 10.</w:t>
      </w:r>
      <w:r>
        <w:rPr>
          <w:rFonts w:ascii="Times New Roman" w:hAnsi="Times New Roman"/>
          <w:sz w:val="24"/>
        </w:rPr>
        <w:t xml:space="preserve"> Architecture-wise point-estimate summary across completed audit pillars. Heatmap cells report paired balanced-accuracy changes in percentage points for VMD, Observed-News versus Market-Only, Regime-SHAP versus Regime-All and SET100 minus matched SET50; green denotes positive and red denotes negative point estimates. The lower panel reports the Leader's intrinsic sentiment-accuracy gains over compute-matched controls as a separate endpoint. Confidence intervals and Holm-adjusted p-values are reported in Tables 2, 3A, 4 and 5B.</w:t>
      </w:r>
    </w:p>
    <w:p w14:paraId="390DD41E" w14:textId="77777777" w:rsidR="004B02B2"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t>5. Discussion</w:t>
      </w:r>
    </w:p>
    <w:p w14:paraId="0A326580" w14:textId="4FE23FD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Taken together, the results indicate that reliability depended more on the temporal contract and the fit between representation and architecture than on cumulative model complexity. VMD, predicted news and regime-SHAP produced effects with different signs across the five architectures, while the frozen SET100 transfer weakened every model. This architecture- and setting-sensitivity is consistent with financial deep-learning reviews that identify data representation, validation design and market context as major sources of apparent performance variation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{"citationID":"51dff9e4","properties":{"unsorted":false,"formattedCitation":"(Olorunnimbe \u0026 Viktor, 2023; Sezer et al., 2020)","plainCitation":"(Olorunnimbe \u0026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4B02B2">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Pr="004B02B2">
        <w:rPr>
          <w:rFonts w:ascii="Times New Roman" w:hAnsi="Times New Roman" w:cs="Times New Roman"/>
          <w:color w:val="000000"/>
          <w:sz w:val="24"/>
          <w:szCs w:val="24"/>
        </w:rPr>
        <w:t xml:space="preserve"> The paper therefore does not infer a universal hierarchy from isolated winning cells; it treats those cells as hypotheses that must survive matched budgets, falsification and temporal transfer.</w:t>
      </w:r>
    </w:p>
    <w:p w14:paraId="6E1D60ED" w14:textId="776441EF"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lastRenderedPageBreak/>
        <w:t xml:space="preserve">Across the component ablations, a common compression-capacity trade-off provides the most coherent explanation. VMD removes high-frequency variation, daily sentiment compresses multiple articles into a scalar and regime-SHAP restricts the input set within smaller conditional samples. Each operation can improve signal-to-noise alignment for one architecture while removing weak complementary information required by another. Consequently, benefits reported by continuous-price VMD systems and richer news-interaction systems do not directly contradict the mixed next-day directional effects observed here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{"citationID":"686a4392","properties":{"unsorted":false,"formattedCitation":"(T. Liu et al., 2022; Y. Liu et al., 2024; W.-J. Liu et al., 2024; M. Wang et al., 2024)","plainCitation":"(T. Liu et al., 2022; Y. Liu et al., 2024; W.-J. Liu et al., 2024; M. Wang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4B02B2">
        <w:rPr>
          <w:rFonts w:ascii="Times New Roman" w:hAnsi="Times New Roman" w:cs="Times New Roman"/>
          <w:sz w:val="24"/>
        </w:rPr>
        <w:t>(T. Liu et al., 2022; Y. Liu et al., 2024; W.-J. Liu et al., 2024; M. Wang et al., 2024)</w:t>
      </w:r>
      <w:r>
        <w:rPr>
          <w:rFonts w:ascii="Times New Roman" w:hAnsi="Times New Roman" w:cs="Times New Roman"/>
          <w:b/>
          <w:sz w:val="24"/>
          <w:szCs w:val="24"/>
        </w:rPr>
        <w:fldChar w:fldCharType="end"/>
      </w:r>
      <w:r w:rsidRPr="004B02B2">
        <w:rPr>
          <w:rFonts w:ascii="Times New Roman" w:hAnsi="Times New Roman" w:cs="Times New Roman"/>
          <w:color w:val="000000"/>
          <w:sz w:val="24"/>
          <w:szCs w:val="24"/>
        </w:rPr>
        <w:t xml:space="preserve"> The positive LSTM-CNN VMD cell and CNN regime-SHAP cell should therefore be interpreted as architecture-specific interactions, not evidence that either enhancement is generally beneficial.</w:t>
      </w:r>
    </w:p>
    <w:p>
      <w:pPr>
        <w:keepLines/>
        <w:spacing w:line="360" w:lineRule="auto"/>
        <w:jc w:val="both"/>
        <w:rPr>
          <w:rFonts w:ascii="Times New Roman" w:hAnsi="Times New Roman" w:cs="Times New Roman"/>
          <w:color w:val="000000"/>
          <w:sz w:val="24"/>
          <w:szCs w:val="24"/>
        </w:rPr>
      </w:pPr>
      <w:r>
        <w:rPr>
          <w:rFonts w:ascii="Times New Roman" w:hAnsi="Times New Roman"/>
          <w:sz w:val="24"/>
        </w:rPr>
        <w:t xml:space="preserve">The prediction-level diagnostics further clarify why high visual agreement should not be equated with a useful direction classifier. Across 2022-2025, observed-predicted level correlations ranged from 0.927 to 0.983, yet balanced accuracy spanned only 51.49-53.64%. Because the next-day index level inherits substantial persistence from the current level, a model can track the level closely while placing the predicted change on the wrong side of zero; LSTM's low RMSE and modest balanced accuracy illustrate this distinction. Conversely, hybrid models improved sign classification in selected folds while sacrificing calibration and Down-class recall. This endpoint mismatch is consistent with the distinction between continuous-price forecasting and direction classification in financial deep learning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{"citationID":"0efddb2078","properties":{"unsorted":false,"formattedCitation":"(Fischer &amp; Krauss, 2018; Hoseinzade &amp; Haratizadeh, 2019; Sezer et al., 2020)","plainCitation":"(Fischer &amp; Krauss, 2018; Hoseinzade &amp; Haratizadeh, 2019; Sezer et al., 2020)","noteIndex":0},"citationItems":[{"id":4,"uris":["http://zotero.org/users/local/DPQnJvcs/items/AGMKWFCU"],"itemData":{"id":4,"type":"article-journal","container-title":"European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(Fischer &amp; Krauss, 2018; Hoseinzade &amp; Haratizadeh, 2019; Sezer et al., 2020)</w:t>
      </w:r>
      <w:r w:rsidR="00A84458">
        <w:rPr>
          <w:rFonts w:ascii="Times New Roman" w:hAnsi="Times New Roman" w:cs="Times New Roman"/>
          <w:sz w:val="24"/>
          <w:szCs w:val="24"/>
        </w:rPr>
        <w:fldChar w:fldCharType="end"/>
      </w:r>
      <w:r>
        <w:rPr>
          <w:rFonts w:ascii="Times New Roman" w:hAnsi="Times New Roman"/>
          <w:sz w:val="24"/>
        </w:rPr>
        <w:t xml:space="preserve"> The SHAP-LIME panel adds a second caution: a positive selector ablation for one architecture does not establish that its individual attributions are locally faithful or transportable.</w:t>
      </w:r>
    </w:p>
    <w:p w14:paraId="5BAA0922" w14:textId="74C0900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intrinsic LLM experiment addresses a related but distinct level of reliability. Bull/Bear role separation improved sentiment accuracy relative to equal-call and near-cost controls, supporting the possibility that structured argument diversity contributes information beyond repeated sampling alone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{"citationID":"ac0331fd","properties":{"unsorted":false,"formattedCitation":"(Du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Pr>
          <w:rFonts w:ascii="Times New Roman" w:eastAsia="Times New Roman" w:hAnsi="Times New Roman"/>
          <w:b/>
          <w:sz w:val="24"/>
          <w:szCs w:val="24"/>
          <w:cs/>
        </w:rPr>
        <w:fldChar w:fldCharType="separate"/>
      </w:r>
      <w:r w:rsidRPr="004B02B2">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4B02B2">
        <w:rPr>
          <w:rFonts w:ascii="Times New Roman" w:hAnsi="Times New Roman" w:cs="Times New Roman"/>
          <w:color w:val="000000"/>
          <w:sz w:val="24"/>
          <w:szCs w:val="24"/>
        </w:rPr>
        <w:t xml:space="preserve"> </w:t>
      </w:r>
      <w:r w:rsidR="0011168E">
        <w:rPr>
          <w:rFonts w:ascii="Times New Roman" w:hAnsi="Times New Roman" w:cs="Times New Roman"/>
          <w:color w:val="000000"/>
          <w:sz w:val="24"/>
          <w:szCs w:val="24"/>
        </w:rPr>
        <w:t>An authoritative Leader-derived downstream forecasting arm was not available on the locked common cohort.</w:t>
      </w:r>
      <w:r w:rsidRPr="004B02B2">
        <w:rPr>
          <w:rFonts w:ascii="Times New Roman" w:hAnsi="Times New Roman" w:cs="Times New Roman"/>
          <w:color w:val="000000"/>
          <w:sz w:val="24"/>
          <w:szCs w:val="24"/>
        </w:rPr>
        <w:t xml:space="preserve"> The defensible inference is therefore limited to intrinsic sentiment classification: better role-structured reasoning does not, by itself, demonstrate incremental next-day market predictability. Keeping those endpoints separate prevents an upstream benchmark gain from being misrepresented as a trading or forecasting gain.</w:t>
      </w:r>
    </w:p>
    <w:p w14:paraId="0D7D2528" w14:textId="3E9A807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inferential results further distinguish absence of conclusive evidence from evidence of no effect. Four outer years impose a minimum exact two-sided sign-flip p-value of 0.125, whereas Holm adjustment protects the registered family against selective emphasis. </w:t>
      </w:r>
      <w:proofErr w:type="gramStart"/>
      <w:r w:rsidRPr="004B02B2">
        <w:rPr>
          <w:rFonts w:ascii="Times New Roman" w:hAnsi="Times New Roman" w:cs="Times New Roman"/>
          <w:color w:val="000000"/>
          <w:sz w:val="24"/>
          <w:szCs w:val="24"/>
        </w:rPr>
        <w:t>Balanced accuracy,</w:t>
      </w:r>
      <w:proofErr w:type="gramEnd"/>
      <w:r w:rsidRPr="004B02B2">
        <w:rPr>
          <w:rFonts w:ascii="Times New Roman" w:hAnsi="Times New Roman" w:cs="Times New Roman"/>
          <w:color w:val="000000"/>
          <w:sz w:val="24"/>
          <w:szCs w:val="24"/>
        </w:rPr>
        <w:t xml:space="preserve"> shuffled and lagged controls, the partial-2026 stress test and frozen same-exchange transfer expose failure modes that raw accuracy or a single holdout would miss. This interpretation follows established cautions concerning class-sensitive evaluation, temporal cross-validation and </w:t>
      </w:r>
      <w:proofErr w:type="spellStart"/>
      <w:r w:rsidRPr="004B02B2">
        <w:rPr>
          <w:rFonts w:ascii="Times New Roman" w:hAnsi="Times New Roman" w:cs="Times New Roman"/>
          <w:color w:val="000000"/>
          <w:sz w:val="24"/>
          <w:szCs w:val="24"/>
        </w:rPr>
        <w:t>backtest</w:t>
      </w:r>
      <w:proofErr w:type="spellEnd"/>
      <w:r w:rsidRPr="004B02B2">
        <w:rPr>
          <w:rFonts w:ascii="Times New Roman" w:hAnsi="Times New Roman" w:cs="Times New Roman"/>
          <w:color w:val="000000"/>
          <w:sz w:val="24"/>
          <w:szCs w:val="24"/>
        </w:rPr>
        <w:t xml:space="preserve"> selection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{"citationID":"afa64926","properties":{"unsorted":false,"formattedCitation":"(Brodersen et al., 2010; Bergmeir et al., 2018; Arnott et al., 2019; Bailey \u0026 López de Prado, 2014)","plainCitation":"(Brodersen et al., 2010; Bergmeir et al., 2018; Arnott et al., 2019; Bailey \u0026 López de Prado, 2014)","noteIndex":0},"citationItems":[{"id":23,"uris":["http://zotero.org/users/local/DPQnJvcs/items/MEQTKLIC"],"itemData":{"id":23,"type":"paper-conference","container-title":"2010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Pr>
          <w:rFonts w:ascii="Times New Roman" w:eastAsia="Times New Roman" w:hAnsi="Times New Roman" w:cs="Times New Roman"/>
          <w:b/>
          <w:sz w:val="24"/>
          <w:szCs w:val="24"/>
        </w:rPr>
        <w:fldChar w:fldCharType="separate"/>
      </w:r>
      <w:r w:rsidRPr="004B02B2">
        <w:rPr>
          <w:rFonts w:ascii="Times New Roman" w:hAnsi="Times New Roman" w:cs="Times New Roman"/>
          <w:sz w:val="24"/>
        </w:rPr>
        <w:t>(Brodersen et al., 2010; Bergmeir et al., 2018; Arnott et al., 2019; Bailey &amp; López de Prado, 2014)</w:t>
      </w:r>
      <w:r>
        <w:rPr>
          <w:rFonts w:ascii="Times New Roman" w:eastAsia="Times New Roman" w:hAnsi="Times New Roman" w:cs="Times New Roman"/>
          <w:b/>
          <w:sz w:val="24"/>
          <w:szCs w:val="24"/>
        </w:rPr>
        <w:fldChar w:fldCharType="end"/>
      </w:r>
      <w:r w:rsidRPr="004B02B2">
        <w:rPr>
          <w:rFonts w:ascii="Times New Roman" w:hAnsi="Times New Roman" w:cs="Times New Roman"/>
          <w:color w:val="000000"/>
          <w:sz w:val="24"/>
          <w:szCs w:val="24"/>
        </w:rPr>
        <w:t xml:space="preserve"> The practical implication is that the framework is most useful as a reliability audit: it identifies which apparent gains remain plausible, which are architecture contingent and which require genuinely prospective confirmation before deployment claims are warranted.</w:t>
      </w:r>
    </w:p>
    <w:p w14:paraId="5C7901C7" w14:textId="517841B2" w:rsidR="00916F49"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lastRenderedPageBreak/>
        <w:t>6.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w:t>
      </w:r>
      <w:proofErr w:type="gramStart"/>
      <w:r w:rsidRPr="00916F49">
        <w:rPr>
          <w:rFonts w:ascii="Times New Roman" w:hAnsi="Times New Roman" w:cs="Times New Roman"/>
          <w:sz w:val="24"/>
          <w:szCs w:val="24"/>
        </w:rPr>
        <w:t>model</w:t>
      </w:r>
      <w:proofErr w:type="gramEnd"/>
      <w:r w:rsidRPr="00916F49">
        <w:rPr>
          <w:rFonts w:ascii="Times New Roman" w:hAnsi="Times New Roman" w:cs="Times New Roman"/>
          <w:sz w:val="24"/>
          <w:szCs w:val="24"/>
        </w:rPr>
        <w:t xml:space="preserve">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w:t>
      </w:r>
      <w:proofErr w:type="spellStart"/>
      <w:r w:rsidRPr="00916F49">
        <w:rPr>
          <w:rFonts w:ascii="Times New Roman" w:hAnsi="Times New Roman" w:cs="Times New Roman"/>
          <w:sz w:val="24"/>
          <w:szCs w:val="24"/>
        </w:rPr>
        <w:t>StockTBSA</w:t>
      </w:r>
      <w:proofErr w:type="spellEnd"/>
      <w:r w:rsidRPr="00916F49">
        <w:rPr>
          <w:rFonts w:ascii="Times New Roman" w:hAnsi="Times New Roman" w:cs="Times New Roman"/>
          <w:sz w:val="24"/>
          <w:szCs w:val="24"/>
        </w:rPr>
        <w:t xml:space="preserve"> is available from its public repository under the </w:t>
      </w:r>
      <w:proofErr w:type="spellStart"/>
      <w:r w:rsidRPr="00916F49">
        <w:rPr>
          <w:rFonts w:ascii="Times New Roman" w:hAnsi="Times New Roman" w:cs="Times New Roman"/>
          <w:sz w:val="24"/>
          <w:szCs w:val="24"/>
        </w:rPr>
        <w:t>licence</w:t>
      </w:r>
      <w:proofErr w:type="spellEnd"/>
      <w:r w:rsidRPr="00916F49">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8F5E" w14:textId="77777777" w:rsidR="00FB6C1A" w:rsidRDefault="00FB6C1A" w:rsidP="0021264C">
      <w:pPr>
        <w:spacing w:after="0" w:line="240" w:lineRule="auto"/>
      </w:pPr>
      <w:r>
        <w:separator/>
      </w:r>
    </w:p>
  </w:endnote>
  <w:endnote w:type="continuationSeparator" w:id="0">
    <w:p w14:paraId="0E952225" w14:textId="77777777" w:rsidR="00FB6C1A" w:rsidRDefault="00FB6C1A"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58B0" w14:textId="77777777" w:rsidR="00FB6C1A" w:rsidRDefault="00FB6C1A" w:rsidP="0021264C">
      <w:pPr>
        <w:spacing w:after="0" w:line="240" w:lineRule="auto"/>
      </w:pPr>
      <w:r>
        <w:separator/>
      </w:r>
    </w:p>
  </w:footnote>
  <w:footnote w:type="continuationSeparator" w:id="0">
    <w:p w14:paraId="3F16DAB9" w14:textId="77777777" w:rsidR="00FB6C1A" w:rsidRDefault="00FB6C1A"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68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545B"/>
    <w:rsid w:val="00207E38"/>
    <w:rsid w:val="0021264C"/>
    <w:rsid w:val="00215AA6"/>
    <w:rsid w:val="0021698D"/>
    <w:rsid w:val="00217891"/>
    <w:rsid w:val="002210B5"/>
    <w:rsid w:val="002214DA"/>
    <w:rsid w:val="00222348"/>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CFE"/>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1794"/>
    <w:rsid w:val="00342C57"/>
    <w:rsid w:val="003430C1"/>
    <w:rsid w:val="003445AE"/>
    <w:rsid w:val="0034462D"/>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660"/>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2B2"/>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76CC5"/>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6E6"/>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4FC1"/>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4095"/>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222"/>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A58"/>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27F"/>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C7F13"/>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6C1A"/>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32</Pages>
  <Words>21215</Words>
  <Characters>120931</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2026-08-17T14:19:00Z</dcterms:created>
  <dcterms:modified xsi:type="dcterms:W3CDTF">2026-08-18T11:57:00Z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