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5BD3C867"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710C26">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D0143A">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D0143A">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D0143A">
      <w:pPr>
        <w:pBdr>
          <w:top w:val="nil"/>
          <w:left w:val="nil"/>
          <w:bottom w:val="nil"/>
          <w:right w:val="nil"/>
          <w:between w:val="nil"/>
        </w:pBdr>
        <w:spacing w:before="120" w:after="200" w:line="24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D0143A">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D0143A">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D0143A">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D0143A">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D0143A">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D0143A">
      <w:pPr>
        <w:keepNext/>
        <w:spacing w:before="24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D0143A">
      <w:pPr>
        <w:keepNext/>
        <w:spacing w:before="200" w:after="8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D0143A">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the existence of a flexible mapping does not imply a stable signal. Market dynamics 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D0143A">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D0143A">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D0143A">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(Arnott et al., 2019; Olorunnimbe &amp; 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w:t>
      </w:r>
      <w:r w:rsidR="00483C69" w:rsidRPr="000829A5">
        <w:rPr>
          <w:rFonts w:ascii="Times New Roman" w:hAnsi="Times New Roman" w:cs="Times New Roman"/>
          <w:sz w:val="24"/>
          <w:szCs w:val="24"/>
        </w:rPr>
        <w:lastRenderedPageBreak/>
        <w:t xml:space="preserve">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D0143A">
      <w:pPr>
        <w:keepNext/>
        <w:spacing w:before="24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D0143A">
      <w:pPr>
        <w:keepNext/>
        <w:spacing w:before="12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39AB9A2E" wp14:editId="59D2EFF9">
            <wp:extent cx="3898900" cy="2703483"/>
            <wp:effectExtent l="0" t="0" r="6350" b="1905"/>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7917" cy="2709736"/>
                    </a:xfrm>
                    <a:prstGeom prst="rect">
                      <a:avLst/>
                    </a:prstGeom>
                    <a:noFill/>
                    <a:ln>
                      <a:noFill/>
                    </a:ln>
                  </pic:spPr>
                </pic:pic>
              </a:graphicData>
            </a:graphic>
          </wp:inline>
        </w:drawing>
      </w:r>
    </w:p>
    <w:p w14:paraId="78400C80" w14:textId="346138F0" w:rsidR="00916F49" w:rsidRPr="00916F49" w:rsidRDefault="00916F49" w:rsidP="00D0143A">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w:t>
      </w:r>
      <w:r w:rsidRPr="00916F49">
        <w:rPr>
          <w:rFonts w:ascii="Times New Roman" w:hAnsi="Times New Roman"/>
          <w:bCs/>
          <w:sz w:val="24"/>
          <w:szCs w:val="24"/>
        </w:rPr>
        <w:lastRenderedPageBreak/>
        <w:t>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119CA8E3" w14:textId="77777777" w:rsidR="004A3C24" w:rsidRPr="004A3C24" w:rsidRDefault="004A3C24" w:rsidP="004A3C24">
      <w:pPr>
        <w:keepNext/>
        <w:spacing w:before="120" w:after="0" w:line="240" w:lineRule="auto"/>
        <w:jc w:val="center"/>
        <w:rPr>
          <w:rFonts w:ascii="Times New Roman" w:hAnsi="Times New Roman" w:cs="Times New Roman"/>
          <w:b/>
          <w:bCs/>
          <w:sz w:val="24"/>
          <w:szCs w:val="24"/>
          <w:highlight w:val="yellow"/>
        </w:rPr>
      </w:pPr>
      <w:r w:rsidRPr="004A3C24">
        <w:rPr>
          <w:rFonts w:ascii="Times New Roman" w:hAnsi="Times New Roman" w:cs="Times New Roman"/>
          <w:b/>
          <w:bCs/>
          <w:sz w:val="24"/>
          <w:szCs w:val="24"/>
          <w:highlight w:val="yellow"/>
        </w:rPr>
        <w:t>[Insert Figure 2 here: news data and out-of-sample sentiment pipeline]</w:t>
      </w:r>
    </w:p>
    <w:p w14:paraId="79D440B8"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2.</w:t>
      </w:r>
      <w:r w:rsidRPr="004A3C24">
        <w:rPr>
          <w:rFonts w:ascii="Times New Roman" w:hAnsi="Times New Roman" w:cs="Times New Roman"/>
          <w:bCs/>
          <w:sz w:val="24"/>
          <w:szCs w:val="24"/>
        </w:rPr>
        <w:t xml:space="preserve">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2F8E3928"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6DB0FF4E" w14:textId="5EC3BE70"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use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77777777" w:rsidR="004A3C24" w:rsidRPr="004A3C24" w:rsidRDefault="004A3C24" w:rsidP="004A3C24">
      <w:pPr>
        <w:keepNext/>
        <w:spacing w:before="120" w:after="0" w:line="240" w:lineRule="auto"/>
        <w:jc w:val="center"/>
        <w:rPr>
          <w:rFonts w:ascii="Times New Roman" w:hAnsi="Times New Roman" w:cs="Times New Roman"/>
          <w:b/>
          <w:bCs/>
          <w:sz w:val="24"/>
          <w:szCs w:val="24"/>
          <w:highlight w:val="yellow"/>
        </w:rPr>
      </w:pPr>
      <w:r w:rsidRPr="004A3C24">
        <w:rPr>
          <w:rFonts w:ascii="Times New Roman" w:hAnsi="Times New Roman" w:cs="Times New Roman"/>
          <w:b/>
          <w:bCs/>
          <w:sz w:val="24"/>
          <w:szCs w:val="24"/>
          <w:highlight w:val="yellow"/>
        </w:rPr>
        <w:t>[Insert Figure 3 here: point-in-time expanding-window evaluation]</w:t>
      </w:r>
    </w:p>
    <w:p w14:paraId="1FF147D8"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expanding-window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5E4A6F89" w14:textId="77777777" w:rsidR="004A3C24" w:rsidRPr="004A3C24" w:rsidRDefault="004A3C24" w:rsidP="004A3C24">
      <w:pPr>
        <w:keepNext/>
        <w:spacing w:before="120" w:after="0" w:line="240" w:lineRule="auto"/>
        <w:jc w:val="center"/>
        <w:rPr>
          <w:rFonts w:ascii="Times New Roman" w:hAnsi="Times New Roman" w:cs="Times New Roman"/>
          <w:b/>
          <w:bCs/>
          <w:sz w:val="24"/>
          <w:szCs w:val="24"/>
          <w:highlight w:val="yellow"/>
        </w:rPr>
      </w:pPr>
      <w:r w:rsidRPr="004A3C24">
        <w:rPr>
          <w:rFonts w:ascii="Times New Roman" w:hAnsi="Times New Roman" w:cs="Times New Roman"/>
          <w:b/>
          <w:bCs/>
          <w:sz w:val="24"/>
          <w:szCs w:val="24"/>
          <w:highlight w:val="yellow"/>
        </w:rPr>
        <w:t>[Insert Table 1 here: frozen models, windows, seeds, outer folds and common SET50 cohort]</w:t>
      </w:r>
    </w:p>
    <w:p w14:paraId="6340A211"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p w14:paraId="12DDC31B" w14:textId="3A72DACC"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3.5 Neural architectures and training</w:t>
      </w:r>
    </w:p>
    <w:p w14:paraId="6D1B5E2D" w14:textId="25D68496"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Historical numerical, news and regime modules predict the next close and derive direction from predicted next close minus current close. The compact architectures were: LSTM, LSTM(16) followed by Dense(8, ReLU); CNN, causal Conv1D(32, kernel 3) followed by global-average pooling and Dense(8, ReLU); LSTM-CNN, sequence-output LSTM(16) followed by the causal convolution and pooling stack; LSTM-Attention, sequence-output LSTM(16) followed by causal two-head attention (key dimension 8), pooling and Dense(8, ReLU); and LSTM-CNN-Attention, LSTM followed by causal convolution, causal two-head attention, pooling and Dense(8, ReLU). Every architecture uses a linear output.</w:t>
      </w:r>
    </w:p>
    <w:p w14:paraId="00FE2F70" w14:textId="41965DD6"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77777777" w:rsidR="004A3C24" w:rsidRPr="004A3C24" w:rsidRDefault="004A3C24" w:rsidP="004A3C24">
      <w:pPr>
        <w:keepNext/>
        <w:spacing w:before="120" w:after="0" w:line="240" w:lineRule="auto"/>
        <w:jc w:val="center"/>
        <w:rPr>
          <w:rFonts w:ascii="Times New Roman" w:hAnsi="Times New Roman" w:cs="Times New Roman"/>
          <w:b/>
          <w:bCs/>
          <w:sz w:val="24"/>
          <w:szCs w:val="24"/>
          <w:highlight w:val="yellow"/>
        </w:rPr>
      </w:pPr>
      <w:r w:rsidRPr="004A3C24">
        <w:rPr>
          <w:rFonts w:ascii="Times New Roman" w:hAnsi="Times New Roman" w:cs="Times New Roman"/>
          <w:b/>
          <w:bCs/>
          <w:sz w:val="24"/>
          <w:szCs w:val="24"/>
          <w:highlight w:val="yellow"/>
        </w:rPr>
        <w:t>[Insert Figure 4 here: VMD and registered neural architectures]</w:t>
      </w:r>
    </w:p>
    <w:p w14:paraId="022C2D7A"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w:t>
      </w:r>
      <w:r w:rsidRPr="00916F49">
        <w:rPr>
          <w:rFonts w:ascii="Times New Roman" w:hAnsi="Times New Roman"/>
          <w:bCs/>
          <w:sz w:val="24"/>
          <w:szCs w:val="24"/>
        </w:rPr>
        <w:lastRenderedPageBreak/>
        <w:t>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article and the two Leader contrasts were Holm-adjusted.</w:t>
      </w:r>
    </w:p>
    <w:p w14:paraId="73F1535D" w14:textId="73D9461B"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r w:rsidR="004A3C24" w:rsidRPr="004A3C24">
        <w:rPr>
          <w:rFonts w:ascii="Times New Roman" w:hAnsi="Times New Roman" w:cs="Times New Roman"/>
          <w:bCs/>
          <w:sz w:val="24"/>
          <w:szCs w:val="24"/>
        </w:rPr>
        <w:t xml:space="preserve"> Figure 5 shows the paired forecasting routes, Bull/Bear/Leader process and associated falsification controls.</w:t>
      </w:r>
    </w:p>
    <w:p w14:paraId="115DC18F" w14:textId="77777777" w:rsidR="004A3C24" w:rsidRPr="004A3C24" w:rsidRDefault="004A3C24" w:rsidP="004A3C24">
      <w:pPr>
        <w:keepNext/>
        <w:spacing w:before="120" w:after="0" w:line="240" w:lineRule="auto"/>
        <w:jc w:val="center"/>
        <w:rPr>
          <w:rFonts w:ascii="Times New Roman" w:hAnsi="Times New Roman" w:cs="Times New Roman"/>
          <w:b/>
          <w:bCs/>
          <w:sz w:val="24"/>
          <w:szCs w:val="24"/>
          <w:highlight w:val="yellow"/>
        </w:rPr>
      </w:pPr>
      <w:r w:rsidRPr="004A3C24">
        <w:rPr>
          <w:rFonts w:ascii="Times New Roman" w:hAnsi="Times New Roman" w:cs="Times New Roman"/>
          <w:b/>
          <w:bCs/>
          <w:sz w:val="24"/>
          <w:szCs w:val="24"/>
          <w:highlight w:val="yellow"/>
        </w:rPr>
        <w:t>[Insert Figure 5 here: multimodal debate and falsification pipeline]</w:t>
      </w:r>
    </w:p>
    <w:p w14:paraId="1E48F48C"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5.</w:t>
      </w:r>
      <w:r w:rsidRPr="004A3C24">
        <w:rPr>
          <w:rFonts w:ascii="Times New Roman" w:hAnsi="Times New Roman" w:cs="Times New Roman"/>
          <w:bCs/>
          <w:sz w:val="24"/>
          <w:szCs w:val="24"/>
        </w:rPr>
        <w:t xml:space="preserve"> Multimodal forecasting and role-structured sentiment audit. The five registered models produce paired forecasts with and without point-in-time sentiment. Financial news is filtered for SET50 relevance before Bull and Bear workers provide arguments to a Leader. Forecasting falsification arms and compute-matched sentiment controls are retained as separate audit components.</w:t>
      </w:r>
    </w:p>
    <w:p w14:paraId="2C445A47" w14:textId="5EF5FF1D"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3.7 Causal market regimes and SHAP selection</w:t>
      </w:r>
    </w:p>
    <w:p w14:paraId="5A045FF5" w14:textId="24A779C2"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7647B77D" w14:textId="7C332A48"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6FDA5FBF"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0E6EBAE7" w14:textId="77777777" w:rsidR="004A3C24" w:rsidRPr="004A3C24" w:rsidRDefault="004A3C24" w:rsidP="004A3C24">
      <w:pPr>
        <w:keepNext/>
        <w:spacing w:before="120" w:after="0" w:line="240" w:lineRule="auto"/>
        <w:jc w:val="center"/>
        <w:rPr>
          <w:rFonts w:ascii="Times New Roman" w:eastAsia="Times New Roman" w:hAnsi="Times New Roman" w:cs="Times New Roman"/>
          <w:b/>
          <w:sz w:val="24"/>
          <w:szCs w:val="24"/>
          <w:highlight w:val="yellow"/>
        </w:rPr>
      </w:pPr>
      <w:bookmarkStart w:id="0" w:name="_Hlk127275562"/>
      <w:r w:rsidRPr="004A3C24">
        <w:rPr>
          <w:rFonts w:ascii="Times New Roman" w:eastAsia="Times New Roman" w:hAnsi="Times New Roman" w:cs="Times New Roman"/>
          <w:b/>
          <w:sz w:val="24"/>
          <w:szCs w:val="24"/>
          <w:highlight w:val="yellow"/>
        </w:rPr>
        <w:t>[Insert Figure 6 here: regime-aware SHAP selection and inference]</w:t>
      </w:r>
    </w:p>
    <w:p w14:paraId="2E326F14" w14:textId="77777777" w:rsidR="004A3C24" w:rsidRPr="004A3C24" w:rsidRDefault="004A3C24" w:rsidP="004A3C24">
      <w:pPr>
        <w:keepNext/>
        <w:spacing w:before="80" w:after="0" w:line="240" w:lineRule="auto"/>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5F2F21D9" w:rsidR="00F06F20" w:rsidRPr="00F06F20" w:rsidRDefault="00D0143A" w:rsidP="00D0143A">
      <w:pPr>
        <w:keepNext/>
        <w:spacing w:before="240" w:line="240" w:lineRule="auto"/>
        <w:rPr>
          <w:rFonts w:ascii="Times New Roman" w:hAnsi="Times New Roman" w:cs="Times New Roman"/>
          <w:b/>
          <w:bCs/>
          <w:sz w:val="24"/>
          <w:szCs w:val="24"/>
        </w:rPr>
      </w:pPr>
      <w:r w:rsidRPr="00D0143A">
        <w:rPr>
          <w:rFonts w:ascii="Times New Roman" w:eastAsia="Times New Roman" w:hAnsi="Times New Roman" w:cs="Times New Roman"/>
          <w:b/>
          <w:sz w:val="24"/>
          <w:szCs w:val="24"/>
        </w:rPr>
        <w:t>4. Results and Discussion</w:t>
      </w:r>
    </w:p>
    <w:p w14:paraId="071F7BC5" w14:textId="77777777" w:rsidR="00FC4CF6" w:rsidRDefault="00F06F20" w:rsidP="00D0143A">
      <w:pPr>
        <w:keepNext/>
        <w:spacing w:before="200" w:after="80" w:line="24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2F0E521" w14:textId="1B9DA49B" w:rsidR="004B07BD"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t>[Insert Table 2 here: corrected point-in-time numerical ablation, 2022-2025]</w:t>
      </w:r>
    </w:p>
    <w:p w14:paraId="3A8D3EB1" w14:textId="77777777" w:rsidR="004A3C24" w:rsidRPr="004A3C24" w:rsidRDefault="004A3C24" w:rsidP="004A3C24">
      <w:pPr>
        <w:spacing w:before="80" w:after="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p w14:paraId="34A2CFD0" w14:textId="09C08A7B" w:rsidR="004B07BD" w:rsidRDefault="006D6F65" w:rsidP="00D0143A">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D0143A">
      <w:pPr>
        <w:keepNext/>
        <w:spacing w:before="200" w:after="80" w:line="24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 xml:space="preserve">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w:t>
      </w:r>
      <w:r w:rsidRPr="000829A5">
        <w:rPr>
          <w:rFonts w:ascii="Times New Roman" w:hAnsi="Times New Roman" w:cs="Times New Roman"/>
          <w:sz w:val="24"/>
          <w:szCs w:val="24"/>
        </w:rPr>
        <w:lastRenderedPageBreak/>
        <w:t>registered exact fold-level families, zero of 30 primary balanced-accuracy contrasts survived Holm correction</w:t>
      </w:r>
      <w:r>
        <w:rPr>
          <w:rFonts w:ascii="Times New Roman" w:hAnsi="Times New Roman"/>
          <w:b/>
          <w:bCs/>
          <w:sz w:val="24"/>
          <w:szCs w:val="24"/>
        </w:rPr>
        <w:t>.</w:t>
      </w:r>
    </w:p>
    <w:p w14:paraId="7F3981F7" w14:textId="4F94240C" w:rsidR="00A76394"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t>[Insert Table 3A here: observed-news moving-block sensitivity]</w:t>
      </w:r>
    </w:p>
    <w:p w14:paraId="51D8093C" w14:textId="77777777" w:rsidR="004A3C24" w:rsidRPr="004A3C24" w:rsidRDefault="004A3C24" w:rsidP="004A3C24">
      <w:pPr>
        <w:pStyle w:val="BodyText"/>
        <w:spacing w:before="80" w:after="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p w14:paraId="1FAC1C8D" w14:textId="0137B99A" w:rsidR="0038564F" w:rsidRPr="000829A5" w:rsidRDefault="0038564F" w:rsidP="00D0143A">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4377D0" w:rsidRPr="00D0143A">
        <w:rPr>
          <w:rFonts w:ascii="Times New Roman" w:hAnsi="Times New Roman"/>
          <w:b/>
          <w:bCs/>
          <w:sz w:val="24"/>
          <w:szCs w:val="24"/>
        </w:rPr>
        <w:t>3</w:t>
      </w:r>
      <w:r w:rsidRPr="00D0143A">
        <w:rPr>
          <w:rFonts w:ascii="Times New Roman" w:hAnsi="Times New Roman"/>
          <w:b/>
          <w:bCs/>
          <w:sz w:val="24"/>
          <w:szCs w:val="24"/>
        </w:rPr>
        <w:t xml:space="preserve"> </w:t>
      </w:r>
      <w:r w:rsidR="004377D0" w:rsidRPr="00D0143A">
        <w:rPr>
          <w:rFonts w:ascii="Times New Roman" w:hAnsi="Times New Roman" w:cs="Times New Roman"/>
          <w:b/>
          <w:bCs/>
          <w:sz w:val="24"/>
          <w:szCs w:val="24"/>
        </w:rPr>
        <w:t>The LLM role system improved intrinsic sentiment and was extended to SET50 forecasting</w:t>
      </w:r>
    </w:p>
    <w:p w14:paraId="664D19AE" w14:textId="1F109E6E" w:rsidR="004377D0" w:rsidRDefault="004B185E"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1C15B9D" w14:textId="27624071" w:rsidR="008B5EB3"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t>[Insert Table 3B here: locked 2023 intrinsic LLM benchmark]</w:t>
      </w:r>
    </w:p>
    <w:p w14:paraId="113DFC3E" w14:textId="77777777" w:rsidR="004A3C24" w:rsidRPr="004A3C24" w:rsidRDefault="004A3C24" w:rsidP="004A3C24">
      <w:pPr>
        <w:spacing w:before="80" w:after="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article and the two Leader contrasts are Holm-adjusted.</w:t>
      </w:r>
    </w:p>
    <w:p w14:paraId="1EADCA96" w14:textId="7F4EE898" w:rsidR="00B72DF8" w:rsidRDefault="008B5EB3" w:rsidP="00D0143A">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081E6089" w14:textId="77777777" w:rsidR="004A3C24" w:rsidRPr="004A3C24" w:rsidRDefault="004A3C24" w:rsidP="004A3C24">
      <w:pPr>
        <w:keepNext/>
        <w:spacing w:before="120" w:after="0" w:line="240" w:lineRule="auto"/>
        <w:jc w:val="center"/>
        <w:rPr>
          <w:rFonts w:ascii="Times New Roman" w:hAnsi="Times New Roman" w:cs="Times New Roman"/>
          <w:b/>
          <w:sz w:val="24"/>
          <w:szCs w:val="24"/>
          <w:highlight w:val="yellow"/>
        </w:rPr>
      </w:pPr>
      <w:r w:rsidRPr="004A3C24">
        <w:rPr>
          <w:rFonts w:ascii="Times New Roman" w:hAnsi="Times New Roman" w:cs="Times New Roman"/>
          <w:b/>
          <w:sz w:val="24"/>
          <w:szCs w:val="24"/>
          <w:highlight w:val="yellow"/>
        </w:rPr>
        <w:t>[Insert Table 3C here: common-cohort Market-Only, Local-NLP and Leader-derived forecasting comparison]</w:t>
      </w:r>
    </w:p>
    <w:p w14:paraId="6EE97B4E" w14:textId="77777777" w:rsidR="004A3C24" w:rsidRPr="004A3C24" w:rsidRDefault="004A3C24" w:rsidP="004A3C24">
      <w:pPr>
        <w:spacing w:before="80" w:after="0" w:line="240" w:lineRule="auto"/>
        <w:rPr>
          <w:rFonts w:ascii="Times New Roman" w:hAnsi="Times New Roman" w:cs="Times New Roman"/>
          <w:sz w:val="24"/>
          <w:szCs w:val="24"/>
        </w:rPr>
      </w:pPr>
      <w:r w:rsidRPr="004A3C24">
        <w:rPr>
          <w:rFonts w:ascii="Times New Roman" w:hAnsi="Times New Roman" w:cs="Times New Roman"/>
          <w:b/>
          <w:sz w:val="24"/>
          <w:szCs w:val="24"/>
        </w:rPr>
        <w:t>Table 3C.</w:t>
      </w:r>
      <w:r w:rsidRPr="004A3C24">
        <w:rPr>
          <w:rFonts w:ascii="Times New Roman" w:hAnsi="Times New Roman" w:cs="Times New Roman"/>
          <w:sz w:val="24"/>
          <w:szCs w:val="24"/>
        </w:rPr>
        <w:t xml:space="preserve"> Common-cohort downstream SET50 forecasting comparison of Market-Only, Local-NLP and Leader-derived sentiment arms. The final table must use identical overlapping dates, architectures, frozen windows, seeds, training budgets and targets and report coverage, failures, runtime, token cost and paired uncertainty.</w:t>
      </w:r>
    </w:p>
    <w:p w14:paraId="413757C6" w14:textId="52284B9C" w:rsidR="000031F2" w:rsidRDefault="00743CA6"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w:t>
      </w:r>
      <w:r w:rsidRPr="000829A5">
        <w:rPr>
          <w:rFonts w:ascii="Times New Roman" w:hAnsi="Times New Roman" w:cs="Times New Roman"/>
          <w:sz w:val="24"/>
          <w:szCs w:val="24"/>
        </w:rPr>
        <w:lastRenderedPageBreak/>
        <w:t>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4A3C24">
      <w:pPr>
        <w:keepNext/>
        <w:spacing w:after="0"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7438F06F" w14:textId="01D137C5" w:rsidR="0076753D"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t>[Insert Table 4 here: primary regime-specific SHAP reduction contrast]</w:t>
      </w:r>
    </w:p>
    <w:p w14:paraId="4F9D1F7C" w14:textId="77777777" w:rsidR="004A3C24" w:rsidRPr="004A3C24" w:rsidRDefault="004A3C24" w:rsidP="004A3C24">
      <w:pPr>
        <w:pStyle w:val="BodyText"/>
        <w:spacing w:before="80" w:after="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p w14:paraId="7592422B" w14:textId="2AF68D72" w:rsidR="0011346A" w:rsidRPr="000829A5" w:rsidRDefault="0011346A" w:rsidP="00D0143A">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w:t>
      </w:r>
      <w:r w:rsidRPr="000829A5">
        <w:rPr>
          <w:rFonts w:ascii="Times New Roman" w:hAnsi="Times New Roman" w:cs="Times New Roman"/>
          <w:sz w:val="24"/>
          <w:szCs w:val="24"/>
        </w:rPr>
        <w:lastRenderedPageBreak/>
        <w:t>MCC was zero. These cells predicted only the majority side. The apparent accuracy was therefore not directional discrimination</w:t>
      </w:r>
      <w:r>
        <w:rPr>
          <w:rFonts w:ascii="Times New Roman" w:hAnsi="Times New Roman" w:cs="Times New Roman"/>
          <w:b/>
          <w:bCs/>
          <w:sz w:val="24"/>
          <w:szCs w:val="24"/>
        </w:rPr>
        <w:t>.</w:t>
      </w:r>
    </w:p>
    <w:p w14:paraId="0490935C" w14:textId="4641BFB4" w:rsidR="00E62A18"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t>[Insert Table 5A here: partial-2026 forward robustness]</w:t>
      </w:r>
    </w:p>
    <w:p w14:paraId="41DB6121" w14:textId="77777777" w:rsidR="004A3C24" w:rsidRPr="004A3C24" w:rsidRDefault="004A3C24" w:rsidP="004A3C24">
      <w:pPr>
        <w:pStyle w:val="BodyText"/>
        <w:spacing w:before="80" w:after="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p w14:paraId="56AA2855" w14:textId="13F1E498" w:rsidR="00511544" w:rsidRPr="000829A5" w:rsidRDefault="00511544" w:rsidP="00D0143A">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2583C6CB" w14:textId="6D84E8EF"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6374154D" w14:textId="1C9681BD" w:rsidR="00124AA7"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lastRenderedPageBreak/>
        <w:t>[Insert Table 5B here: SET100 same-exchange numerical transfer]</w:t>
      </w:r>
    </w:p>
    <w:p w14:paraId="5ED820CA" w14:textId="77777777" w:rsidR="004A3C24" w:rsidRPr="004A3C24" w:rsidRDefault="004A3C24" w:rsidP="004A3C24">
      <w:pPr>
        <w:spacing w:before="80" w:after="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retuning.</w:t>
      </w:r>
    </w:p>
    <w:p w14:paraId="67DF22DB" w14:textId="54FBE6F5" w:rsidR="00124AA7" w:rsidRDefault="003A1CB3" w:rsidP="00D0143A">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68444A3" w14:textId="77777777" w:rsidR="004A3C24" w:rsidRPr="004A3C24" w:rsidRDefault="004A3C24" w:rsidP="004A3C24">
      <w:pPr>
        <w:keepNext/>
        <w:spacing w:after="0"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Figure 7 compares architecture-wise effects and uncertainty across the completed audit pillars.</w:t>
      </w:r>
    </w:p>
    <w:p w14:paraId="5001CE7E" w14:textId="6A46BB17" w:rsidR="003A1CB3" w:rsidRPr="004A3C24" w:rsidRDefault="004A3C24" w:rsidP="004A3C24">
      <w:pPr>
        <w:keepNext/>
        <w:spacing w:before="120" w:after="0" w:line="240" w:lineRule="auto"/>
        <w:jc w:val="center"/>
        <w:rPr>
          <w:rFonts w:ascii="Times New Roman" w:hAnsi="Times New Roman" w:cs="Times New Roman"/>
          <w:b/>
          <w:bCs/>
          <w:sz w:val="24"/>
          <w:szCs w:val="24"/>
        </w:rPr>
      </w:pPr>
      <w:r w:rsidRPr="004A3C24">
        <w:rPr>
          <w:rFonts w:ascii="Times New Roman" w:hAnsi="Times New Roman" w:cs="Times New Roman"/>
          <w:b/>
          <w:bCs/>
          <w:sz w:val="24"/>
          <w:szCs w:val="24"/>
          <w:highlight w:val="yellow"/>
        </w:rPr>
        <w:t>[Insert Figure 7 here: architecture-wise effects across audit pillars]</w:t>
      </w:r>
    </w:p>
    <w:p w14:paraId="1E5EC56B" w14:textId="33BAB3B2" w:rsidR="0085069D" w:rsidRPr="004A3C24" w:rsidRDefault="004A3C24" w:rsidP="004A3C24">
      <w:pPr>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7.</w:t>
      </w:r>
      <w:r w:rsidRPr="004A3C24">
        <w:rPr>
          <w:rFonts w:ascii="Times New Roman" w:hAnsi="Times New Roman" w:cs="Times New Roman"/>
          <w:bCs/>
          <w:sz w:val="24"/>
          <w:szCs w:val="24"/>
        </w:rPr>
        <w:t xml:space="preserve"> Architecture-wise effects and uncertainty across audit pillars.</w:t>
      </w:r>
      <w:r w:rsidR="0085069D" w:rsidRPr="004A3C24">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sidR="0085069D" w:rsidRPr="004A3C24">
        <w:rPr>
          <w:rFonts w:ascii="Times New Roman" w:hAnsi="Times New Roman" w:cs="Times New Roman"/>
          <w:bCs/>
          <w:sz w:val="24"/>
          <w:szCs w:val="24"/>
        </w:rPr>
        <w:t>.</w:t>
      </w:r>
    </w:p>
    <w:p w14:paraId="5C7901C7" w14:textId="65A7D4DD" w:rsidR="00916F49" w:rsidRPr="00916F49" w:rsidRDefault="00D0143A"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5. Conclusion</w:t>
      </w:r>
    </w:p>
    <w:p w14:paraId="7C095222" w14:textId="31669931" w:rsidR="00916F49" w:rsidRPr="00916F49" w:rsidRDefault="00916F49" w:rsidP="0024759C">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24759C">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lastRenderedPageBreak/>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Acknowledgements</w:t>
      </w:r>
    </w:p>
    <w:p w14:paraId="0C66AB58"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1B5519">
      <w:pPr>
        <w:pStyle w:val="Bibliography"/>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D0143A">
      <w:pPr>
        <w:keepNext/>
        <w:spacing w:before="240" w:line="240" w:lineRule="auto"/>
        <w:rPr>
          <w:rFonts w:ascii="Times New Roman" w:hAnsi="Times New Roman" w:cs="Times New Roman"/>
          <w:b/>
          <w:sz w:val="24"/>
          <w:szCs w:val="24"/>
        </w:rPr>
      </w:pPr>
      <w:r w:rsidRPr="0024759C">
        <w:rPr>
          <w:rFonts w:ascii="Times New Roman" w:hAnsi="Times New Roman" w:cs="Times New Roman"/>
          <w:b/>
          <w:sz w:val="24"/>
          <w:szCs w:val="24"/>
        </w:rPr>
        <w:lastRenderedPageBreak/>
        <w:fldChar w:fldCharType="end"/>
      </w:r>
    </w:p>
    <w:sectPr w:rsidR="00100CEA" w:rsidRPr="0024759C" w:rsidSect="008F1467">
      <w:headerReference w:type="default" r:id="rId12"/>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B1377" w14:textId="77777777" w:rsidR="00A435ED" w:rsidRDefault="00A435ED" w:rsidP="0021264C">
      <w:pPr>
        <w:spacing w:after="0" w:line="240" w:lineRule="auto"/>
      </w:pPr>
      <w:r>
        <w:separator/>
      </w:r>
    </w:p>
  </w:endnote>
  <w:endnote w:type="continuationSeparator" w:id="0">
    <w:p w14:paraId="3E0F89DC" w14:textId="77777777" w:rsidR="00A435ED" w:rsidRDefault="00A435ED"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26F6" w14:textId="77777777" w:rsidR="00A435ED" w:rsidRDefault="00A435ED" w:rsidP="0021264C">
      <w:pPr>
        <w:spacing w:after="0" w:line="240" w:lineRule="auto"/>
      </w:pPr>
      <w:r>
        <w:separator/>
      </w:r>
    </w:p>
  </w:footnote>
  <w:footnote w:type="continuationSeparator" w:id="0">
    <w:p w14:paraId="75D7D7B1" w14:textId="77777777" w:rsidR="00A435ED" w:rsidRDefault="00A435ED"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7EDE"/>
    <w:rsid w:val="000A05D2"/>
    <w:rsid w:val="000A07D0"/>
    <w:rsid w:val="000A16A6"/>
    <w:rsid w:val="000A17E2"/>
    <w:rsid w:val="000A30A1"/>
    <w:rsid w:val="000A3DC1"/>
    <w:rsid w:val="000A4D7E"/>
    <w:rsid w:val="000A5C5D"/>
    <w:rsid w:val="000B0E10"/>
    <w:rsid w:val="000B166F"/>
    <w:rsid w:val="000B323C"/>
    <w:rsid w:val="000B3580"/>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13660</Words>
  <Characters>77868</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2</cp:revision>
  <cp:lastPrinted>2026-08-13T14:35:00Z</cp:lastPrinted>
  <dcterms:created xsi:type="dcterms:W3CDTF">2026-08-13T18:05:00Z</dcterms:created>
  <dcterms:modified xsi:type="dcterms:W3CDTF">2026-08-13T18:05:00Z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