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9DC87" w14:textId="77777777" w:rsidR="00F14584" w:rsidRPr="000829A5" w:rsidRDefault="00000000">
      <w:pPr>
        <w:pStyle w:val="Title"/>
        <w:rPr>
          <w:rFonts w:ascii="Times New Roman" w:hAnsi="Times New Roman" w:cs="Times New Roman"/>
          <w:sz w:val="24"/>
          <w:szCs w:val="24"/>
        </w:rPr>
      </w:pPr>
      <w:r w:rsidRPr="000829A5">
        <w:rPr>
          <w:rFonts w:ascii="Times New Roman" w:hAnsi="Times New Roman" w:cs="Times New Roman"/>
          <w:sz w:val="24"/>
          <w:szCs w:val="24"/>
        </w:rPr>
        <w:t>A Point-in-Time Reliability Audit of Multimodal and Regime-Aware Deep Learning for Next-Day SET Index Direction Forecasting</w:t>
      </w:r>
    </w:p>
    <w:p w14:paraId="679E2DC3" w14:textId="77777777" w:rsidR="00F14584" w:rsidRPr="000829A5" w:rsidRDefault="00000000">
      <w:pPr>
        <w:pStyle w:val="Author"/>
        <w:rPr>
          <w:rFonts w:ascii="Times New Roman" w:hAnsi="Times New Roman" w:cs="Times New Roman"/>
        </w:rPr>
      </w:pPr>
      <w:r w:rsidRPr="000829A5">
        <w:rPr>
          <w:rFonts w:ascii="Times New Roman" w:hAnsi="Times New Roman" w:cs="Times New Roman"/>
        </w:rPr>
        <w:t>[Author name(s) to be inserted]</w:t>
      </w:r>
    </w:p>
    <w:p w14:paraId="3A4E8275" w14:textId="77777777" w:rsidR="00F14584" w:rsidRPr="000829A5" w:rsidRDefault="00000000">
      <w:pPr>
        <w:pStyle w:val="Date"/>
        <w:rPr>
          <w:rFonts w:ascii="Times New Roman" w:hAnsi="Times New Roman" w:cs="Times New Roman"/>
        </w:rPr>
      </w:pPr>
      <w:r w:rsidRPr="000829A5">
        <w:rPr>
          <w:rFonts w:ascii="Times New Roman" w:hAnsi="Times New Roman" w:cs="Times New Roman"/>
        </w:rPr>
        <w:t>Draft version 1 — 11 August 2026</w:t>
      </w:r>
    </w:p>
    <w:p w14:paraId="70EF9C91" w14:textId="77777777" w:rsidR="00F14584" w:rsidRPr="000829A5" w:rsidRDefault="00000000">
      <w:pPr>
        <w:pStyle w:val="BlockText"/>
        <w:rPr>
          <w:rFonts w:ascii="Times New Roman" w:hAnsi="Times New Roman" w:cs="Times New Roman"/>
        </w:rPr>
      </w:pPr>
      <w:r w:rsidRPr="000829A5">
        <w:rPr>
          <w:rFonts w:ascii="Times New Roman" w:hAnsi="Times New Roman" w:cs="Times New Roman"/>
          <w:b/>
          <w:bCs/>
        </w:rPr>
        <w:t>Draft-control note — remove before submission.</w:t>
      </w:r>
      <w:r w:rsidRPr="000829A5">
        <w:rPr>
          <w:rFonts w:ascii="Times New Roman" w:hAnsi="Times New Roman" w:cs="Times New Roman"/>
        </w:rPr>
        <w:t xml:space="preserve"> This manuscript reports the completed, frozen five-architecture audit. A proposed “</w:t>
      </w:r>
      <w:proofErr w:type="gramStart"/>
      <w:r w:rsidRPr="000829A5">
        <w:rPr>
          <w:rFonts w:ascii="Times New Roman" w:hAnsi="Times New Roman" w:cs="Times New Roman"/>
        </w:rPr>
        <w:t>Ours</w:t>
      </w:r>
      <w:proofErr w:type="gramEnd"/>
      <w:r w:rsidRPr="000829A5">
        <w:rPr>
          <w:rFonts w:ascii="Times New Roman" w:hAnsi="Times New Roman" w:cs="Times New Roman"/>
        </w:rPr>
        <w:t xml:space="preserve">” architecture is intentionally absent. It should be added only after its design is frozen and an untouched evaluation is completed; the results below must not be changed or retrospectively </w:t>
      </w:r>
      <w:proofErr w:type="gramStart"/>
      <w:r w:rsidRPr="000829A5">
        <w:rPr>
          <w:rFonts w:ascii="Times New Roman" w:hAnsi="Times New Roman" w:cs="Times New Roman"/>
        </w:rPr>
        <w:t>relabelled</w:t>
      </w:r>
      <w:proofErr w:type="gramEnd"/>
      <w:r w:rsidRPr="000829A5">
        <w:rPr>
          <w:rFonts w:ascii="Times New Roman" w:hAnsi="Times New Roman" w:cs="Times New Roman"/>
        </w:rPr>
        <w:t xml:space="preserve"> to accommodate it. The author-reported downstream Bull/Bear/Leader extension is now included in the design, but its quantitative fields remain marked pending until the corresponding result artifact is imported and reconciled.</w:t>
      </w:r>
    </w:p>
    <w:p w14:paraId="33564D41" w14:textId="77777777" w:rsidR="00F14584" w:rsidRPr="000829A5" w:rsidRDefault="00000000">
      <w:pPr>
        <w:pStyle w:val="Heading1"/>
        <w:rPr>
          <w:rFonts w:ascii="Times New Roman" w:hAnsi="Times New Roman" w:cs="Times New Roman"/>
          <w:sz w:val="24"/>
          <w:szCs w:val="24"/>
        </w:rPr>
      </w:pPr>
      <w:bookmarkStart w:id="0" w:name="abstract"/>
      <w:r w:rsidRPr="000829A5">
        <w:rPr>
          <w:rFonts w:ascii="Times New Roman" w:hAnsi="Times New Roman" w:cs="Times New Roman"/>
          <w:sz w:val="24"/>
          <w:szCs w:val="24"/>
        </w:rPr>
        <w:t>Abstract</w:t>
      </w:r>
    </w:p>
    <w:p w14:paraId="10DE83B8" w14:textId="77777777" w:rsidR="00F14584" w:rsidRPr="000829A5" w:rsidRDefault="00000000">
      <w:pPr>
        <w:pStyle w:val="FirstParagraph"/>
        <w:rPr>
          <w:rFonts w:ascii="Times New Roman" w:hAnsi="Times New Roman" w:cs="Times New Roman"/>
        </w:rPr>
      </w:pPr>
      <w:r w:rsidRPr="000829A5">
        <w:rPr>
          <w:rFonts w:ascii="Times New Roman" w:hAnsi="Times New Roman" w:cs="Times New Roman"/>
        </w:rPr>
        <w:t xml:space="preserve">Market-direction studies often emphasize the best-performing configuration, although apparent gains may depend on temporal leakage, repeated model selection, market regime, class imbalance, or additional inference budget. We conduct a point-in-time reliability audit of numerical denoising, predicted financial-news sentiment, role-structured large-language-model (LLM) inference, regime-aware feature selection, and neural complexity. The study uses daily SET50 price-index data from 2012–2025, expanding pre-2022 model selection, four outer test years (2022–2025; 962 sessions), five fixed seeds, and five architectures: LSTM, CNN, LSTM–CNN, LSTM–Attention, and LSTM–CNN–Attention. Labels are purged by observation date, transformations are fitted on training data only, and balanced accuracy is the primary endpoint. Causal rolling variational mode decomposition changed balanced accuracy by −0.60 to +0.35 percentage points across architectures, with no conclusive effect. Predicted news produced no multiplicity-adjusted gain over market-only and falsification controls. In a locked 2023 sentiment benchmark, a Bull/Bear/Leader LLM system exceeded equal-call and near-cost self-consistency controls by 5.93 and 6.00 points, respectively, but remained below a local character TF–IDF classifier. Regime-specific SHAP selection improved CNN by 1.46 points but produced mixed or negative effects elsewhere, without Holm-adjusted significance. A partial-2026 stress test revealed one-sided prediction collapse for several objectives, and frozen SET100 transfer reduced mean balanced accuracy for all five models. These results show that plausible enhancements can improve individual configurations without yielding reliable, generalizable superiority across </w:t>
      </w:r>
      <w:proofErr w:type="gramStart"/>
      <w:r w:rsidRPr="000829A5">
        <w:rPr>
          <w:rFonts w:ascii="Times New Roman" w:hAnsi="Times New Roman" w:cs="Times New Roman"/>
        </w:rPr>
        <w:t>architectures</w:t>
      </w:r>
      <w:proofErr w:type="gramEnd"/>
      <w:r w:rsidRPr="000829A5">
        <w:rPr>
          <w:rFonts w:ascii="Times New Roman" w:hAnsi="Times New Roman" w:cs="Times New Roman"/>
        </w:rPr>
        <w:t>, periods, and robustness checks.</w:t>
      </w:r>
    </w:p>
    <w:p w14:paraId="436FD9CC"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b/>
          <w:bCs/>
        </w:rPr>
        <w:t>Keywords:</w:t>
      </w:r>
      <w:r w:rsidRPr="000829A5">
        <w:rPr>
          <w:rFonts w:ascii="Times New Roman" w:hAnsi="Times New Roman" w:cs="Times New Roman"/>
        </w:rPr>
        <w:t xml:space="preserve"> point-in-time evaluation; stock-market direction; SET50; balanced accuracy; multimodal learning; financial sentiment; variational mode decomposition; market regime; SHAP; reliability audit</w:t>
      </w:r>
    </w:p>
    <w:p w14:paraId="35034A8A" w14:textId="77777777" w:rsidR="00F14584" w:rsidRPr="000829A5" w:rsidRDefault="00000000">
      <w:pPr>
        <w:pStyle w:val="Heading1"/>
        <w:rPr>
          <w:rFonts w:ascii="Times New Roman" w:hAnsi="Times New Roman" w:cs="Times New Roman"/>
          <w:sz w:val="24"/>
          <w:szCs w:val="24"/>
        </w:rPr>
      </w:pPr>
      <w:bookmarkStart w:id="1" w:name="introduction"/>
      <w:bookmarkEnd w:id="0"/>
      <w:r w:rsidRPr="000829A5">
        <w:rPr>
          <w:rFonts w:ascii="Times New Roman" w:hAnsi="Times New Roman" w:cs="Times New Roman"/>
          <w:sz w:val="24"/>
          <w:szCs w:val="24"/>
        </w:rPr>
        <w:t>1. Introduction</w:t>
      </w:r>
    </w:p>
    <w:p w14:paraId="5A4F6B65" w14:textId="77777777" w:rsidR="00F14584" w:rsidRPr="000829A5" w:rsidRDefault="00000000">
      <w:pPr>
        <w:pStyle w:val="FirstParagraph"/>
        <w:rPr>
          <w:rFonts w:ascii="Times New Roman" w:hAnsi="Times New Roman" w:cs="Times New Roman"/>
        </w:rPr>
      </w:pPr>
      <w:r w:rsidRPr="000829A5">
        <w:rPr>
          <w:rFonts w:ascii="Times New Roman" w:hAnsi="Times New Roman" w:cs="Times New Roman"/>
        </w:rPr>
        <w:t>Predicting whether a market index will rise or fall on the next trading day is an unusually compact statement of a difficult forecasting problem. The target is binary, but the data-generating process is non-stationary, the usable signal is weak relative to market noise, and small implementation choices can alter the apparent outcome (</w:t>
      </w:r>
      <w:hyperlink w:anchor="ref-fama1970efficient">
        <w:r w:rsidRPr="000829A5">
          <w:rPr>
            <w:rStyle w:val="Hyperlink"/>
            <w:rFonts w:ascii="Times New Roman" w:hAnsi="Times New Roman" w:cs="Times New Roman"/>
          </w:rPr>
          <w:t>Fama, 1970</w:t>
        </w:r>
      </w:hyperlink>
      <w:r w:rsidRPr="000829A5">
        <w:rPr>
          <w:rFonts w:ascii="Times New Roman" w:hAnsi="Times New Roman" w:cs="Times New Roman"/>
        </w:rPr>
        <w:t xml:space="preserve">; </w:t>
      </w:r>
      <w:hyperlink w:anchor="ref-olorunnimbe2023survey">
        <w:r w:rsidRPr="000829A5">
          <w:rPr>
            <w:rStyle w:val="Hyperlink"/>
            <w:rFonts w:ascii="Times New Roman" w:hAnsi="Times New Roman" w:cs="Times New Roman"/>
          </w:rPr>
          <w:t>Ol</w:t>
        </w:r>
        <w:r w:rsidRPr="000829A5">
          <w:rPr>
            <w:rStyle w:val="Hyperlink"/>
            <w:rFonts w:ascii="Times New Roman" w:hAnsi="Times New Roman" w:cs="Times New Roman"/>
          </w:rPr>
          <w:t>o</w:t>
        </w:r>
        <w:r w:rsidRPr="000829A5">
          <w:rPr>
            <w:rStyle w:val="Hyperlink"/>
            <w:rFonts w:ascii="Times New Roman" w:hAnsi="Times New Roman" w:cs="Times New Roman"/>
          </w:rPr>
          <w:t>runnimbe &amp; Viktor, 2023</w:t>
        </w:r>
      </w:hyperlink>
      <w:r w:rsidRPr="000829A5">
        <w:rPr>
          <w:rFonts w:ascii="Times New Roman" w:hAnsi="Times New Roman" w:cs="Times New Roman"/>
        </w:rPr>
        <w:t xml:space="preserve">). Deep recurrent networks, convolutional networks, and attention mechanisms offer </w:t>
      </w:r>
      <w:r w:rsidRPr="000829A5">
        <w:rPr>
          <w:rFonts w:ascii="Times New Roman" w:hAnsi="Times New Roman" w:cs="Times New Roman"/>
        </w:rPr>
        <w:lastRenderedPageBreak/>
        <w:t>flexible representations of sequential financial data (</w:t>
      </w:r>
      <w:hyperlink w:anchor="ref-hochreiter1997lstm">
        <w:r w:rsidRPr="000829A5">
          <w:rPr>
            <w:rStyle w:val="Hyperlink"/>
            <w:rFonts w:ascii="Times New Roman" w:hAnsi="Times New Roman" w:cs="Times New Roman"/>
          </w:rPr>
          <w:t>Hochreiter &amp; Schmidhuber, 1997</w:t>
        </w:r>
      </w:hyperlink>
      <w:r w:rsidRPr="000829A5">
        <w:rPr>
          <w:rFonts w:ascii="Times New Roman" w:hAnsi="Times New Roman" w:cs="Times New Roman"/>
        </w:rPr>
        <w:t xml:space="preserve">; </w:t>
      </w:r>
      <w:hyperlink w:anchor="ref-qin2017darnn">
        <w:r w:rsidRPr="000829A5">
          <w:rPr>
            <w:rStyle w:val="Hyperlink"/>
            <w:rFonts w:ascii="Times New Roman" w:hAnsi="Times New Roman" w:cs="Times New Roman"/>
          </w:rPr>
          <w:t>Qin et al., 2017</w:t>
        </w:r>
      </w:hyperlink>
      <w:r w:rsidRPr="000829A5">
        <w:rPr>
          <w:rFonts w:ascii="Times New Roman" w:hAnsi="Times New Roman" w:cs="Times New Roman"/>
        </w:rPr>
        <w:t xml:space="preserve">; </w:t>
      </w:r>
      <w:hyperlink w:anchor="ref-vaswani2017attention">
        <w:r w:rsidRPr="000829A5">
          <w:rPr>
            <w:rStyle w:val="Hyperlink"/>
            <w:rFonts w:ascii="Times New Roman" w:hAnsi="Times New Roman" w:cs="Times New Roman"/>
          </w:rPr>
          <w:t>Vaswani et al., 2017</w:t>
        </w:r>
      </w:hyperlink>
      <w:r w:rsidRPr="000829A5">
        <w:rPr>
          <w:rFonts w:ascii="Times New Roman" w:hAnsi="Times New Roman" w:cs="Times New Roman"/>
        </w:rPr>
        <w:t>). Representative financial applications have reported gains from LSTM and CNN architectures (</w:t>
      </w:r>
      <w:hyperlink w:anchor="ref-fischer2018lstmfinance">
        <w:r w:rsidRPr="000829A5">
          <w:rPr>
            <w:rStyle w:val="Hyperlink"/>
            <w:rFonts w:ascii="Times New Roman" w:hAnsi="Times New Roman" w:cs="Times New Roman"/>
          </w:rPr>
          <w:t>Fischer &amp; Krauss, 2018</w:t>
        </w:r>
      </w:hyperlink>
      <w:r w:rsidRPr="000829A5">
        <w:rPr>
          <w:rFonts w:ascii="Times New Roman" w:hAnsi="Times New Roman" w:cs="Times New Roman"/>
        </w:rPr>
        <w:t xml:space="preserve">; </w:t>
      </w:r>
      <w:hyperlink w:anchor="ref-hoseinzade2019cnnpred">
        <w:r w:rsidRPr="000829A5">
          <w:rPr>
            <w:rStyle w:val="Hyperlink"/>
            <w:rFonts w:ascii="Times New Roman" w:hAnsi="Times New Roman" w:cs="Times New Roman"/>
          </w:rPr>
          <w:t>Hoseinzade &amp; Haratizadeh, 2019</w:t>
        </w:r>
      </w:hyperlink>
      <w:r w:rsidRPr="000829A5">
        <w:rPr>
          <w:rFonts w:ascii="Times New Roman" w:hAnsi="Times New Roman" w:cs="Times New Roman"/>
        </w:rPr>
        <w:t>). That flexibility also increases the number of choices available to a researcher: feature families, lookback windows, decomposition settings, text encoders, fusion mechanisms, random seeds, thresholds, regimes, and post-hoc explanations. A result selected from many such choices can look stronger than the underlying signal.</w:t>
      </w:r>
    </w:p>
    <w:p w14:paraId="33D7E4AC"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The financial forecasting literature contains increasingly elaborate hybrid systems. Reviews document extensive use of LSTM, CNN, and hybrid deep-learning models for price and direction prediction, while also identifying continuing gaps in backtesting, reproducibility, and practical evaluation (</w:t>
      </w:r>
      <w:hyperlink w:anchor="ref-olorunnimbe2023survey">
        <w:r w:rsidRPr="000829A5">
          <w:rPr>
            <w:rStyle w:val="Hyperlink"/>
            <w:rFonts w:ascii="Times New Roman" w:hAnsi="Times New Roman" w:cs="Times New Roman"/>
          </w:rPr>
          <w:t>Olorunnimbe &amp; Viktor, 2023</w:t>
        </w:r>
      </w:hyperlink>
      <w:r w:rsidRPr="000829A5">
        <w:rPr>
          <w:rFonts w:ascii="Times New Roman" w:hAnsi="Times New Roman" w:cs="Times New Roman"/>
        </w:rPr>
        <w:t xml:space="preserve">; </w:t>
      </w:r>
      <w:hyperlink w:anchor="ref-sezer2020review">
        <w:r w:rsidRPr="000829A5">
          <w:rPr>
            <w:rStyle w:val="Hyperlink"/>
            <w:rFonts w:ascii="Times New Roman" w:hAnsi="Times New Roman" w:cs="Times New Roman"/>
          </w:rPr>
          <w:t>Sezer et al., 2020</w:t>
        </w:r>
      </w:hyperlink>
      <w:r w:rsidRPr="000829A5">
        <w:rPr>
          <w:rFonts w:ascii="Times New Roman" w:hAnsi="Times New Roman" w:cs="Times New Roman"/>
        </w:rPr>
        <w:t>). Earlier multimodal systems combined text and market signals through attention, graph structure, expert-opinion aggregation, and cross-modal interaction (</w:t>
      </w:r>
      <w:hyperlink w:anchor="ref-luo2023cmin">
        <w:r w:rsidRPr="000829A5">
          <w:rPr>
            <w:rStyle w:val="Hyperlink"/>
            <w:rFonts w:ascii="Times New Roman" w:hAnsi="Times New Roman" w:cs="Times New Roman"/>
          </w:rPr>
          <w:t>Luo et al., 2023</w:t>
        </w:r>
      </w:hyperlink>
      <w:r w:rsidRPr="000829A5">
        <w:rPr>
          <w:rFonts w:ascii="Times New Roman" w:hAnsi="Times New Roman" w:cs="Times New Roman"/>
        </w:rPr>
        <w:t xml:space="preserve">; </w:t>
      </w:r>
      <w:hyperlink w:anchor="ref-sawhney2020stockmovement">
        <w:r w:rsidRPr="000829A5">
          <w:rPr>
            <w:rStyle w:val="Hyperlink"/>
            <w:rFonts w:ascii="Times New Roman" w:hAnsi="Times New Roman" w:cs="Times New Roman"/>
          </w:rPr>
          <w:t>Sawhney et al., 2020</w:t>
        </w:r>
      </w:hyperlink>
      <w:r w:rsidRPr="000829A5">
        <w:rPr>
          <w:rFonts w:ascii="Times New Roman" w:hAnsi="Times New Roman" w:cs="Times New Roman"/>
        </w:rPr>
        <w:t xml:space="preserve">; </w:t>
      </w:r>
      <w:hyperlink w:anchor="ref-wang2020opinionsignals">
        <w:r w:rsidRPr="000829A5">
          <w:rPr>
            <w:rStyle w:val="Hyperlink"/>
            <w:rFonts w:ascii="Times New Roman" w:hAnsi="Times New Roman" w:cs="Times New Roman"/>
          </w:rPr>
          <w:t>H. Wang et al., 2020</w:t>
        </w:r>
      </w:hyperlink>
      <w:r w:rsidRPr="000829A5">
        <w:rPr>
          <w:rFonts w:ascii="Times New Roman" w:hAnsi="Times New Roman" w:cs="Times New Roman"/>
        </w:rPr>
        <w:t>). More recent work models interactions among news items or uses sentiment-attention mechanisms for index prediction (</w:t>
      </w:r>
      <w:hyperlink w:anchor="ref-liu2024newsattention">
        <w:r w:rsidRPr="000829A5">
          <w:rPr>
            <w:rStyle w:val="Hyperlink"/>
            <w:rFonts w:ascii="Times New Roman" w:hAnsi="Times New Roman" w:cs="Times New Roman"/>
          </w:rPr>
          <w:t>W.-J. Liu et al., 2024</w:t>
        </w:r>
      </w:hyperlink>
      <w:r w:rsidRPr="000829A5">
        <w:rPr>
          <w:rFonts w:ascii="Times New Roman" w:hAnsi="Times New Roman" w:cs="Times New Roman"/>
        </w:rPr>
        <w:t xml:space="preserve">; </w:t>
      </w:r>
      <w:hyperlink w:anchor="ref-wang2024finin">
        <w:r w:rsidRPr="000829A5">
          <w:rPr>
            <w:rStyle w:val="Hyperlink"/>
            <w:rFonts w:ascii="Times New Roman" w:hAnsi="Times New Roman" w:cs="Times New Roman"/>
          </w:rPr>
          <w:t>M. Wang et al., 2024</w:t>
        </w:r>
      </w:hyperlink>
      <w:r w:rsidRPr="000829A5">
        <w:rPr>
          <w:rFonts w:ascii="Times New Roman" w:hAnsi="Times New Roman" w:cs="Times New Roman"/>
        </w:rPr>
        <w:t>). Signal-decomposition methods offer a second route: separate a price process into frequency components and expose a denoised representation to the predictor. Yet a component can improve squared-price error without improving the sign of the next movement, and a text model can classify sentiment well without adding conditional information to an already strong market-data feature set. These distinctions are often blurred when performance is summarized by a single best accuracy.</w:t>
      </w:r>
    </w:p>
    <w:p w14:paraId="7C6C724C"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This study treats those distinctions as the object of analysis. Rather than asking which configuration wins a broad model tournament, we ask whether five common enhancement classes remain useful after applying the same temporal and inferential pressure:</w:t>
      </w:r>
    </w:p>
    <w:p w14:paraId="6769C950" w14:textId="77777777" w:rsidR="00F14584" w:rsidRPr="000829A5" w:rsidRDefault="00000000">
      <w:pPr>
        <w:pStyle w:val="Compact"/>
        <w:numPr>
          <w:ilvl w:val="0"/>
          <w:numId w:val="2"/>
        </w:numPr>
        <w:rPr>
          <w:rFonts w:ascii="Times New Roman" w:hAnsi="Times New Roman" w:cs="Times New Roman"/>
        </w:rPr>
      </w:pPr>
      <w:r w:rsidRPr="000829A5">
        <w:rPr>
          <w:rFonts w:ascii="Times New Roman" w:hAnsi="Times New Roman" w:cs="Times New Roman"/>
          <w:b/>
          <w:bCs/>
        </w:rPr>
        <w:t>Point-in-time data reliability:</w:t>
      </w:r>
      <w:r w:rsidRPr="000829A5">
        <w:rPr>
          <w:rFonts w:ascii="Times New Roman" w:hAnsi="Times New Roman" w:cs="Times New Roman"/>
        </w:rPr>
        <w:t xml:space="preserve"> Are features, labels, scalers, and sequence boundaries consistent with information that existed at the prediction time?</w:t>
      </w:r>
    </w:p>
    <w:p w14:paraId="605CFE11" w14:textId="77777777" w:rsidR="00F14584" w:rsidRPr="000829A5" w:rsidRDefault="00000000">
      <w:pPr>
        <w:pStyle w:val="Compact"/>
        <w:numPr>
          <w:ilvl w:val="0"/>
          <w:numId w:val="2"/>
        </w:numPr>
        <w:rPr>
          <w:rFonts w:ascii="Times New Roman" w:hAnsi="Times New Roman" w:cs="Times New Roman"/>
        </w:rPr>
      </w:pPr>
      <w:r w:rsidRPr="000829A5">
        <w:rPr>
          <w:rFonts w:ascii="Times New Roman" w:hAnsi="Times New Roman" w:cs="Times New Roman"/>
          <w:b/>
          <w:bCs/>
        </w:rPr>
        <w:t>Numerical and denoising reliability:</w:t>
      </w:r>
      <w:r w:rsidRPr="000829A5">
        <w:rPr>
          <w:rFonts w:ascii="Times New Roman" w:hAnsi="Times New Roman" w:cs="Times New Roman"/>
        </w:rPr>
        <w:t xml:space="preserve"> Does causal rolling VMD add a repeatable directional benefit beyond a full technical-analysis feature set?</w:t>
      </w:r>
    </w:p>
    <w:p w14:paraId="6A8BC39D" w14:textId="77777777" w:rsidR="00F14584" w:rsidRPr="000829A5" w:rsidRDefault="00000000">
      <w:pPr>
        <w:pStyle w:val="Compact"/>
        <w:numPr>
          <w:ilvl w:val="0"/>
          <w:numId w:val="2"/>
        </w:numPr>
        <w:rPr>
          <w:rFonts w:ascii="Times New Roman" w:hAnsi="Times New Roman" w:cs="Times New Roman"/>
        </w:rPr>
      </w:pPr>
      <w:r w:rsidRPr="000829A5">
        <w:rPr>
          <w:rFonts w:ascii="Times New Roman" w:hAnsi="Times New Roman" w:cs="Times New Roman"/>
          <w:b/>
          <w:bCs/>
        </w:rPr>
        <w:t>Multimodal and LLM reliability:</w:t>
      </w:r>
      <w:r w:rsidRPr="000829A5">
        <w:rPr>
          <w:rFonts w:ascii="Times New Roman" w:hAnsi="Times New Roman" w:cs="Times New Roman"/>
        </w:rPr>
        <w:t xml:space="preserve"> Does out-of-sample predicted news add forecasting information, and does a role-structured LLM system retain an intrinsic sentiment advantage after compute-matched controls?</w:t>
      </w:r>
    </w:p>
    <w:p w14:paraId="0EDC5E64" w14:textId="77777777" w:rsidR="00F14584" w:rsidRPr="000829A5" w:rsidRDefault="00000000">
      <w:pPr>
        <w:pStyle w:val="Compact"/>
        <w:numPr>
          <w:ilvl w:val="0"/>
          <w:numId w:val="2"/>
        </w:numPr>
        <w:rPr>
          <w:rFonts w:ascii="Times New Roman" w:hAnsi="Times New Roman" w:cs="Times New Roman"/>
        </w:rPr>
      </w:pPr>
      <w:r w:rsidRPr="000829A5">
        <w:rPr>
          <w:rFonts w:ascii="Times New Roman" w:hAnsi="Times New Roman" w:cs="Times New Roman"/>
          <w:b/>
          <w:bCs/>
        </w:rPr>
        <w:t>Regime-aware explainability reliability:</w:t>
      </w:r>
      <w:r w:rsidRPr="000829A5">
        <w:rPr>
          <w:rFonts w:ascii="Times New Roman" w:hAnsi="Times New Roman" w:cs="Times New Roman"/>
        </w:rPr>
        <w:t xml:space="preserve"> Do causal Bull/Sideway/Bear routing and SHAP-selected feature subsets generalize across architectures, or do they merely produce attractive model-specific explanations?</w:t>
      </w:r>
    </w:p>
    <w:p w14:paraId="371DDB93" w14:textId="77777777" w:rsidR="00F14584" w:rsidRPr="000829A5" w:rsidRDefault="00000000">
      <w:pPr>
        <w:pStyle w:val="Compact"/>
        <w:numPr>
          <w:ilvl w:val="0"/>
          <w:numId w:val="2"/>
        </w:numPr>
        <w:rPr>
          <w:rFonts w:ascii="Times New Roman" w:hAnsi="Times New Roman" w:cs="Times New Roman"/>
        </w:rPr>
      </w:pPr>
      <w:r w:rsidRPr="000829A5">
        <w:rPr>
          <w:rFonts w:ascii="Times New Roman" w:hAnsi="Times New Roman" w:cs="Times New Roman"/>
          <w:b/>
          <w:bCs/>
        </w:rPr>
        <w:t>Forward and transfer reliability:</w:t>
      </w:r>
      <w:r w:rsidRPr="000829A5">
        <w:rPr>
          <w:rFonts w:ascii="Times New Roman" w:hAnsi="Times New Roman" w:cs="Times New Roman"/>
        </w:rPr>
        <w:t xml:space="preserve"> Do conclusions survive a later source-contingent period and transfer from SET50 to the broader SET100 index without </w:t>
      </w:r>
      <w:proofErr w:type="gramStart"/>
      <w:r w:rsidRPr="000829A5">
        <w:rPr>
          <w:rFonts w:ascii="Times New Roman" w:hAnsi="Times New Roman" w:cs="Times New Roman"/>
        </w:rPr>
        <w:t>retuning</w:t>
      </w:r>
      <w:proofErr w:type="gramEnd"/>
      <w:r w:rsidRPr="000829A5">
        <w:rPr>
          <w:rFonts w:ascii="Times New Roman" w:hAnsi="Times New Roman" w:cs="Times New Roman"/>
        </w:rPr>
        <w:t>?</w:t>
      </w:r>
    </w:p>
    <w:p w14:paraId="0F7D678E" w14:textId="77777777" w:rsidR="00F14584" w:rsidRPr="000829A5" w:rsidRDefault="00000000">
      <w:pPr>
        <w:pStyle w:val="FirstParagraph"/>
        <w:rPr>
          <w:rFonts w:ascii="Times New Roman" w:hAnsi="Times New Roman" w:cs="Times New Roman"/>
        </w:rPr>
      </w:pPr>
      <w:r w:rsidRPr="000829A5">
        <w:rPr>
          <w:rFonts w:ascii="Times New Roman" w:hAnsi="Times New Roman" w:cs="Times New Roman"/>
        </w:rPr>
        <w:t xml:space="preserve">The five registered neural architectures form a common horizontal panel for these questions. They are not presented as five separate contributions, and the study does not claim a new state-of-the-art model. Its contribution is a single audit framework that connects point-in-time reconstruction, architecture-paired ablations, negative-control falsification, compute-matched LLM evaluation, capacity-aware regime analysis, local-explanation diagnostics, serial-dependence sensitivity, and frozen same-exchange transfer. The resulting evidence is intentionally mixed. Some enhancements help selected models or intrinsic endpoints, but no </w:t>
      </w:r>
      <w:r w:rsidRPr="000829A5">
        <w:rPr>
          <w:rFonts w:ascii="Times New Roman" w:hAnsi="Times New Roman" w:cs="Times New Roman"/>
        </w:rPr>
        <w:lastRenderedPageBreak/>
        <w:t>primary forecasting balanced-accuracy contrast survives the registered multiplicity controls. Reporting that outcome is central to the study, not a failure to locate a winning specification.</w:t>
      </w:r>
    </w:p>
    <w:p w14:paraId="58FA5B32" w14:textId="77777777" w:rsidR="00F14584" w:rsidRPr="000829A5" w:rsidRDefault="00000000">
      <w:pPr>
        <w:pStyle w:val="Heading1"/>
        <w:rPr>
          <w:rFonts w:ascii="Times New Roman" w:hAnsi="Times New Roman" w:cs="Times New Roman"/>
          <w:sz w:val="24"/>
          <w:szCs w:val="24"/>
        </w:rPr>
      </w:pPr>
      <w:bookmarkStart w:id="2" w:name="related-work-and-reliability-gap"/>
      <w:bookmarkEnd w:id="1"/>
      <w:r w:rsidRPr="000829A5">
        <w:rPr>
          <w:rFonts w:ascii="Times New Roman" w:hAnsi="Times New Roman" w:cs="Times New Roman"/>
          <w:sz w:val="24"/>
          <w:szCs w:val="24"/>
        </w:rPr>
        <w:t>2. Related work and reliability gap</w:t>
      </w:r>
    </w:p>
    <w:p w14:paraId="1789783D" w14:textId="77777777" w:rsidR="00F14584" w:rsidRPr="000829A5" w:rsidRDefault="00000000">
      <w:pPr>
        <w:pStyle w:val="Heading2"/>
        <w:rPr>
          <w:rFonts w:ascii="Times New Roman" w:hAnsi="Times New Roman" w:cs="Times New Roman"/>
          <w:sz w:val="24"/>
          <w:szCs w:val="24"/>
        </w:rPr>
      </w:pPr>
      <w:bookmarkStart w:id="3" w:name="Xcbbaa5252ee3d1721b71ae038656e45c33af501"/>
      <w:r w:rsidRPr="000829A5">
        <w:rPr>
          <w:rFonts w:ascii="Times New Roman" w:hAnsi="Times New Roman" w:cs="Times New Roman"/>
          <w:sz w:val="24"/>
          <w:szCs w:val="24"/>
        </w:rPr>
        <w:t>2.1 Deep sequence models for financial direction</w:t>
      </w:r>
    </w:p>
    <w:p w14:paraId="0FD6854B" w14:textId="77777777" w:rsidR="00F14584" w:rsidRPr="000829A5" w:rsidRDefault="00000000">
      <w:pPr>
        <w:pStyle w:val="FirstParagraph"/>
        <w:rPr>
          <w:rFonts w:ascii="Times New Roman" w:hAnsi="Times New Roman" w:cs="Times New Roman"/>
        </w:rPr>
      </w:pPr>
      <w:r w:rsidRPr="000829A5">
        <w:rPr>
          <w:rFonts w:ascii="Times New Roman" w:hAnsi="Times New Roman" w:cs="Times New Roman"/>
        </w:rPr>
        <w:t>LSTM networks were designed to retain information over long sequences while controlling vanishing gradients (</w:t>
      </w:r>
      <w:hyperlink w:anchor="ref-hochreiter1997lstm">
        <w:r w:rsidRPr="000829A5">
          <w:rPr>
            <w:rStyle w:val="Hyperlink"/>
            <w:rFonts w:ascii="Times New Roman" w:hAnsi="Times New Roman" w:cs="Times New Roman"/>
          </w:rPr>
          <w:t>Hochreiter &amp; Schmidhuber, 1997</w:t>
        </w:r>
      </w:hyperlink>
      <w:r w:rsidRPr="000829A5">
        <w:rPr>
          <w:rFonts w:ascii="Times New Roman" w:hAnsi="Times New Roman" w:cs="Times New Roman"/>
        </w:rPr>
        <w:t>). Their use in financial prediction is motivated by delayed dependencies, while CNNs provide local filters that can extract short-range temporal patterns. Attention adds a learned mechanism for weighting representations across a sequence (</w:t>
      </w:r>
      <w:hyperlink w:anchor="ref-qin2017darnn">
        <w:r w:rsidRPr="000829A5">
          <w:rPr>
            <w:rStyle w:val="Hyperlink"/>
            <w:rFonts w:ascii="Times New Roman" w:hAnsi="Times New Roman" w:cs="Times New Roman"/>
          </w:rPr>
          <w:t>Qin et al., 2017</w:t>
        </w:r>
      </w:hyperlink>
      <w:r w:rsidRPr="000829A5">
        <w:rPr>
          <w:rFonts w:ascii="Times New Roman" w:hAnsi="Times New Roman" w:cs="Times New Roman"/>
        </w:rPr>
        <w:t xml:space="preserve">; </w:t>
      </w:r>
      <w:hyperlink w:anchor="ref-vaswani2017attention">
        <w:r w:rsidRPr="000829A5">
          <w:rPr>
            <w:rStyle w:val="Hyperlink"/>
            <w:rFonts w:ascii="Times New Roman" w:hAnsi="Times New Roman" w:cs="Times New Roman"/>
          </w:rPr>
          <w:t>Vaswani et al., 2017</w:t>
        </w:r>
      </w:hyperlink>
      <w:r w:rsidRPr="000829A5">
        <w:rPr>
          <w:rFonts w:ascii="Times New Roman" w:hAnsi="Times New Roman" w:cs="Times New Roman"/>
        </w:rPr>
        <w:t>). Large empirical studies have reported advantages for LSTM-based financial prediction (</w:t>
      </w:r>
      <w:hyperlink w:anchor="ref-fischer2018lstmfinance">
        <w:r w:rsidRPr="000829A5">
          <w:rPr>
            <w:rStyle w:val="Hyperlink"/>
            <w:rFonts w:ascii="Times New Roman" w:hAnsi="Times New Roman" w:cs="Times New Roman"/>
          </w:rPr>
          <w:t>Fischer &amp; Krauss, 2018</w:t>
        </w:r>
      </w:hyperlink>
      <w:r w:rsidRPr="000829A5">
        <w:rPr>
          <w:rFonts w:ascii="Times New Roman" w:hAnsi="Times New Roman" w:cs="Times New Roman"/>
        </w:rPr>
        <w:t>), and CNN-based systems have combined diverse market variables for next-day index direction (</w:t>
      </w:r>
      <w:hyperlink w:anchor="ref-hoseinzade2019cnnpred">
        <w:r w:rsidRPr="000829A5">
          <w:rPr>
            <w:rStyle w:val="Hyperlink"/>
            <w:rFonts w:ascii="Times New Roman" w:hAnsi="Times New Roman" w:cs="Times New Roman"/>
          </w:rPr>
          <w:t>Hoseinzade &amp; Haratizadeh, 2019</w:t>
        </w:r>
      </w:hyperlink>
      <w:r w:rsidRPr="000829A5">
        <w:rPr>
          <w:rFonts w:ascii="Times New Roman" w:hAnsi="Times New Roman" w:cs="Times New Roman"/>
        </w:rPr>
        <w:t>). However, the existence of a flexible mapping does not imply a stable signal. Market dynamics change across years, and a high-capacity hybrid can magnify optimization variance or collapse to a majority-side decision while retaining superficially acceptable raw accuracy. Recent review evidence likewise treats architecture choice as only one part of a credible, backtested, reproducible financial-learning pipeline (</w:t>
      </w:r>
      <w:hyperlink w:anchor="ref-olorunnimbe2023survey">
        <w:r w:rsidRPr="000829A5">
          <w:rPr>
            <w:rStyle w:val="Hyperlink"/>
            <w:rFonts w:ascii="Times New Roman" w:hAnsi="Times New Roman" w:cs="Times New Roman"/>
          </w:rPr>
          <w:t>Olorunnimbe &amp; Viktor, 2023</w:t>
        </w:r>
      </w:hyperlink>
      <w:r w:rsidRPr="000829A5">
        <w:rPr>
          <w:rFonts w:ascii="Times New Roman" w:hAnsi="Times New Roman" w:cs="Times New Roman"/>
        </w:rPr>
        <w:t>).</w:t>
      </w:r>
    </w:p>
    <w:p w14:paraId="33C44C83"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The present benchmark therefore keeps training budgets deliberately compact and constant, repeats each outer cell across five seeds, and treats the year—not the seed—as the temporal inferential unit. This design distinguishes stochastic fit variability from independent evidence over time.</w:t>
      </w:r>
    </w:p>
    <w:p w14:paraId="0CB81542" w14:textId="77777777" w:rsidR="00F14584" w:rsidRPr="000829A5" w:rsidRDefault="00000000">
      <w:pPr>
        <w:pStyle w:val="Heading2"/>
        <w:rPr>
          <w:rFonts w:ascii="Times New Roman" w:hAnsi="Times New Roman" w:cs="Times New Roman"/>
          <w:sz w:val="24"/>
          <w:szCs w:val="24"/>
        </w:rPr>
      </w:pPr>
      <w:bookmarkStart w:id="4" w:name="Xa67912db39ad0d5cdddb91e7cb757015b18f8f4"/>
      <w:bookmarkEnd w:id="3"/>
      <w:r w:rsidRPr="000829A5">
        <w:rPr>
          <w:rFonts w:ascii="Times New Roman" w:hAnsi="Times New Roman" w:cs="Times New Roman"/>
          <w:sz w:val="24"/>
          <w:szCs w:val="24"/>
        </w:rPr>
        <w:t>2.2 Denoising and multimodal financial information</w:t>
      </w:r>
    </w:p>
    <w:p w14:paraId="0D144C63" w14:textId="77777777" w:rsidR="00F14584" w:rsidRPr="000829A5" w:rsidRDefault="00000000">
      <w:pPr>
        <w:pStyle w:val="FirstParagraph"/>
        <w:rPr>
          <w:rFonts w:ascii="Times New Roman" w:hAnsi="Times New Roman" w:cs="Times New Roman"/>
        </w:rPr>
      </w:pPr>
      <w:r w:rsidRPr="000829A5">
        <w:rPr>
          <w:rFonts w:ascii="Times New Roman" w:hAnsi="Times New Roman" w:cs="Times New Roman"/>
        </w:rPr>
        <w:t>Variational mode decomposition separates a signal into band-limited intrinsic mode functions through a constrained variational formulation (</w:t>
      </w:r>
      <w:hyperlink w:anchor="ref-dragomiretskiy2014vmd">
        <w:r w:rsidRPr="000829A5">
          <w:rPr>
            <w:rStyle w:val="Hyperlink"/>
            <w:rFonts w:ascii="Times New Roman" w:hAnsi="Times New Roman" w:cs="Times New Roman"/>
          </w:rPr>
          <w:t>Dragomiretskiy &amp; Zosso, 2014</w:t>
        </w:r>
      </w:hyperlink>
      <w:r w:rsidRPr="000829A5">
        <w:rPr>
          <w:rFonts w:ascii="Times New Roman" w:hAnsi="Times New Roman" w:cs="Times New Roman"/>
        </w:rPr>
        <w:t>). In financial applications, decomposition can reduce high-frequency variation or provide additional frequency-domain features, and recent stock-forecasting systems have paired VMD with LSTM, meta-learning, and attention-based networks (</w:t>
      </w:r>
      <w:hyperlink w:anchor="ref-liu2022vml">
        <w:r w:rsidRPr="000829A5">
          <w:rPr>
            <w:rStyle w:val="Hyperlink"/>
            <w:rFonts w:ascii="Times New Roman" w:hAnsi="Times New Roman" w:cs="Times New Roman"/>
          </w:rPr>
          <w:t>T. Liu et al., 2022</w:t>
        </w:r>
      </w:hyperlink>
      <w:r w:rsidRPr="000829A5">
        <w:rPr>
          <w:rFonts w:ascii="Times New Roman" w:hAnsi="Times New Roman" w:cs="Times New Roman"/>
        </w:rPr>
        <w:t xml:space="preserve">; </w:t>
      </w:r>
      <w:hyperlink w:anchor="ref-liu2024vmdattention">
        <w:r w:rsidRPr="000829A5">
          <w:rPr>
            <w:rStyle w:val="Hyperlink"/>
            <w:rFonts w:ascii="Times New Roman" w:hAnsi="Times New Roman" w:cs="Times New Roman"/>
          </w:rPr>
          <w:t>Y. Liu et al., 2024</w:t>
        </w:r>
      </w:hyperlink>
      <w:r w:rsidRPr="000829A5">
        <w:rPr>
          <w:rFonts w:ascii="Times New Roman" w:hAnsi="Times New Roman" w:cs="Times New Roman"/>
        </w:rPr>
        <w:t>). The key causal requirement is that decomposition at date (t) must use only observations available through (t). A full-series decomposition, even when followed by a temporal train/test split, can transmit future information into past components; windowed decomposition has been proposed specifically to address this problem (</w:t>
      </w:r>
      <w:hyperlink w:anchor="ref-liu2022vml">
        <w:r w:rsidRPr="000829A5">
          <w:rPr>
            <w:rStyle w:val="Hyperlink"/>
            <w:rFonts w:ascii="Times New Roman" w:hAnsi="Times New Roman" w:cs="Times New Roman"/>
          </w:rPr>
          <w:t>T. Liu et al., 2022</w:t>
        </w:r>
      </w:hyperlink>
      <w:r w:rsidRPr="000829A5">
        <w:rPr>
          <w:rFonts w:ascii="Times New Roman" w:hAnsi="Times New Roman" w:cs="Times New Roman"/>
        </w:rPr>
        <w:t>). We therefore use a rolling past-only implementation and test VMD as a feature addition rather than assuming it is beneficial denoising.</w:t>
      </w:r>
    </w:p>
    <w:p w14:paraId="5EC32969"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Financial text offers a different information channel. Prior work has used social media, analyst or expert opinions, and news to enrich stock-movement models (</w:t>
      </w:r>
      <w:hyperlink w:anchor="ref-luo2023cmin">
        <w:r w:rsidRPr="000829A5">
          <w:rPr>
            <w:rStyle w:val="Hyperlink"/>
            <w:rFonts w:ascii="Times New Roman" w:hAnsi="Times New Roman" w:cs="Times New Roman"/>
          </w:rPr>
          <w:t>Luo et al., 2023</w:t>
        </w:r>
      </w:hyperlink>
      <w:r w:rsidRPr="000829A5">
        <w:rPr>
          <w:rFonts w:ascii="Times New Roman" w:hAnsi="Times New Roman" w:cs="Times New Roman"/>
        </w:rPr>
        <w:t xml:space="preserve">; </w:t>
      </w:r>
      <w:hyperlink w:anchor="ref-sawhney2020stockmovement">
        <w:r w:rsidRPr="000829A5">
          <w:rPr>
            <w:rStyle w:val="Hyperlink"/>
            <w:rFonts w:ascii="Times New Roman" w:hAnsi="Times New Roman" w:cs="Times New Roman"/>
          </w:rPr>
          <w:t>Sawhney et al., 2020</w:t>
        </w:r>
      </w:hyperlink>
      <w:r w:rsidRPr="000829A5">
        <w:rPr>
          <w:rFonts w:ascii="Times New Roman" w:hAnsi="Times New Roman" w:cs="Times New Roman"/>
        </w:rPr>
        <w:t xml:space="preserve">; </w:t>
      </w:r>
      <w:hyperlink w:anchor="ref-wang2020opinionsignals">
        <w:r w:rsidRPr="000829A5">
          <w:rPr>
            <w:rStyle w:val="Hyperlink"/>
            <w:rFonts w:ascii="Times New Roman" w:hAnsi="Times New Roman" w:cs="Times New Roman"/>
          </w:rPr>
          <w:t>H. Wang et al., 2020</w:t>
        </w:r>
      </w:hyperlink>
      <w:r w:rsidRPr="000829A5">
        <w:rPr>
          <w:rFonts w:ascii="Times New Roman" w:hAnsi="Times New Roman" w:cs="Times New Roman"/>
        </w:rPr>
        <w:t>). Recent systems further model interactions among news items or sentiment-attention mechanisms for index prediction (</w:t>
      </w:r>
      <w:hyperlink w:anchor="ref-liu2024newsattention">
        <w:r w:rsidRPr="000829A5">
          <w:rPr>
            <w:rStyle w:val="Hyperlink"/>
            <w:rFonts w:ascii="Times New Roman" w:hAnsi="Times New Roman" w:cs="Times New Roman"/>
          </w:rPr>
          <w:t>W.-J. Liu et al., 2024</w:t>
        </w:r>
      </w:hyperlink>
      <w:r w:rsidRPr="000829A5">
        <w:rPr>
          <w:rFonts w:ascii="Times New Roman" w:hAnsi="Times New Roman" w:cs="Times New Roman"/>
        </w:rPr>
        <w:t xml:space="preserve">; </w:t>
      </w:r>
      <w:hyperlink w:anchor="ref-wang2024finin">
        <w:r w:rsidRPr="000829A5">
          <w:rPr>
            <w:rStyle w:val="Hyperlink"/>
            <w:rFonts w:ascii="Times New Roman" w:hAnsi="Times New Roman" w:cs="Times New Roman"/>
          </w:rPr>
          <w:t>M. Wang et al., 2024</w:t>
        </w:r>
      </w:hyperlink>
      <w:r w:rsidRPr="000829A5">
        <w:rPr>
          <w:rFonts w:ascii="Times New Roman" w:hAnsi="Times New Roman" w:cs="Times New Roman"/>
        </w:rPr>
        <w:t>). An intrinsic sentiment score and an incremental forecasting signal are nevertheless different estimands. Text may be labelled accurately but arrive too late, be redundant with price adjustment, be diluted during daily aggregation, or exhibit source and length shift. A credible multimodal test therefore needs date-aware prediction of text labels, equal forecasting cohorts, and controls that distinguish chronology from generic extra dimensions.</w:t>
      </w:r>
    </w:p>
    <w:p w14:paraId="00188ADF" w14:textId="77777777" w:rsidR="00F14584" w:rsidRPr="000829A5" w:rsidRDefault="00000000">
      <w:pPr>
        <w:pStyle w:val="Heading2"/>
        <w:rPr>
          <w:rFonts w:ascii="Times New Roman" w:hAnsi="Times New Roman" w:cs="Times New Roman"/>
          <w:sz w:val="24"/>
          <w:szCs w:val="24"/>
        </w:rPr>
      </w:pPr>
      <w:bookmarkStart w:id="5" w:name="llm-role-systems-and-compute-matching"/>
      <w:bookmarkEnd w:id="4"/>
      <w:r w:rsidRPr="000829A5">
        <w:rPr>
          <w:rFonts w:ascii="Times New Roman" w:hAnsi="Times New Roman" w:cs="Times New Roman"/>
          <w:sz w:val="24"/>
          <w:szCs w:val="24"/>
        </w:rPr>
        <w:lastRenderedPageBreak/>
        <w:t>2.3 LLM role systems and compute matching</w:t>
      </w:r>
    </w:p>
    <w:p w14:paraId="48944BCD" w14:textId="77777777" w:rsidR="00F14584" w:rsidRPr="000829A5" w:rsidRDefault="00000000">
      <w:pPr>
        <w:pStyle w:val="FirstParagraph"/>
        <w:rPr>
          <w:rFonts w:ascii="Times New Roman" w:hAnsi="Times New Roman" w:cs="Times New Roman"/>
        </w:rPr>
      </w:pPr>
      <w:r w:rsidRPr="000829A5">
        <w:rPr>
          <w:rFonts w:ascii="Times New Roman" w:hAnsi="Times New Roman" w:cs="Times New Roman"/>
        </w:rPr>
        <w:t>Multi-agent debate and judge-style LLM systems can improve reasoning by eliciting divergent intermediate positions before a final decision (</w:t>
      </w:r>
      <w:hyperlink w:anchor="ref-du2024debate">
        <w:r w:rsidRPr="000829A5">
          <w:rPr>
            <w:rStyle w:val="Hyperlink"/>
            <w:rFonts w:ascii="Times New Roman" w:hAnsi="Times New Roman" w:cs="Times New Roman"/>
          </w:rPr>
          <w:t>Du et al., 2024</w:t>
        </w:r>
      </w:hyperlink>
      <w:r w:rsidRPr="000829A5">
        <w:rPr>
          <w:rFonts w:ascii="Times New Roman" w:hAnsi="Times New Roman" w:cs="Times New Roman"/>
        </w:rPr>
        <w:t xml:space="preserve">; </w:t>
      </w:r>
      <w:hyperlink w:anchor="ref-liang2024debate">
        <w:r w:rsidRPr="000829A5">
          <w:rPr>
            <w:rStyle w:val="Hyperlink"/>
            <w:rFonts w:ascii="Times New Roman" w:hAnsi="Times New Roman" w:cs="Times New Roman"/>
          </w:rPr>
          <w:t>Liang et al., 2024</w:t>
        </w:r>
      </w:hyperlink>
      <w:r w:rsidRPr="000829A5">
        <w:rPr>
          <w:rFonts w:ascii="Times New Roman" w:hAnsi="Times New Roman" w:cs="Times New Roman"/>
        </w:rPr>
        <w:t>). Self-consistency provides a strong alternative explanation: repeated sampling itself can improve a result by aggregating several reasoning paths (</w:t>
      </w:r>
      <w:hyperlink w:anchor="ref-wang2023selfconsistency">
        <w:r w:rsidRPr="000829A5">
          <w:rPr>
            <w:rStyle w:val="Hyperlink"/>
            <w:rFonts w:ascii="Times New Roman" w:hAnsi="Times New Roman" w:cs="Times New Roman"/>
          </w:rPr>
          <w:t>X. Wang et al., 2023</w:t>
        </w:r>
      </w:hyperlink>
      <w:r w:rsidRPr="000829A5">
        <w:rPr>
          <w:rFonts w:ascii="Times New Roman" w:hAnsi="Times New Roman" w:cs="Times New Roman"/>
        </w:rPr>
        <w:t>). Comparing a three-call role system only with one call therefore confounds role structure with inference budget. Our intrinsic benchmark uses both an equal-call three-pass control and a four-pass near-cost control. Even then, the comparison is system-level: all roles use the same underlying proprietary model, so the result cannot identify abstract “debate reasoning” as the sole causal mechanism. A recent survey of financial LLM agents similarly identifies prompt sensitivity, real-time adaptation, and institutional deployment constraints as open evaluation problems (</w:t>
      </w:r>
      <w:hyperlink w:anchor="ref-dong2025financeagents">
        <w:r w:rsidRPr="000829A5">
          <w:rPr>
            <w:rStyle w:val="Hyperlink"/>
            <w:rFonts w:ascii="Times New Roman" w:hAnsi="Times New Roman" w:cs="Times New Roman"/>
          </w:rPr>
          <w:t>Dong et al., 2025</w:t>
        </w:r>
      </w:hyperlink>
      <w:r w:rsidRPr="000829A5">
        <w:rPr>
          <w:rFonts w:ascii="Times New Roman" w:hAnsi="Times New Roman" w:cs="Times New Roman"/>
        </w:rPr>
        <w:t>).</w:t>
      </w:r>
    </w:p>
    <w:p w14:paraId="7C2CD98D" w14:textId="77777777" w:rsidR="00F14584" w:rsidRPr="000829A5" w:rsidRDefault="00000000">
      <w:pPr>
        <w:pStyle w:val="Heading2"/>
        <w:rPr>
          <w:rFonts w:ascii="Times New Roman" w:hAnsi="Times New Roman" w:cs="Times New Roman"/>
          <w:sz w:val="24"/>
          <w:szCs w:val="24"/>
        </w:rPr>
      </w:pPr>
      <w:bookmarkStart w:id="6" w:name="X93f58c85deab01aa06e1dd318f3a64b3274e1c8"/>
      <w:bookmarkEnd w:id="5"/>
      <w:r w:rsidRPr="000829A5">
        <w:rPr>
          <w:rFonts w:ascii="Times New Roman" w:hAnsi="Times New Roman" w:cs="Times New Roman"/>
          <w:sz w:val="24"/>
          <w:szCs w:val="24"/>
        </w:rPr>
        <w:t>2.4 Market regimes and explanation reliability</w:t>
      </w:r>
    </w:p>
    <w:p w14:paraId="5FA2FB25" w14:textId="77777777" w:rsidR="00F14584" w:rsidRPr="000829A5" w:rsidRDefault="00000000">
      <w:pPr>
        <w:pStyle w:val="FirstParagraph"/>
        <w:rPr>
          <w:rFonts w:ascii="Times New Roman" w:hAnsi="Times New Roman" w:cs="Times New Roman"/>
        </w:rPr>
      </w:pPr>
      <w:r w:rsidRPr="000829A5">
        <w:rPr>
          <w:rFonts w:ascii="Times New Roman" w:hAnsi="Times New Roman" w:cs="Times New Roman"/>
        </w:rPr>
        <w:t>Bull and bear phases have long been analysed as persistent market states (</w:t>
      </w:r>
      <w:hyperlink w:anchor="ref-pagan2003bullbear">
        <w:r w:rsidRPr="000829A5">
          <w:rPr>
            <w:rStyle w:val="Hyperlink"/>
            <w:rFonts w:ascii="Times New Roman" w:hAnsi="Times New Roman" w:cs="Times New Roman"/>
          </w:rPr>
          <w:t>Pagan &amp; Sossounov, 2003</w:t>
        </w:r>
      </w:hyperlink>
      <w:r w:rsidRPr="000829A5">
        <w:rPr>
          <w:rFonts w:ascii="Times New Roman" w:hAnsi="Times New Roman" w:cs="Times New Roman"/>
        </w:rPr>
        <w:t>). Trend-following evidence motivates using returns across several horizons (</w:t>
      </w:r>
      <w:hyperlink w:anchor="ref-moskowitz2012tsm">
        <w:r w:rsidRPr="000829A5">
          <w:rPr>
            <w:rStyle w:val="Hyperlink"/>
            <w:rFonts w:ascii="Times New Roman" w:hAnsi="Times New Roman" w:cs="Times New Roman"/>
          </w:rPr>
          <w:t>Moskowitz et al., 2012</w:t>
        </w:r>
      </w:hyperlink>
      <w:r w:rsidRPr="000829A5">
        <w:rPr>
          <w:rFonts w:ascii="Times New Roman" w:hAnsi="Times New Roman" w:cs="Times New Roman"/>
        </w:rPr>
        <w:t>), while the Average Directional Index (ADX) provides a conventional measure of trend strength (</w:t>
      </w:r>
      <w:hyperlink w:anchor="ref-wilder1978concepts">
        <w:r w:rsidRPr="000829A5">
          <w:rPr>
            <w:rStyle w:val="Hyperlink"/>
            <w:rFonts w:ascii="Times New Roman" w:hAnsi="Times New Roman" w:cs="Times New Roman"/>
          </w:rPr>
          <w:t>Wilder, 1978</w:t>
        </w:r>
      </w:hyperlink>
      <w:r w:rsidRPr="000829A5">
        <w:rPr>
          <w:rFonts w:ascii="Times New Roman" w:hAnsi="Times New Roman" w:cs="Times New Roman"/>
        </w:rPr>
        <w:t>). A regime router used for next-day forecasting must be fitted without future labels and should produce semantically valid states in both training and test periods.</w:t>
      </w:r>
    </w:p>
    <w:p w14:paraId="0A899D47"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SHAP unifies feature attribution through Shapley values (</w:t>
      </w:r>
      <w:hyperlink w:anchor="ref-lundberg2017shap">
        <w:r w:rsidRPr="000829A5">
          <w:rPr>
            <w:rStyle w:val="Hyperlink"/>
            <w:rFonts w:ascii="Times New Roman" w:hAnsi="Times New Roman" w:cs="Times New Roman"/>
          </w:rPr>
          <w:t>Lundberg &amp; Lee, 2017</w:t>
        </w:r>
      </w:hyperlink>
      <w:r w:rsidRPr="000829A5">
        <w:rPr>
          <w:rFonts w:ascii="Times New Roman" w:hAnsi="Times New Roman" w:cs="Times New Roman"/>
        </w:rPr>
        <w:t>). LIME fits local surrogate explanations around individual predictions (</w:t>
      </w:r>
      <w:hyperlink w:anchor="ref-ribeiro2016lime">
        <w:r w:rsidRPr="000829A5">
          <w:rPr>
            <w:rStyle w:val="Hyperlink"/>
            <w:rFonts w:ascii="Times New Roman" w:hAnsi="Times New Roman" w:cs="Times New Roman"/>
          </w:rPr>
          <w:t>Ribeiro et al., 2016</w:t>
        </w:r>
      </w:hyperlink>
      <w:r w:rsidRPr="000829A5">
        <w:rPr>
          <w:rFonts w:ascii="Times New Roman" w:hAnsi="Times New Roman" w:cs="Times New Roman"/>
        </w:rPr>
        <w:t>). Neither method converts model association into causal market evidence, and an explanation is useful only if it is sufficiently faithful to the fitted model. Sanity checks are consequently part of the explanation audit rather than an optional visualization exercise (</w:t>
      </w:r>
      <w:hyperlink w:anchor="ref-adebayo2018sanity">
        <w:r w:rsidRPr="000829A5">
          <w:rPr>
            <w:rStyle w:val="Hyperlink"/>
            <w:rFonts w:ascii="Times New Roman" w:hAnsi="Times New Roman" w:cs="Times New Roman"/>
          </w:rPr>
          <w:t>Adebayo et al., 2018</w:t>
        </w:r>
      </w:hyperlink>
      <w:r w:rsidRPr="000829A5">
        <w:rPr>
          <w:rFonts w:ascii="Times New Roman" w:hAnsi="Times New Roman" w:cs="Times New Roman"/>
        </w:rPr>
        <w:t>). Finance-specific review evidence also emphasizes that explanation methods must be assessed with domain, transparency, and adoption constraints in view (</w:t>
      </w:r>
      <w:hyperlink w:anchor="ref-yeo2025finxai">
        <w:r w:rsidRPr="000829A5">
          <w:rPr>
            <w:rStyle w:val="Hyperlink"/>
            <w:rFonts w:ascii="Times New Roman" w:hAnsi="Times New Roman" w:cs="Times New Roman"/>
          </w:rPr>
          <w:t>Yeo et al., 2025</w:t>
        </w:r>
      </w:hyperlink>
      <w:r w:rsidRPr="000829A5">
        <w:rPr>
          <w:rFonts w:ascii="Times New Roman" w:hAnsi="Times New Roman" w:cs="Times New Roman"/>
        </w:rPr>
        <w:t>). We use SHAP for a train-only selector and LIME only as a post-selection diagnostic; LIME never determines a feature subset.</w:t>
      </w:r>
    </w:p>
    <w:p w14:paraId="5C63504F" w14:textId="77777777" w:rsidR="00F14584" w:rsidRPr="000829A5" w:rsidRDefault="00000000">
      <w:pPr>
        <w:pStyle w:val="Heading2"/>
        <w:rPr>
          <w:rFonts w:ascii="Times New Roman" w:hAnsi="Times New Roman" w:cs="Times New Roman"/>
          <w:sz w:val="24"/>
          <w:szCs w:val="24"/>
        </w:rPr>
      </w:pPr>
      <w:bookmarkStart w:id="7" w:name="evaluation-reliability"/>
      <w:bookmarkEnd w:id="6"/>
      <w:r w:rsidRPr="000829A5">
        <w:rPr>
          <w:rFonts w:ascii="Times New Roman" w:hAnsi="Times New Roman" w:cs="Times New Roman"/>
          <w:sz w:val="24"/>
          <w:szCs w:val="24"/>
        </w:rPr>
        <w:t>2.5 Evaluation reliability</w:t>
      </w:r>
    </w:p>
    <w:p w14:paraId="690CC448" w14:textId="77777777" w:rsidR="00F14584" w:rsidRPr="000829A5" w:rsidRDefault="00000000">
      <w:pPr>
        <w:pStyle w:val="FirstParagraph"/>
        <w:rPr>
          <w:rFonts w:ascii="Times New Roman" w:hAnsi="Times New Roman" w:cs="Times New Roman"/>
        </w:rPr>
      </w:pPr>
      <w:r w:rsidRPr="000829A5">
        <w:rPr>
          <w:rFonts w:ascii="Times New Roman" w:hAnsi="Times New Roman" w:cs="Times New Roman"/>
        </w:rPr>
        <w:t>Time-series evaluation must respect order and dependence (</w:t>
      </w:r>
      <w:hyperlink w:anchor="ref-bergmeir2018cv">
        <w:r w:rsidRPr="000829A5">
          <w:rPr>
            <w:rStyle w:val="Hyperlink"/>
            <w:rFonts w:ascii="Times New Roman" w:hAnsi="Times New Roman" w:cs="Times New Roman"/>
          </w:rPr>
          <w:t>Bergmeir et al., 2018</w:t>
        </w:r>
      </w:hyperlink>
      <w:r w:rsidRPr="000829A5">
        <w:rPr>
          <w:rFonts w:ascii="Times New Roman" w:hAnsi="Times New Roman" w:cs="Times New Roman"/>
        </w:rPr>
        <w:t>). Financial machine-learning backtests additionally require explicit information boundaries, pre-specified choices, and separation of development from evaluation (</w:t>
      </w:r>
      <w:hyperlink w:anchor="ref-arnott2019backtest">
        <w:r w:rsidRPr="000829A5">
          <w:rPr>
            <w:rStyle w:val="Hyperlink"/>
            <w:rFonts w:ascii="Times New Roman" w:hAnsi="Times New Roman" w:cs="Times New Roman"/>
          </w:rPr>
          <w:t>Arnott et al., 2019</w:t>
        </w:r>
      </w:hyperlink>
      <w:r w:rsidRPr="000829A5">
        <w:rPr>
          <w:rFonts w:ascii="Times New Roman" w:hAnsi="Times New Roman" w:cs="Times New Roman"/>
        </w:rPr>
        <w:t xml:space="preserve">; </w:t>
      </w:r>
      <w:hyperlink w:anchor="ref-olorunnimbe2023survey">
        <w:r w:rsidRPr="000829A5">
          <w:rPr>
            <w:rStyle w:val="Hyperlink"/>
            <w:rFonts w:ascii="Times New Roman" w:hAnsi="Times New Roman" w:cs="Times New Roman"/>
          </w:rPr>
          <w:t>Olorunnimbe &amp; Viktor, 2023</w:t>
        </w:r>
      </w:hyperlink>
      <w:r w:rsidRPr="000829A5">
        <w:rPr>
          <w:rFonts w:ascii="Times New Roman" w:hAnsi="Times New Roman" w:cs="Times New Roman"/>
        </w:rPr>
        <w:t>). We use expanding annual folds and a label-observation purge instead of random cross-validation. Balanced accuracy—the mean of class-wise recalls—is the primary directional metric because raw accuracy can reward a one-sided classifier when Up and Down frequencies differ (</w:t>
      </w:r>
      <w:hyperlink w:anchor="ref-brodersen2010balanced">
        <w:r w:rsidRPr="000829A5">
          <w:rPr>
            <w:rStyle w:val="Hyperlink"/>
            <w:rFonts w:ascii="Times New Roman" w:hAnsi="Times New Roman" w:cs="Times New Roman"/>
          </w:rPr>
          <w:t>Brodersen et al., 2010</w:t>
        </w:r>
      </w:hyperlink>
      <w:r w:rsidRPr="000829A5">
        <w:rPr>
          <w:rFonts w:ascii="Times New Roman" w:hAnsi="Times New Roman" w:cs="Times New Roman"/>
        </w:rPr>
        <w:t>). Families of related comparisons are adjusted by the Holm procedure (</w:t>
      </w:r>
      <w:hyperlink w:anchor="ref-holm1979procedure">
        <w:r w:rsidRPr="000829A5">
          <w:rPr>
            <w:rStyle w:val="Hyperlink"/>
            <w:rFonts w:ascii="Times New Roman" w:hAnsi="Times New Roman" w:cs="Times New Roman"/>
          </w:rPr>
          <w:t>Holm, 1979</w:t>
        </w:r>
      </w:hyperlink>
      <w:r w:rsidRPr="000829A5">
        <w:rPr>
          <w:rFonts w:ascii="Times New Roman" w:hAnsi="Times New Roman" w:cs="Times New Roman"/>
        </w:rPr>
        <w:t>). Economic summaries are explicitly exploratory; the Deflated Sharpe Ratio is retained to reveal selection and short-sample risk rather than to certify deployment (</w:t>
      </w:r>
      <w:hyperlink w:anchor="ref-bailey2014dsr">
        <w:r w:rsidRPr="000829A5">
          <w:rPr>
            <w:rStyle w:val="Hyperlink"/>
            <w:rFonts w:ascii="Times New Roman" w:hAnsi="Times New Roman" w:cs="Times New Roman"/>
          </w:rPr>
          <w:t>Bailey &amp; López de Prado, 2014</w:t>
        </w:r>
      </w:hyperlink>
      <w:r w:rsidRPr="000829A5">
        <w:rPr>
          <w:rFonts w:ascii="Times New Roman" w:hAnsi="Times New Roman" w:cs="Times New Roman"/>
        </w:rPr>
        <w:t>).</w:t>
      </w:r>
    </w:p>
    <w:p w14:paraId="29D2F957" w14:textId="77777777" w:rsidR="00F14584" w:rsidRPr="000829A5" w:rsidRDefault="00000000">
      <w:pPr>
        <w:pStyle w:val="Heading1"/>
        <w:rPr>
          <w:rFonts w:ascii="Times New Roman" w:hAnsi="Times New Roman" w:cs="Times New Roman"/>
          <w:sz w:val="24"/>
          <w:szCs w:val="24"/>
        </w:rPr>
      </w:pPr>
      <w:bookmarkStart w:id="8" w:name="materials-and-methods"/>
      <w:bookmarkEnd w:id="2"/>
      <w:bookmarkEnd w:id="7"/>
      <w:r w:rsidRPr="000829A5">
        <w:rPr>
          <w:rFonts w:ascii="Times New Roman" w:hAnsi="Times New Roman" w:cs="Times New Roman"/>
          <w:sz w:val="24"/>
          <w:szCs w:val="24"/>
        </w:rPr>
        <w:t>3. Materials and methods</w:t>
      </w:r>
    </w:p>
    <w:p w14:paraId="1DB449C3" w14:textId="77777777" w:rsidR="00F14584" w:rsidRPr="000829A5" w:rsidRDefault="00000000">
      <w:pPr>
        <w:pStyle w:val="Heading2"/>
        <w:rPr>
          <w:rFonts w:ascii="Times New Roman" w:hAnsi="Times New Roman" w:cs="Times New Roman"/>
          <w:sz w:val="24"/>
          <w:szCs w:val="24"/>
        </w:rPr>
      </w:pPr>
      <w:bookmarkStart w:id="9" w:name="study-design-and-evidence-hierarchy"/>
      <w:r w:rsidRPr="000829A5">
        <w:rPr>
          <w:rFonts w:ascii="Times New Roman" w:hAnsi="Times New Roman" w:cs="Times New Roman"/>
          <w:sz w:val="24"/>
          <w:szCs w:val="24"/>
        </w:rPr>
        <w:t>3.1 Study design and evidence hierarchy</w:t>
      </w:r>
    </w:p>
    <w:p w14:paraId="287E786F" w14:textId="77777777" w:rsidR="00F14584" w:rsidRPr="000829A5" w:rsidRDefault="00000000">
      <w:pPr>
        <w:pStyle w:val="FirstParagraph"/>
        <w:rPr>
          <w:rFonts w:ascii="Times New Roman" w:hAnsi="Times New Roman" w:cs="Times New Roman"/>
        </w:rPr>
      </w:pPr>
      <w:r w:rsidRPr="000829A5">
        <w:rPr>
          <w:rFonts w:ascii="Times New Roman" w:hAnsi="Times New Roman" w:cs="Times New Roman"/>
        </w:rPr>
        <w:t xml:space="preserve">Figure 1 summarizes a unified five-pillar reliability audit. The numerical market stream is available for the full historical period. The text stream enters only on dates for which a </w:t>
      </w:r>
      <w:r w:rsidRPr="000829A5">
        <w:rPr>
          <w:rFonts w:ascii="Times New Roman" w:hAnsi="Times New Roman" w:cs="Times New Roman"/>
        </w:rPr>
        <w:lastRenderedPageBreak/>
        <w:t>defensible out-of-sample news estimate exists. Causal regime labels and train-only explanation rankings act on the numerical feature pool. Later-period and cross-index modules stress the frozen configuration.</w:t>
      </w:r>
    </w:p>
    <w:p w14:paraId="16DF15D1"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b/>
          <w:bCs/>
        </w:rPr>
        <w:t>[Figure 1 near here]</w:t>
      </w:r>
    </w:p>
    <w:p w14:paraId="07549E17"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b/>
          <w:bCs/>
        </w:rPr>
        <w:t>Figure 1. Five-pillar reliability-audit pipeline.</w:t>
      </w:r>
      <w:r w:rsidRPr="000829A5">
        <w:rPr>
          <w:rFonts w:ascii="Times New Roman" w:hAnsi="Times New Roman" w:cs="Times New Roman"/>
        </w:rPr>
        <w:t xml:space="preserve"> Market-data governance and point-in-time reconstruction support all later modules. Causal VMD tests numerical denoising; out-of-sample Local NLP and a compute-matched Bull/Bear/Leader system test multimodal claims; daily Bull/Sideway/Bear routing and SHAP test regime-dependent selection; partial-2026 and SET100 evaluate temporal and same-exchange robustness. The diagram must show two dated news routes into SET50 forecasting: the original expanding Local-NLP route and the subsequent Debate-Leader route. The intrinsic 2023 comparison is shown as a separate evaluation box connected to the same Leader system.</w:t>
      </w:r>
    </w:p>
    <w:p w14:paraId="54417D72"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The evidence tiers were fixed in the reporting specification. The corrected numerical ablation is the primary/secondary architecture-paired experiment. The multimodal negative controls are frozen retrospective falsification tests: their protocols were fixed before those control outputs were opened, but the 2022–2025 market period had appeared in earlier analyses. The integrated numeric–news–regime factorial and the regime-explainability analysis are reported as post-hoc robustness evidence because their questions were refined after inspecting shortcomings in earlier components. The partial-2026 module was frozen before 2026 access but required a documented source deviation, so it is called source-contingent forward evidence. SET100 was frozen before model fitting and is a same-exchange transfer audit, not an independent-market replication. These labels prevent retrospective work from being presented as an untouched confirmatory study.</w:t>
      </w:r>
    </w:p>
    <w:p w14:paraId="6F7654E1" w14:textId="77777777" w:rsidR="00F14584" w:rsidRPr="000829A5" w:rsidRDefault="00000000">
      <w:pPr>
        <w:pStyle w:val="Heading2"/>
        <w:rPr>
          <w:rFonts w:ascii="Times New Roman" w:hAnsi="Times New Roman" w:cs="Times New Roman"/>
          <w:sz w:val="24"/>
          <w:szCs w:val="24"/>
        </w:rPr>
      </w:pPr>
      <w:bookmarkStart w:id="10" w:name="X2aa53ac8d82469d9aba10f0dccd77c18b08b3af"/>
      <w:bookmarkEnd w:id="9"/>
      <w:r w:rsidRPr="000829A5">
        <w:rPr>
          <w:rFonts w:ascii="Times New Roman" w:hAnsi="Times New Roman" w:cs="Times New Roman"/>
          <w:sz w:val="24"/>
          <w:szCs w:val="24"/>
        </w:rPr>
        <w:t>3.2 Market data, provenance, and temporal convention</w:t>
      </w:r>
    </w:p>
    <w:p w14:paraId="29A32D1B" w14:textId="77777777" w:rsidR="00F14584" w:rsidRPr="000829A5" w:rsidRDefault="00000000">
      <w:pPr>
        <w:pStyle w:val="FirstParagraph"/>
        <w:rPr>
          <w:rFonts w:ascii="Times New Roman" w:hAnsi="Times New Roman" w:cs="Times New Roman"/>
        </w:rPr>
      </w:pPr>
      <w:r w:rsidRPr="000829A5">
        <w:rPr>
          <w:rFonts w:ascii="Times New Roman" w:hAnsi="Times New Roman" w:cs="Times New Roman"/>
        </w:rPr>
        <w:t>Daily, weekly, and monthly SET50 and SET100 price-index observations were obtained by manual browser download from publicly accessible Investing.com historical-data pages (</w:t>
      </w:r>
      <w:hyperlink w:anchor="ref-investingSet50">
        <w:r w:rsidRPr="000829A5">
          <w:rPr>
            <w:rStyle w:val="Hyperlink"/>
            <w:rFonts w:ascii="Times New Roman" w:hAnsi="Times New Roman" w:cs="Times New Roman"/>
          </w:rPr>
          <w:t>Investing.com, n.d.-b</w:t>
        </w:r>
      </w:hyperlink>
      <w:r w:rsidRPr="000829A5">
        <w:rPr>
          <w:rFonts w:ascii="Times New Roman" w:hAnsi="Times New Roman" w:cs="Times New Roman"/>
        </w:rPr>
        <w:t xml:space="preserve">, </w:t>
      </w:r>
      <w:hyperlink w:anchor="ref-investingSet100">
        <w:r w:rsidRPr="000829A5">
          <w:rPr>
            <w:rStyle w:val="Hyperlink"/>
            <w:rFonts w:ascii="Times New Roman" w:hAnsi="Times New Roman" w:cs="Times New Roman"/>
          </w:rPr>
          <w:t>n.d.-a</w:t>
        </w:r>
      </w:hyperlink>
      <w:r w:rsidRPr="000829A5">
        <w:rPr>
          <w:rFonts w:ascii="Times New Roman" w:hAnsi="Times New Roman" w:cs="Times New Roman"/>
        </w:rPr>
        <w:t xml:space="preserve">). The retained provenance manifest records source URLs, file sizes, SHA-256 digests, row counts, date ranges, acquisition evidence, and method. Public access is not represented as an open-data licence; provider terms continue to </w:t>
      </w:r>
      <w:proofErr w:type="gramStart"/>
      <w:r w:rsidRPr="000829A5">
        <w:rPr>
          <w:rFonts w:ascii="Times New Roman" w:hAnsi="Times New Roman" w:cs="Times New Roman"/>
        </w:rPr>
        <w:t>apply</w:t>
      </w:r>
      <w:proofErr w:type="gramEnd"/>
      <w:r w:rsidRPr="000829A5">
        <w:rPr>
          <w:rFonts w:ascii="Times New Roman" w:hAnsi="Times New Roman" w:cs="Times New Roman"/>
        </w:rPr>
        <w:t xml:space="preserve"> and raw rows are not redistributed.</w:t>
      </w:r>
    </w:p>
    <w:p w14:paraId="740637E7"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 xml:space="preserve">Date-only observations were interpreted as Stock Exchange of Thailand sessions in the Asia/Bangkok time zone. Features were treated as available at 17:00 local time, after the normal trading session. Weekly and monthly bars were shifted by one completed period before forward </w:t>
      </w:r>
      <w:proofErr w:type="gramStart"/>
      <w:r w:rsidRPr="000829A5">
        <w:rPr>
          <w:rFonts w:ascii="Times New Roman" w:hAnsi="Times New Roman" w:cs="Times New Roman"/>
        </w:rPr>
        <w:t>filling</w:t>
      </w:r>
      <w:proofErr w:type="gramEnd"/>
      <w:r w:rsidRPr="000829A5">
        <w:rPr>
          <w:rFonts w:ascii="Times New Roman" w:hAnsi="Times New Roman" w:cs="Times New Roman"/>
        </w:rPr>
        <w:t xml:space="preserve"> to the daily calendar. </w:t>
      </w:r>
      <w:proofErr w:type="gramStart"/>
      <w:r w:rsidRPr="000829A5">
        <w:rPr>
          <w:rFonts w:ascii="Times New Roman" w:hAnsi="Times New Roman" w:cs="Times New Roman"/>
        </w:rPr>
        <w:t>Thus</w:t>
      </w:r>
      <w:proofErr w:type="gramEnd"/>
      <w:r w:rsidRPr="000829A5">
        <w:rPr>
          <w:rFonts w:ascii="Times New Roman" w:hAnsi="Times New Roman" w:cs="Times New Roman"/>
        </w:rPr>
        <w:t xml:space="preserve"> a daily row never used a still-incomplete weekly or monthly bar. The study uses provider-published price-index levels, not total-return indices, and applies no researcher-side split, dividend, constituent, or corporate-action adjustment.</w:t>
      </w:r>
    </w:p>
    <w:p w14:paraId="2D9B839E"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Across the six raw index-frequency files, 40 of 42 integrity checks passed. Two OHLC-containment warnings occurred on 11 December 2025 in both daily index files. They were retained and disclosed rather than silently repaired; no critical check failed. The aligned SET100 cohort contained 3,360 of 3,381 required SET50 reference dates (99.3789%). Twenty-one leading dates were excluded because a completed monthly SET100 period was not yet available; backfilling was prohibited.</w:t>
      </w:r>
    </w:p>
    <w:p w14:paraId="4215110D"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lastRenderedPageBreak/>
        <w:t>After the 60-day technical-indicator warm-up, the effective SET50 feature period begins on 3 May 2012. Outer evaluation ends on 18 December 2025. The four outer SET50 test years contain 241, 243, 244, and 234 rows, respectively.</w:t>
      </w:r>
    </w:p>
    <w:p w14:paraId="3D3BF298" w14:textId="77777777" w:rsidR="00F14584" w:rsidRPr="000829A5" w:rsidRDefault="00000000">
      <w:pPr>
        <w:pStyle w:val="Heading2"/>
        <w:rPr>
          <w:rFonts w:ascii="Times New Roman" w:hAnsi="Times New Roman" w:cs="Times New Roman"/>
          <w:sz w:val="24"/>
          <w:szCs w:val="24"/>
        </w:rPr>
      </w:pPr>
      <w:bookmarkStart w:id="11" w:name="Xc8fe803efc4392c67323ed3ddc8d4155fc1c839"/>
      <w:bookmarkEnd w:id="10"/>
      <w:r w:rsidRPr="000829A5">
        <w:rPr>
          <w:rFonts w:ascii="Times New Roman" w:hAnsi="Times New Roman" w:cs="Times New Roman"/>
          <w:sz w:val="24"/>
          <w:szCs w:val="24"/>
        </w:rPr>
        <w:t>3.3 News data and out-of-sample sentiment construction</w:t>
      </w:r>
    </w:p>
    <w:p w14:paraId="3FD68703" w14:textId="77777777" w:rsidR="00F14584" w:rsidRPr="000829A5" w:rsidRDefault="00000000">
      <w:pPr>
        <w:pStyle w:val="FirstParagraph"/>
        <w:rPr>
          <w:rFonts w:ascii="Times New Roman" w:hAnsi="Times New Roman" w:cs="Times New Roman"/>
        </w:rPr>
      </w:pPr>
      <w:r w:rsidRPr="000829A5">
        <w:rPr>
          <w:rFonts w:ascii="Times New Roman" w:hAnsi="Times New Roman" w:cs="Times New Roman"/>
        </w:rPr>
        <w:t>The labelled text source is Bilingual StockTBSA, published by the VISTEC-depa AI Research Institute of Thailand (</w:t>
      </w:r>
      <w:hyperlink w:anchor="ref-uthayopas2025stocktbsa">
        <w:r w:rsidRPr="000829A5">
          <w:rPr>
            <w:rStyle w:val="Hyperlink"/>
            <w:rFonts w:ascii="Times New Roman" w:hAnsi="Times New Roman" w:cs="Times New Roman"/>
          </w:rPr>
          <w:t>Uthayopas et al., 2025</w:t>
        </w:r>
      </w:hyperlink>
      <w:r w:rsidRPr="000829A5">
        <w:rPr>
          <w:rFonts w:ascii="Times New Roman" w:hAnsi="Times New Roman" w:cs="Times New Roman"/>
        </w:rPr>
        <w:t xml:space="preserve">). The local source snapshot spans 3 January 2018 to 28 December 2023 and contains 10,295 articles, 15,949 article–ticker labels, and 12,706 valid positive, neutral, or negative pairs. Labels marked exclude, </w:t>
      </w:r>
      <w:proofErr w:type="gramStart"/>
      <w:r w:rsidRPr="000829A5">
        <w:rPr>
          <w:rFonts w:ascii="Times New Roman" w:hAnsi="Times New Roman" w:cs="Times New Roman"/>
        </w:rPr>
        <w:t>not-stock</w:t>
      </w:r>
      <w:proofErr w:type="gramEnd"/>
      <w:r w:rsidRPr="000829A5">
        <w:rPr>
          <w:rFonts w:ascii="Times New Roman" w:hAnsi="Times New Roman" w:cs="Times New Roman"/>
        </w:rPr>
        <w:t xml:space="preserve">, or ambiguous were not </w:t>
      </w:r>
      <w:proofErr w:type="gramStart"/>
      <w:r w:rsidRPr="000829A5">
        <w:rPr>
          <w:rFonts w:ascii="Times New Roman" w:hAnsi="Times New Roman" w:cs="Times New Roman"/>
        </w:rPr>
        <w:t>relabelled</w:t>
      </w:r>
      <w:proofErr w:type="gramEnd"/>
      <w:r w:rsidRPr="000829A5">
        <w:rPr>
          <w:rFonts w:ascii="Times New Roman" w:hAnsi="Times New Roman" w:cs="Times New Roman"/>
        </w:rPr>
        <w:t xml:space="preserve"> as neutral. The locked 2023 intrinsic sentiment cohort contains 1,333 pairs from 738 unique articles, with class counts of 92 negative, 585 neutral, and 656 </w:t>
      </w:r>
      <w:proofErr w:type="gramStart"/>
      <w:r w:rsidRPr="000829A5">
        <w:rPr>
          <w:rFonts w:ascii="Times New Roman" w:hAnsi="Times New Roman" w:cs="Times New Roman"/>
        </w:rPr>
        <w:t>positive</w:t>
      </w:r>
      <w:proofErr w:type="gramEnd"/>
      <w:r w:rsidRPr="000829A5">
        <w:rPr>
          <w:rFonts w:ascii="Times New Roman" w:hAnsi="Times New Roman" w:cs="Times New Roman"/>
        </w:rPr>
        <w:t>.</w:t>
      </w:r>
    </w:p>
    <w:p w14:paraId="2406571B"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For 2024–2025, 69,824 deduplicated headlines were obtained from the official SET news service (</w:t>
      </w:r>
      <w:hyperlink w:anchor="ref-setNews">
        <w:r w:rsidRPr="000829A5">
          <w:rPr>
            <w:rStyle w:val="Hyperlink"/>
            <w:rFonts w:ascii="Times New Roman" w:hAnsi="Times New Roman" w:cs="Times New Roman"/>
          </w:rPr>
          <w:t>The Stock Exchange of Thailand, n.d.-a</w:t>
        </w:r>
      </w:hyperlink>
      <w:r w:rsidRPr="000829A5">
        <w:rPr>
          <w:rFonts w:ascii="Times New Roman" w:hAnsi="Times New Roman" w:cs="Times New Roman"/>
        </w:rPr>
        <w:t>). A point-in-time membership filter produced 4,619 article–symbol pairs associated with contemporaneous SET50 constituents. Six non-overlapping membership versions cover the period, including the March–April 2025 GULF/GULFI/INTUCH/VGI transition. These headlines are unlabelled; their sentiment predictions are evaluated only through downstream forecasting. An additional 68,514-row 2015–2017 corpus lacks comparable ticker and sentiment labels and was excluded from the main benchmark. No defensible, free, consistently dated 2012–2014 news source was identified. The paper therefore does not claim homogeneous news coverage from 2012 to 2025.</w:t>
      </w:r>
    </w:p>
    <w:p w14:paraId="2248788F"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The operational sentiment model is a balanced logistic regression over character TF–IDF features, with the target ticker prepended to the text. It requires no Thai word segmentation. Annual expanding predictions were made as follows: train 2018 and predict 2019; train through 2019 and predict 2020; and continue analogously through a 2018–2022 fit predicting 2023. For 2024–2025, the classifier was fitted once on labelled 2018–2023 data and frozen. It was not retrained on pseudo-labels, and no Optuna tuning was used.</w:t>
      </w:r>
    </w:p>
    <w:p w14:paraId="5145BFF1"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The labelled source lacks reliable intraday publication times. To preserve a conservative information boundary, a news item dated on calendar day (d) was assigned to the first trading session strictly after (d); weekend items were assigned to the next session. Eight daily variables were constructed: sentiment mean and standard deviation; positive, negative, and neutral ratios; article count; ticker-mention count; and a news-availability indicator. The forecasting cohort begins in 2019, the first year with out-of-sample sentiment predictions.</w:t>
      </w:r>
    </w:p>
    <w:p w14:paraId="7BE17104" w14:textId="77777777" w:rsidR="00F14584" w:rsidRPr="000829A5" w:rsidRDefault="00000000">
      <w:pPr>
        <w:pStyle w:val="Heading2"/>
        <w:rPr>
          <w:rFonts w:ascii="Times New Roman" w:hAnsi="Times New Roman" w:cs="Times New Roman"/>
          <w:sz w:val="24"/>
          <w:szCs w:val="24"/>
        </w:rPr>
      </w:pPr>
      <w:bookmarkStart w:id="12" w:name="point-in-time-prediction-contract"/>
      <w:bookmarkEnd w:id="11"/>
      <w:r w:rsidRPr="000829A5">
        <w:rPr>
          <w:rFonts w:ascii="Times New Roman" w:hAnsi="Times New Roman" w:cs="Times New Roman"/>
          <w:sz w:val="24"/>
          <w:szCs w:val="24"/>
        </w:rPr>
        <w:t>3.4 Point-in-time prediction contract</w:t>
      </w:r>
    </w:p>
    <w:p w14:paraId="12B998F2" w14:textId="77777777" w:rsidR="00F14584" w:rsidRPr="000829A5" w:rsidRDefault="00000000">
      <w:pPr>
        <w:pStyle w:val="FirstParagraph"/>
        <w:rPr>
          <w:rFonts w:ascii="Times New Roman" w:hAnsi="Times New Roman" w:cs="Times New Roman"/>
        </w:rPr>
      </w:pPr>
      <w:r w:rsidRPr="000829A5">
        <w:rPr>
          <w:rFonts w:ascii="Times New Roman" w:hAnsi="Times New Roman" w:cs="Times New Roman"/>
        </w:rPr>
        <w:t>For feature date (t), all market variables use information available through the close at (t). The price target for the regression-based historical modules is</w:t>
      </w:r>
    </w:p>
    <w:p w14:paraId="752D445E" w14:textId="77777777" w:rsidR="00F14584" w:rsidRPr="000829A5" w:rsidRDefault="00000000">
      <w:pPr>
        <w:pStyle w:val="BodyText"/>
        <w:rPr>
          <w:rFonts w:ascii="Times New Roman" w:hAnsi="Times New Roman" w:cs="Times New Roman"/>
        </w:rPr>
      </w:pPr>
      <w:proofErr w:type="gramStart"/>
      <w:r w:rsidRPr="000829A5">
        <w:rPr>
          <w:rFonts w:ascii="Times New Roman" w:hAnsi="Times New Roman" w:cs="Times New Roman"/>
        </w:rPr>
        <w:t>[ y</w:t>
      </w:r>
      <w:proofErr w:type="gramEnd"/>
      <w:r w:rsidRPr="000829A5">
        <w:rPr>
          <w:rFonts w:ascii="Times New Roman" w:hAnsi="Times New Roman" w:cs="Times New Roman"/>
        </w:rPr>
        <w:t>_t=</w:t>
      </w:r>
      <w:proofErr w:type="gramStart"/>
      <w:r w:rsidRPr="000829A5">
        <w:rPr>
          <w:rFonts w:ascii="Times New Roman" w:hAnsi="Times New Roman" w:cs="Times New Roman"/>
        </w:rPr>
        <w:t>C_{</w:t>
      </w:r>
      <w:proofErr w:type="gramEnd"/>
      <w:r w:rsidRPr="000829A5">
        <w:rPr>
          <w:rFonts w:ascii="Times New Roman" w:hAnsi="Times New Roman" w:cs="Times New Roman"/>
        </w:rPr>
        <w:t>t+1}</w:t>
      </w:r>
      <w:proofErr w:type="gramStart"/>
      <w:r w:rsidRPr="000829A5">
        <w:rPr>
          <w:rFonts w:ascii="Times New Roman" w:hAnsi="Times New Roman" w:cs="Times New Roman"/>
        </w:rPr>
        <w:t>, ]</w:t>
      </w:r>
      <w:proofErr w:type="gramEnd"/>
    </w:p>
    <w:p w14:paraId="64A4BCC9"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and the directional target is</w:t>
      </w:r>
    </w:p>
    <w:p w14:paraId="1EEB67ED" w14:textId="77777777" w:rsidR="00F14584" w:rsidRPr="000829A5" w:rsidRDefault="00000000">
      <w:pPr>
        <w:pStyle w:val="BodyText"/>
        <w:rPr>
          <w:rFonts w:ascii="Times New Roman" w:hAnsi="Times New Roman" w:cs="Times New Roman"/>
        </w:rPr>
      </w:pPr>
      <w:proofErr w:type="gramStart"/>
      <w:r w:rsidRPr="000829A5">
        <w:rPr>
          <w:rFonts w:ascii="Times New Roman" w:hAnsi="Times New Roman" w:cs="Times New Roman"/>
        </w:rPr>
        <w:t>[ d</w:t>
      </w:r>
      <w:proofErr w:type="gramEnd"/>
      <w:r w:rsidRPr="000829A5">
        <w:rPr>
          <w:rFonts w:ascii="Times New Roman" w:hAnsi="Times New Roman" w:cs="Times New Roman"/>
        </w:rPr>
        <w:t>_t=(</w:t>
      </w:r>
      <w:proofErr w:type="gramStart"/>
      <w:r w:rsidRPr="000829A5">
        <w:rPr>
          <w:rFonts w:ascii="Times New Roman" w:hAnsi="Times New Roman" w:cs="Times New Roman"/>
        </w:rPr>
        <w:t>C_{</w:t>
      </w:r>
      <w:proofErr w:type="gramEnd"/>
      <w:r w:rsidRPr="000829A5">
        <w:rPr>
          <w:rFonts w:ascii="Times New Roman" w:hAnsi="Times New Roman" w:cs="Times New Roman"/>
        </w:rPr>
        <w:t>t+1}&gt;C_t)</w:t>
      </w:r>
      <w:proofErr w:type="gramStart"/>
      <w:r w:rsidRPr="000829A5">
        <w:rPr>
          <w:rFonts w:ascii="Times New Roman" w:hAnsi="Times New Roman" w:cs="Times New Roman"/>
        </w:rPr>
        <w:t>. ]</w:t>
      </w:r>
      <w:proofErr w:type="gramEnd"/>
    </w:p>
    <w:p w14:paraId="47FEC112"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lastRenderedPageBreak/>
        <w:t xml:space="preserve">Each row carries both </w:t>
      </w:r>
      <w:r w:rsidRPr="000829A5">
        <w:rPr>
          <w:rStyle w:val="VerbatimChar"/>
          <w:rFonts w:ascii="Times New Roman" w:hAnsi="Times New Roman" w:cs="Times New Roman"/>
          <w:sz w:val="24"/>
        </w:rPr>
        <w:t>Date</w:t>
      </w:r>
      <w:r w:rsidRPr="000829A5">
        <w:rPr>
          <w:rFonts w:ascii="Times New Roman" w:hAnsi="Times New Roman" w:cs="Times New Roman"/>
        </w:rPr>
        <w:t xml:space="preserve">, the feature timestamp, and </w:t>
      </w:r>
      <w:r w:rsidRPr="000829A5">
        <w:rPr>
          <w:rStyle w:val="VerbatimChar"/>
          <w:rFonts w:ascii="Times New Roman" w:hAnsi="Times New Roman" w:cs="Times New Roman"/>
          <w:sz w:val="24"/>
        </w:rPr>
        <w:t>Label_Date</w:t>
      </w:r>
      <w:r w:rsidRPr="000829A5">
        <w:rPr>
          <w:rFonts w:ascii="Times New Roman" w:hAnsi="Times New Roman" w:cs="Times New Roman"/>
        </w:rPr>
        <w:t>, the next observed session when (</w:t>
      </w:r>
      <w:proofErr w:type="gramStart"/>
      <w:r w:rsidRPr="000829A5">
        <w:rPr>
          <w:rFonts w:ascii="Times New Roman" w:hAnsi="Times New Roman" w:cs="Times New Roman"/>
        </w:rPr>
        <w:t>C_{</w:t>
      </w:r>
      <w:proofErr w:type="gramEnd"/>
      <w:r w:rsidRPr="000829A5">
        <w:rPr>
          <w:rFonts w:ascii="Times New Roman" w:hAnsi="Times New Roman" w:cs="Times New Roman"/>
        </w:rPr>
        <w:t>t+</w:t>
      </w:r>
      <w:proofErr w:type="gramStart"/>
      <w:r w:rsidRPr="000829A5">
        <w:rPr>
          <w:rFonts w:ascii="Times New Roman" w:hAnsi="Times New Roman" w:cs="Times New Roman"/>
        </w:rPr>
        <w:t>1})</w:t>
      </w:r>
      <w:proofErr w:type="gramEnd"/>
      <w:r w:rsidRPr="000829A5">
        <w:rPr>
          <w:rFonts w:ascii="Times New Roman" w:hAnsi="Times New Roman" w:cs="Times New Roman"/>
        </w:rPr>
        <w:t xml:space="preserve"> becomes known. At every training/evaluation boundary, a supervised training row is retained only when</w:t>
      </w:r>
    </w:p>
    <w:p w14:paraId="13419E71"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 _{t}</w:t>
      </w:r>
      <w:proofErr w:type="gramStart"/>
      <w:r w:rsidRPr="000829A5">
        <w:rPr>
          <w:rFonts w:ascii="Times New Roman" w:hAnsi="Times New Roman" w:cs="Times New Roman"/>
        </w:rPr>
        <w:t>&lt;(</w:t>
      </w:r>
      <w:proofErr w:type="gramEnd"/>
      <w:r w:rsidRPr="000829A5">
        <w:rPr>
          <w:rFonts w:ascii="Times New Roman" w:hAnsi="Times New Roman" w:cs="Times New Roman"/>
        </w:rPr>
        <w:t>)</w:t>
      </w:r>
      <w:proofErr w:type="gramStart"/>
      <w:r w:rsidRPr="000829A5">
        <w:rPr>
          <w:rFonts w:ascii="Times New Roman" w:hAnsi="Times New Roman" w:cs="Times New Roman"/>
        </w:rPr>
        <w:t>. ]</w:t>
      </w:r>
      <w:proofErr w:type="gramEnd"/>
    </w:p>
    <w:p w14:paraId="576812CA"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 xml:space="preserve">This rule removes the apparently harmless last training row whose feature date precedes the </w:t>
      </w:r>
      <w:proofErr w:type="gramStart"/>
      <w:r w:rsidRPr="000829A5">
        <w:rPr>
          <w:rFonts w:ascii="Times New Roman" w:hAnsi="Times New Roman" w:cs="Times New Roman"/>
        </w:rPr>
        <w:t>split</w:t>
      </w:r>
      <w:proofErr w:type="gramEnd"/>
      <w:r w:rsidRPr="000829A5">
        <w:rPr>
          <w:rFonts w:ascii="Times New Roman" w:hAnsi="Times New Roman" w:cs="Times New Roman"/>
        </w:rPr>
        <w:t xml:space="preserve"> but whose target is observed on the first evaluation date. The purged row remains as context-only history for construction of the first evaluation sequence: it is excluded from model fitting and scaler estimation, transformed with the training-fitted scaler, and never </w:t>
      </w:r>
      <w:proofErr w:type="gramStart"/>
      <w:r w:rsidRPr="000829A5">
        <w:rPr>
          <w:rFonts w:ascii="Times New Roman" w:hAnsi="Times New Roman" w:cs="Times New Roman"/>
        </w:rPr>
        <w:t>contributes</w:t>
      </w:r>
      <w:proofErr w:type="gramEnd"/>
      <w:r w:rsidRPr="000829A5">
        <w:rPr>
          <w:rFonts w:ascii="Times New Roman" w:hAnsi="Times New Roman" w:cs="Times New Roman"/>
        </w:rPr>
        <w:t xml:space="preserve"> a target. Reconstruction of all saved context transforms produced a maximum absolute error of (2.22</w:t>
      </w:r>
      <w:proofErr w:type="gramStart"/>
      <w:r w:rsidRPr="000829A5">
        <w:rPr>
          <w:rFonts w:ascii="Times New Roman" w:hAnsi="Times New Roman" w:cs="Times New Roman"/>
        </w:rPr>
        <w:t>^{</w:t>
      </w:r>
      <w:proofErr w:type="gramEnd"/>
      <w:r w:rsidRPr="000829A5">
        <w:rPr>
          <w:rFonts w:ascii="Times New Roman" w:hAnsi="Times New Roman" w:cs="Times New Roman"/>
        </w:rPr>
        <w:t>-</w:t>
      </w:r>
      <w:proofErr w:type="gramStart"/>
      <w:r w:rsidRPr="000829A5">
        <w:rPr>
          <w:rFonts w:ascii="Times New Roman" w:hAnsi="Times New Roman" w:cs="Times New Roman"/>
        </w:rPr>
        <w:t>16})</w:t>
      </w:r>
      <w:proofErr w:type="gramEnd"/>
      <w:r w:rsidRPr="000829A5">
        <w:rPr>
          <w:rFonts w:ascii="Times New Roman" w:hAnsi="Times New Roman" w:cs="Times New Roman"/>
        </w:rPr>
        <w:t>.</w:t>
      </w:r>
    </w:p>
    <w:p w14:paraId="4EA5C2FF"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 xml:space="preserve">Actual zero-return observations remain available to price regression but are excluded from binary direction metrics. A predicted exact zero movement is an abstention. Direction accuracy, balanced accuracy, and </w:t>
      </w:r>
      <w:proofErr w:type="gramStart"/>
      <w:r w:rsidRPr="000829A5">
        <w:rPr>
          <w:rFonts w:ascii="Times New Roman" w:hAnsi="Times New Roman" w:cs="Times New Roman"/>
        </w:rPr>
        <w:t>Matthews</w:t>
      </w:r>
      <w:proofErr w:type="gramEnd"/>
      <w:r w:rsidRPr="000829A5">
        <w:rPr>
          <w:rFonts w:ascii="Times New Roman" w:hAnsi="Times New Roman" w:cs="Times New Roman"/>
        </w:rPr>
        <w:t xml:space="preserve"> correlation coefficient (MCC) </w:t>
      </w:r>
      <w:proofErr w:type="gramStart"/>
      <w:r w:rsidRPr="000829A5">
        <w:rPr>
          <w:rFonts w:ascii="Times New Roman" w:hAnsi="Times New Roman" w:cs="Times New Roman"/>
        </w:rPr>
        <w:t>are</w:t>
      </w:r>
      <w:proofErr w:type="gramEnd"/>
      <w:r w:rsidRPr="000829A5">
        <w:rPr>
          <w:rFonts w:ascii="Times New Roman" w:hAnsi="Times New Roman" w:cs="Times New Roman"/>
        </w:rPr>
        <w:t xml:space="preserve"> calculated on non-tied, non-abstaining cases, and coverage is reported. Historical regression models had full direction coverage. The later direct classifier predicts an Up probability.</w:t>
      </w:r>
    </w:p>
    <w:p w14:paraId="483694E4"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b/>
          <w:bCs/>
        </w:rPr>
        <w:t>[Figure 2 near here]</w:t>
      </w:r>
    </w:p>
    <w:p w14:paraId="70FACA03"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b/>
          <w:bCs/>
        </w:rPr>
        <w:t>Figure 2. Point-in-time expanding evaluation.</w:t>
      </w:r>
      <w:r w:rsidRPr="000829A5">
        <w:rPr>
          <w:rFonts w:ascii="Times New Roman" w:hAnsi="Times New Roman" w:cs="Times New Roman"/>
        </w:rPr>
        <w:t xml:space="preserve"> Four pretest folds select the sequence window using validation years 2018–2021. Frozen windows are then used in four outer folds testing 2022–2025. Training rows are purged by label observation date, scalers use supervised training rows only, and a final pre-evaluation feature row is admitted only as sequence context.</w:t>
      </w:r>
    </w:p>
    <w:p w14:paraId="6024D777" w14:textId="77777777" w:rsidR="00F14584" w:rsidRPr="000829A5" w:rsidRDefault="00000000">
      <w:pPr>
        <w:pStyle w:val="Heading2"/>
        <w:rPr>
          <w:rFonts w:ascii="Times New Roman" w:hAnsi="Times New Roman" w:cs="Times New Roman"/>
          <w:sz w:val="24"/>
          <w:szCs w:val="24"/>
        </w:rPr>
      </w:pPr>
      <w:bookmarkStart w:id="13" w:name="temporal-splits-and-frozen-windows"/>
      <w:bookmarkEnd w:id="12"/>
      <w:r w:rsidRPr="000829A5">
        <w:rPr>
          <w:rFonts w:ascii="Times New Roman" w:hAnsi="Times New Roman" w:cs="Times New Roman"/>
          <w:sz w:val="24"/>
          <w:szCs w:val="24"/>
        </w:rPr>
        <w:t>3.5 Temporal splits and frozen windows</w:t>
      </w:r>
    </w:p>
    <w:p w14:paraId="006ACC2C" w14:textId="77777777" w:rsidR="00F14584" w:rsidRPr="000829A5" w:rsidRDefault="00000000">
      <w:pPr>
        <w:pStyle w:val="FirstParagraph"/>
        <w:rPr>
          <w:rFonts w:ascii="Times New Roman" w:hAnsi="Times New Roman" w:cs="Times New Roman"/>
        </w:rPr>
      </w:pPr>
      <w:r w:rsidRPr="000829A5">
        <w:rPr>
          <w:rFonts w:ascii="Times New Roman" w:hAnsi="Times New Roman" w:cs="Times New Roman"/>
        </w:rPr>
        <w:t xml:space="preserve">Candidate sequence lengths were 1, 3, 5, 10, and 20 trading days. Window selection used expanding training periods 2012–2017, 2012–2018, 2012–2019, and 2012–2020, with validation years 2018, 2019, 2020, and 2021. Balanced accuracy was the primary selection metric, followed by direction accuracy, RMSE, and the shorter window as </w:t>
      </w:r>
      <w:proofErr w:type="gramStart"/>
      <w:r w:rsidRPr="000829A5">
        <w:rPr>
          <w:rFonts w:ascii="Times New Roman" w:hAnsi="Times New Roman" w:cs="Times New Roman"/>
        </w:rPr>
        <w:t>tie-breakers</w:t>
      </w:r>
      <w:proofErr w:type="gramEnd"/>
      <w:r w:rsidRPr="000829A5">
        <w:rPr>
          <w:rFonts w:ascii="Times New Roman" w:hAnsi="Times New Roman" w:cs="Times New Roman"/>
        </w:rPr>
        <w:t>. Selection was symmetric across the Full-TA and Full-TA+VMD conditions so that neither side of the numerical ablation received a privileged lookback.</w:t>
      </w:r>
    </w:p>
    <w:p w14:paraId="1C276298"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The locked windows were 5 days for LSTM, 20 for CNN, 20 for LSTM–CNN, 10 for LSTM–Attention, and 20 for LSTM–CNN–Attention. The outer folds trained through 2021, 2022, 2023, and 2024 and tested 2022, 2023, 2024, and 2025. Each outer cell used seeds 42, 123, 456, 789, and 2025.</w:t>
      </w:r>
    </w:p>
    <w:p w14:paraId="2DFE13F3"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b/>
          <w:bCs/>
        </w:rPr>
        <w:t>Table 1. Frozen protocol and benchmark cohort.</w:t>
      </w:r>
    </w:p>
    <w:tbl>
      <w:tblPr>
        <w:tblStyle w:val="Table"/>
        <w:tblW w:w="5000" w:type="pct"/>
        <w:tblLayout w:type="fixed"/>
        <w:tblLook w:val="0020" w:firstRow="1" w:lastRow="0" w:firstColumn="0" w:lastColumn="0" w:noHBand="0" w:noVBand="0"/>
      </w:tblPr>
      <w:tblGrid>
        <w:gridCol w:w="990"/>
        <w:gridCol w:w="1320"/>
        <w:gridCol w:w="991"/>
        <w:gridCol w:w="1321"/>
        <w:gridCol w:w="1321"/>
        <w:gridCol w:w="991"/>
        <w:gridCol w:w="1321"/>
        <w:gridCol w:w="1321"/>
      </w:tblGrid>
      <w:tr w:rsidR="00F14584" w:rsidRPr="000829A5" w14:paraId="6FA87ECB" w14:textId="77777777" w:rsidTr="00F14584">
        <w:trPr>
          <w:cnfStyle w:val="100000000000" w:firstRow="1" w:lastRow="0" w:firstColumn="0" w:lastColumn="0" w:oddVBand="0" w:evenVBand="0" w:oddHBand="0" w:evenHBand="0" w:firstRowFirstColumn="0" w:firstRowLastColumn="0" w:lastRowFirstColumn="0" w:lastRowLastColumn="0"/>
          <w:tblHeader/>
        </w:trPr>
        <w:tc>
          <w:tcPr>
            <w:tcW w:w="819" w:type="dxa"/>
          </w:tcPr>
          <w:p w14:paraId="07500F22"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Model</w:t>
            </w:r>
          </w:p>
        </w:tc>
        <w:tc>
          <w:tcPr>
            <w:tcW w:w="1092" w:type="dxa"/>
          </w:tcPr>
          <w:p w14:paraId="25614FE0"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Window</w:t>
            </w:r>
          </w:p>
        </w:tc>
        <w:tc>
          <w:tcPr>
            <w:tcW w:w="819" w:type="dxa"/>
          </w:tcPr>
          <w:p w14:paraId="21420F45"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Outer years</w:t>
            </w:r>
          </w:p>
        </w:tc>
        <w:tc>
          <w:tcPr>
            <w:tcW w:w="1092" w:type="dxa"/>
          </w:tcPr>
          <w:p w14:paraId="7E507F73"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Folds</w:t>
            </w:r>
          </w:p>
        </w:tc>
        <w:tc>
          <w:tcPr>
            <w:tcW w:w="1092" w:type="dxa"/>
          </w:tcPr>
          <w:p w14:paraId="71365BDE"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Seeds/fold</w:t>
            </w:r>
          </w:p>
        </w:tc>
        <w:tc>
          <w:tcPr>
            <w:tcW w:w="819" w:type="dxa"/>
          </w:tcPr>
          <w:p w14:paraId="4D6F4A42"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Primary metric</w:t>
            </w:r>
          </w:p>
        </w:tc>
        <w:tc>
          <w:tcPr>
            <w:tcW w:w="1092" w:type="dxa"/>
          </w:tcPr>
          <w:p w14:paraId="4180B47F"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Numerical features</w:t>
            </w:r>
          </w:p>
        </w:tc>
        <w:tc>
          <w:tcPr>
            <w:tcW w:w="1092" w:type="dxa"/>
          </w:tcPr>
          <w:p w14:paraId="019942E8"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News features</w:t>
            </w:r>
          </w:p>
        </w:tc>
      </w:tr>
      <w:tr w:rsidR="00F14584" w:rsidRPr="000829A5" w14:paraId="24921149" w14:textId="77777777">
        <w:tc>
          <w:tcPr>
            <w:tcW w:w="819" w:type="dxa"/>
          </w:tcPr>
          <w:p w14:paraId="2E151AA6"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LSTM</w:t>
            </w:r>
          </w:p>
        </w:tc>
        <w:tc>
          <w:tcPr>
            <w:tcW w:w="1092" w:type="dxa"/>
          </w:tcPr>
          <w:p w14:paraId="7AAC1CB5"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w:t>
            </w:r>
          </w:p>
        </w:tc>
        <w:tc>
          <w:tcPr>
            <w:tcW w:w="819" w:type="dxa"/>
          </w:tcPr>
          <w:p w14:paraId="37D633C1"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2022–2025</w:t>
            </w:r>
          </w:p>
        </w:tc>
        <w:tc>
          <w:tcPr>
            <w:tcW w:w="1092" w:type="dxa"/>
          </w:tcPr>
          <w:p w14:paraId="2F8C5173"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4</w:t>
            </w:r>
          </w:p>
        </w:tc>
        <w:tc>
          <w:tcPr>
            <w:tcW w:w="1092" w:type="dxa"/>
          </w:tcPr>
          <w:p w14:paraId="351D768E"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w:t>
            </w:r>
          </w:p>
        </w:tc>
        <w:tc>
          <w:tcPr>
            <w:tcW w:w="819" w:type="dxa"/>
          </w:tcPr>
          <w:p w14:paraId="4659EDE4"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Balanced accuracy</w:t>
            </w:r>
          </w:p>
        </w:tc>
        <w:tc>
          <w:tcPr>
            <w:tcW w:w="1092" w:type="dxa"/>
          </w:tcPr>
          <w:p w14:paraId="03082889"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122</w:t>
            </w:r>
          </w:p>
        </w:tc>
        <w:tc>
          <w:tcPr>
            <w:tcW w:w="1092" w:type="dxa"/>
          </w:tcPr>
          <w:p w14:paraId="6B07C80A"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8</w:t>
            </w:r>
          </w:p>
        </w:tc>
      </w:tr>
      <w:tr w:rsidR="00F14584" w:rsidRPr="000829A5" w14:paraId="37763714" w14:textId="77777777">
        <w:tc>
          <w:tcPr>
            <w:tcW w:w="819" w:type="dxa"/>
          </w:tcPr>
          <w:p w14:paraId="12ADEC6C"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CNN</w:t>
            </w:r>
          </w:p>
        </w:tc>
        <w:tc>
          <w:tcPr>
            <w:tcW w:w="1092" w:type="dxa"/>
          </w:tcPr>
          <w:p w14:paraId="3553A8FA"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20</w:t>
            </w:r>
          </w:p>
        </w:tc>
        <w:tc>
          <w:tcPr>
            <w:tcW w:w="819" w:type="dxa"/>
          </w:tcPr>
          <w:p w14:paraId="65864C12"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2022–</w:t>
            </w:r>
            <w:r w:rsidRPr="000829A5">
              <w:rPr>
                <w:rFonts w:ascii="Times New Roman" w:hAnsi="Times New Roman" w:cs="Times New Roman"/>
              </w:rPr>
              <w:lastRenderedPageBreak/>
              <w:t>2025</w:t>
            </w:r>
          </w:p>
        </w:tc>
        <w:tc>
          <w:tcPr>
            <w:tcW w:w="1092" w:type="dxa"/>
          </w:tcPr>
          <w:p w14:paraId="6C2132CA"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lastRenderedPageBreak/>
              <w:t>4</w:t>
            </w:r>
          </w:p>
        </w:tc>
        <w:tc>
          <w:tcPr>
            <w:tcW w:w="1092" w:type="dxa"/>
          </w:tcPr>
          <w:p w14:paraId="50A670EF"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w:t>
            </w:r>
          </w:p>
        </w:tc>
        <w:tc>
          <w:tcPr>
            <w:tcW w:w="819" w:type="dxa"/>
          </w:tcPr>
          <w:p w14:paraId="1C475CEA"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Balance</w:t>
            </w:r>
            <w:r w:rsidRPr="000829A5">
              <w:rPr>
                <w:rFonts w:ascii="Times New Roman" w:hAnsi="Times New Roman" w:cs="Times New Roman"/>
              </w:rPr>
              <w:lastRenderedPageBreak/>
              <w:t>d accuracy</w:t>
            </w:r>
          </w:p>
        </w:tc>
        <w:tc>
          <w:tcPr>
            <w:tcW w:w="1092" w:type="dxa"/>
          </w:tcPr>
          <w:p w14:paraId="78C4398C"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lastRenderedPageBreak/>
              <w:t>122</w:t>
            </w:r>
          </w:p>
        </w:tc>
        <w:tc>
          <w:tcPr>
            <w:tcW w:w="1092" w:type="dxa"/>
          </w:tcPr>
          <w:p w14:paraId="1AE0A713"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8</w:t>
            </w:r>
          </w:p>
        </w:tc>
      </w:tr>
      <w:tr w:rsidR="00F14584" w:rsidRPr="000829A5" w14:paraId="6734C536" w14:textId="77777777">
        <w:tc>
          <w:tcPr>
            <w:tcW w:w="819" w:type="dxa"/>
          </w:tcPr>
          <w:p w14:paraId="4D2BD66D"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LSTM–CNN</w:t>
            </w:r>
          </w:p>
        </w:tc>
        <w:tc>
          <w:tcPr>
            <w:tcW w:w="1092" w:type="dxa"/>
          </w:tcPr>
          <w:p w14:paraId="25CDFD79"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20</w:t>
            </w:r>
          </w:p>
        </w:tc>
        <w:tc>
          <w:tcPr>
            <w:tcW w:w="819" w:type="dxa"/>
          </w:tcPr>
          <w:p w14:paraId="6A81D7AE"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2022–2025</w:t>
            </w:r>
          </w:p>
        </w:tc>
        <w:tc>
          <w:tcPr>
            <w:tcW w:w="1092" w:type="dxa"/>
          </w:tcPr>
          <w:p w14:paraId="123C2E6B"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4</w:t>
            </w:r>
          </w:p>
        </w:tc>
        <w:tc>
          <w:tcPr>
            <w:tcW w:w="1092" w:type="dxa"/>
          </w:tcPr>
          <w:p w14:paraId="29CD6A2E"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w:t>
            </w:r>
          </w:p>
        </w:tc>
        <w:tc>
          <w:tcPr>
            <w:tcW w:w="819" w:type="dxa"/>
          </w:tcPr>
          <w:p w14:paraId="486F401A"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Balanced accuracy</w:t>
            </w:r>
          </w:p>
        </w:tc>
        <w:tc>
          <w:tcPr>
            <w:tcW w:w="1092" w:type="dxa"/>
          </w:tcPr>
          <w:p w14:paraId="6EFAF3AB"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122</w:t>
            </w:r>
          </w:p>
        </w:tc>
        <w:tc>
          <w:tcPr>
            <w:tcW w:w="1092" w:type="dxa"/>
          </w:tcPr>
          <w:p w14:paraId="2C62D93D"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8</w:t>
            </w:r>
          </w:p>
        </w:tc>
      </w:tr>
      <w:tr w:rsidR="00F14584" w:rsidRPr="000829A5" w14:paraId="79BD9CA6" w14:textId="77777777">
        <w:tc>
          <w:tcPr>
            <w:tcW w:w="819" w:type="dxa"/>
          </w:tcPr>
          <w:p w14:paraId="6E7E9077"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LSTM–Attention</w:t>
            </w:r>
          </w:p>
        </w:tc>
        <w:tc>
          <w:tcPr>
            <w:tcW w:w="1092" w:type="dxa"/>
          </w:tcPr>
          <w:p w14:paraId="08791BFF"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10</w:t>
            </w:r>
          </w:p>
        </w:tc>
        <w:tc>
          <w:tcPr>
            <w:tcW w:w="819" w:type="dxa"/>
          </w:tcPr>
          <w:p w14:paraId="2933B55E"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2022–2025</w:t>
            </w:r>
          </w:p>
        </w:tc>
        <w:tc>
          <w:tcPr>
            <w:tcW w:w="1092" w:type="dxa"/>
          </w:tcPr>
          <w:p w14:paraId="3FC1A5AC"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4</w:t>
            </w:r>
          </w:p>
        </w:tc>
        <w:tc>
          <w:tcPr>
            <w:tcW w:w="1092" w:type="dxa"/>
          </w:tcPr>
          <w:p w14:paraId="02FD9F1D"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w:t>
            </w:r>
          </w:p>
        </w:tc>
        <w:tc>
          <w:tcPr>
            <w:tcW w:w="819" w:type="dxa"/>
          </w:tcPr>
          <w:p w14:paraId="56CDD707"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Balanced accuracy</w:t>
            </w:r>
          </w:p>
        </w:tc>
        <w:tc>
          <w:tcPr>
            <w:tcW w:w="1092" w:type="dxa"/>
          </w:tcPr>
          <w:p w14:paraId="31BF09ED"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122</w:t>
            </w:r>
          </w:p>
        </w:tc>
        <w:tc>
          <w:tcPr>
            <w:tcW w:w="1092" w:type="dxa"/>
          </w:tcPr>
          <w:p w14:paraId="08ECA689"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8</w:t>
            </w:r>
          </w:p>
        </w:tc>
      </w:tr>
      <w:tr w:rsidR="00F14584" w:rsidRPr="000829A5" w14:paraId="12A10CA6" w14:textId="77777777">
        <w:tc>
          <w:tcPr>
            <w:tcW w:w="819" w:type="dxa"/>
          </w:tcPr>
          <w:p w14:paraId="7A2F860F"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LSTM–CNN–Attention</w:t>
            </w:r>
          </w:p>
        </w:tc>
        <w:tc>
          <w:tcPr>
            <w:tcW w:w="1092" w:type="dxa"/>
          </w:tcPr>
          <w:p w14:paraId="0C36F419"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20</w:t>
            </w:r>
          </w:p>
        </w:tc>
        <w:tc>
          <w:tcPr>
            <w:tcW w:w="819" w:type="dxa"/>
          </w:tcPr>
          <w:p w14:paraId="333F264B"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2022–2025</w:t>
            </w:r>
          </w:p>
        </w:tc>
        <w:tc>
          <w:tcPr>
            <w:tcW w:w="1092" w:type="dxa"/>
          </w:tcPr>
          <w:p w14:paraId="18ACE277"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4</w:t>
            </w:r>
          </w:p>
        </w:tc>
        <w:tc>
          <w:tcPr>
            <w:tcW w:w="1092" w:type="dxa"/>
          </w:tcPr>
          <w:p w14:paraId="3B78B331"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w:t>
            </w:r>
          </w:p>
        </w:tc>
        <w:tc>
          <w:tcPr>
            <w:tcW w:w="819" w:type="dxa"/>
          </w:tcPr>
          <w:p w14:paraId="207F2EFA"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Balanced accuracy</w:t>
            </w:r>
          </w:p>
        </w:tc>
        <w:tc>
          <w:tcPr>
            <w:tcW w:w="1092" w:type="dxa"/>
          </w:tcPr>
          <w:p w14:paraId="4A39EDEF"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122</w:t>
            </w:r>
          </w:p>
        </w:tc>
        <w:tc>
          <w:tcPr>
            <w:tcW w:w="1092" w:type="dxa"/>
          </w:tcPr>
          <w:p w14:paraId="2B69BDBF"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8</w:t>
            </w:r>
          </w:p>
        </w:tc>
      </w:tr>
    </w:tbl>
    <w:p w14:paraId="476F01FD"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All dates use Asia/Bangkok and a 17:00 information cutoff. News variables enter only the relevant multimodal arms.</w:t>
      </w:r>
    </w:p>
    <w:p w14:paraId="08AC1DE8" w14:textId="77777777" w:rsidR="00F14584" w:rsidRPr="000829A5" w:rsidRDefault="00000000">
      <w:pPr>
        <w:pStyle w:val="Heading2"/>
        <w:rPr>
          <w:rFonts w:ascii="Times New Roman" w:hAnsi="Times New Roman" w:cs="Times New Roman"/>
          <w:sz w:val="24"/>
          <w:szCs w:val="24"/>
        </w:rPr>
      </w:pPr>
      <w:bookmarkStart w:id="14" w:name="numerical-features-and-causal-vmd"/>
      <w:bookmarkEnd w:id="13"/>
      <w:r w:rsidRPr="000829A5">
        <w:rPr>
          <w:rFonts w:ascii="Times New Roman" w:hAnsi="Times New Roman" w:cs="Times New Roman"/>
          <w:sz w:val="24"/>
          <w:szCs w:val="24"/>
        </w:rPr>
        <w:t>3.6 Numerical features and causal VMD</w:t>
      </w:r>
    </w:p>
    <w:p w14:paraId="4E03FC56" w14:textId="77777777" w:rsidR="00F14584" w:rsidRPr="000829A5" w:rsidRDefault="00000000">
      <w:pPr>
        <w:pStyle w:val="FirstParagraph"/>
        <w:rPr>
          <w:rFonts w:ascii="Times New Roman" w:hAnsi="Times New Roman" w:cs="Times New Roman"/>
        </w:rPr>
      </w:pPr>
      <w:r w:rsidRPr="000829A5">
        <w:rPr>
          <w:rFonts w:ascii="Times New Roman" w:hAnsi="Times New Roman" w:cs="Times New Roman"/>
        </w:rPr>
        <w:t>The Full-TA control contains 116 variables generated from daily and previous completed weekly/monthly OHLCV information. The pool includes price and volume lags; 1-, 3-, 5-, 10-, 20-, and 60-day returns; simple and weighted moving averages; volatility, momentum, and rate-of-change measures; cross-timeframe ratios; candlestick features; volume ratios; direction lags; and Stochastic, RSI, MACD, Williams %R, CCI, ADX, and directional-indicator variables.</w:t>
      </w:r>
    </w:p>
    <w:p w14:paraId="09F44BC8"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 xml:space="preserve">Causal rolling VMD adds six variables. At each date (t), the algorithm decomposes only the 60 closes from (t-59) through (t). It uses five modes, penalty (alpha=1000), dual-ascent step </w:t>
      </w:r>
      <w:proofErr w:type="gramStart"/>
      <w:r w:rsidRPr="000829A5">
        <w:rPr>
          <w:rFonts w:ascii="Times New Roman" w:hAnsi="Times New Roman" w:cs="Times New Roman"/>
        </w:rPr>
        <w:t>( au</w:t>
      </w:r>
      <w:proofErr w:type="gramEnd"/>
      <w:r w:rsidRPr="000829A5">
        <w:rPr>
          <w:rFonts w:ascii="Times New Roman" w:hAnsi="Times New Roman" w:cs="Times New Roman"/>
        </w:rPr>
        <w:t>=0), a DC mode, tolerance (10</w:t>
      </w:r>
      <w:proofErr w:type="gramStart"/>
      <w:r w:rsidRPr="000829A5">
        <w:rPr>
          <w:rFonts w:ascii="Times New Roman" w:hAnsi="Times New Roman" w:cs="Times New Roman"/>
        </w:rPr>
        <w:t>^{</w:t>
      </w:r>
      <w:proofErr w:type="gramEnd"/>
      <w:r w:rsidRPr="000829A5">
        <w:rPr>
          <w:rFonts w:ascii="Times New Roman" w:hAnsi="Times New Roman" w:cs="Times New Roman"/>
        </w:rPr>
        <w:t>-</w:t>
      </w:r>
      <w:proofErr w:type="gramStart"/>
      <w:r w:rsidRPr="000829A5">
        <w:rPr>
          <w:rFonts w:ascii="Times New Roman" w:hAnsi="Times New Roman" w:cs="Times New Roman"/>
        </w:rPr>
        <w:t>7})</w:t>
      </w:r>
      <w:proofErr w:type="gramEnd"/>
      <w:r w:rsidRPr="000829A5">
        <w:rPr>
          <w:rFonts w:ascii="Times New Roman" w:hAnsi="Times New Roman" w:cs="Times New Roman"/>
        </w:rPr>
        <w:t>, and at most 500 iterations. The mode with the highest final center frequency is treated as noise. Four retained intrinsic mode functions, the denoised close, and the removed-mode energy ratio form the six additional features, giving 122 numerical inputs. VMD is therefore evaluated as a causal auxiliary representation, not as an assumed improvement.</w:t>
      </w:r>
    </w:p>
    <w:p w14:paraId="7C0BF7A4" w14:textId="77777777" w:rsidR="00F14584" w:rsidRPr="000829A5" w:rsidRDefault="00000000">
      <w:pPr>
        <w:pStyle w:val="Heading2"/>
        <w:rPr>
          <w:rFonts w:ascii="Times New Roman" w:hAnsi="Times New Roman" w:cs="Times New Roman"/>
          <w:sz w:val="24"/>
          <w:szCs w:val="24"/>
        </w:rPr>
      </w:pPr>
      <w:bookmarkStart w:id="15" w:name="neural-architectures-and-training"/>
      <w:bookmarkEnd w:id="14"/>
      <w:r w:rsidRPr="000829A5">
        <w:rPr>
          <w:rFonts w:ascii="Times New Roman" w:hAnsi="Times New Roman" w:cs="Times New Roman"/>
          <w:sz w:val="24"/>
          <w:szCs w:val="24"/>
        </w:rPr>
        <w:t xml:space="preserve">3.7 Neural </w:t>
      </w:r>
      <w:proofErr w:type="gramStart"/>
      <w:r w:rsidRPr="000829A5">
        <w:rPr>
          <w:rFonts w:ascii="Times New Roman" w:hAnsi="Times New Roman" w:cs="Times New Roman"/>
          <w:sz w:val="24"/>
          <w:szCs w:val="24"/>
        </w:rPr>
        <w:t>architectures</w:t>
      </w:r>
      <w:proofErr w:type="gramEnd"/>
      <w:r w:rsidRPr="000829A5">
        <w:rPr>
          <w:rFonts w:ascii="Times New Roman" w:hAnsi="Times New Roman" w:cs="Times New Roman"/>
          <w:sz w:val="24"/>
          <w:szCs w:val="24"/>
        </w:rPr>
        <w:t xml:space="preserve"> and training</w:t>
      </w:r>
    </w:p>
    <w:p w14:paraId="7228536C" w14:textId="77777777" w:rsidR="00F14584" w:rsidRPr="000829A5" w:rsidRDefault="00000000">
      <w:pPr>
        <w:pStyle w:val="FirstParagraph"/>
        <w:rPr>
          <w:rFonts w:ascii="Times New Roman" w:hAnsi="Times New Roman" w:cs="Times New Roman"/>
        </w:rPr>
      </w:pPr>
      <w:r w:rsidRPr="000829A5">
        <w:rPr>
          <w:rFonts w:ascii="Times New Roman" w:hAnsi="Times New Roman" w:cs="Times New Roman"/>
        </w:rPr>
        <w:t>The historical numerical, news, and regime modules predict the next close and derive direction from the sign of predicted next close minus current close. Architectures were deliberately compact:</w:t>
      </w:r>
    </w:p>
    <w:p w14:paraId="10155863" w14:textId="77777777" w:rsidR="00F14584" w:rsidRPr="000829A5" w:rsidRDefault="00000000">
      <w:pPr>
        <w:pStyle w:val="Compact"/>
        <w:numPr>
          <w:ilvl w:val="0"/>
          <w:numId w:val="3"/>
        </w:numPr>
        <w:rPr>
          <w:rFonts w:ascii="Times New Roman" w:hAnsi="Times New Roman" w:cs="Times New Roman"/>
        </w:rPr>
      </w:pPr>
      <w:r w:rsidRPr="000829A5">
        <w:rPr>
          <w:rFonts w:ascii="Times New Roman" w:hAnsi="Times New Roman" w:cs="Times New Roman"/>
          <w:b/>
          <w:bCs/>
        </w:rPr>
        <w:t>LSTM:</w:t>
      </w:r>
      <w:r w:rsidRPr="000829A5">
        <w:rPr>
          <w:rFonts w:ascii="Times New Roman" w:hAnsi="Times New Roman" w:cs="Times New Roman"/>
        </w:rPr>
        <w:t xml:space="preserve"> </w:t>
      </w:r>
      <w:proofErr w:type="gramStart"/>
      <w:r w:rsidRPr="000829A5">
        <w:rPr>
          <w:rFonts w:ascii="Times New Roman" w:hAnsi="Times New Roman" w:cs="Times New Roman"/>
        </w:rPr>
        <w:t>LSTM(</w:t>
      </w:r>
      <w:proofErr w:type="gramEnd"/>
      <w:r w:rsidRPr="000829A5">
        <w:rPr>
          <w:rFonts w:ascii="Times New Roman" w:hAnsi="Times New Roman" w:cs="Times New Roman"/>
        </w:rPr>
        <w:t xml:space="preserve">16) → </w:t>
      </w:r>
      <w:proofErr w:type="gramStart"/>
      <w:r w:rsidRPr="000829A5">
        <w:rPr>
          <w:rFonts w:ascii="Times New Roman" w:hAnsi="Times New Roman" w:cs="Times New Roman"/>
        </w:rPr>
        <w:t>Dense(</w:t>
      </w:r>
      <w:proofErr w:type="gramEnd"/>
      <w:r w:rsidRPr="000829A5">
        <w:rPr>
          <w:rFonts w:ascii="Times New Roman" w:hAnsi="Times New Roman" w:cs="Times New Roman"/>
        </w:rPr>
        <w:t>8, ReLU) → linear output.</w:t>
      </w:r>
    </w:p>
    <w:p w14:paraId="1DEC9513" w14:textId="77777777" w:rsidR="00F14584" w:rsidRPr="000829A5" w:rsidRDefault="00000000">
      <w:pPr>
        <w:pStyle w:val="Compact"/>
        <w:numPr>
          <w:ilvl w:val="0"/>
          <w:numId w:val="3"/>
        </w:numPr>
        <w:rPr>
          <w:rFonts w:ascii="Times New Roman" w:hAnsi="Times New Roman" w:cs="Times New Roman"/>
        </w:rPr>
      </w:pPr>
      <w:r w:rsidRPr="000829A5">
        <w:rPr>
          <w:rFonts w:ascii="Times New Roman" w:hAnsi="Times New Roman" w:cs="Times New Roman"/>
          <w:b/>
          <w:bCs/>
        </w:rPr>
        <w:t>CNN:</w:t>
      </w:r>
      <w:r w:rsidRPr="000829A5">
        <w:rPr>
          <w:rFonts w:ascii="Times New Roman" w:hAnsi="Times New Roman" w:cs="Times New Roman"/>
        </w:rPr>
        <w:t xml:space="preserve"> </w:t>
      </w:r>
      <w:proofErr w:type="gramStart"/>
      <w:r w:rsidRPr="000829A5">
        <w:rPr>
          <w:rFonts w:ascii="Times New Roman" w:hAnsi="Times New Roman" w:cs="Times New Roman"/>
        </w:rPr>
        <w:t>causal</w:t>
      </w:r>
      <w:proofErr w:type="gramEnd"/>
      <w:r w:rsidRPr="000829A5">
        <w:rPr>
          <w:rFonts w:ascii="Times New Roman" w:hAnsi="Times New Roman" w:cs="Times New Roman"/>
        </w:rPr>
        <w:t xml:space="preserve"> Conv1</w:t>
      </w:r>
      <w:proofErr w:type="gramStart"/>
      <w:r w:rsidRPr="000829A5">
        <w:rPr>
          <w:rFonts w:ascii="Times New Roman" w:hAnsi="Times New Roman" w:cs="Times New Roman"/>
        </w:rPr>
        <w:t>D(</w:t>
      </w:r>
      <w:proofErr w:type="gramEnd"/>
      <w:r w:rsidRPr="000829A5">
        <w:rPr>
          <w:rFonts w:ascii="Times New Roman" w:hAnsi="Times New Roman" w:cs="Times New Roman"/>
        </w:rPr>
        <w:t xml:space="preserve">32, kernel 3) → global average pooling → </w:t>
      </w:r>
      <w:proofErr w:type="gramStart"/>
      <w:r w:rsidRPr="000829A5">
        <w:rPr>
          <w:rFonts w:ascii="Times New Roman" w:hAnsi="Times New Roman" w:cs="Times New Roman"/>
        </w:rPr>
        <w:t>Dense(</w:t>
      </w:r>
      <w:proofErr w:type="gramEnd"/>
      <w:r w:rsidRPr="000829A5">
        <w:rPr>
          <w:rFonts w:ascii="Times New Roman" w:hAnsi="Times New Roman" w:cs="Times New Roman"/>
        </w:rPr>
        <w:t>8, ReLU) → linear output.</w:t>
      </w:r>
    </w:p>
    <w:p w14:paraId="181FBBD8" w14:textId="77777777" w:rsidR="00F14584" w:rsidRPr="000829A5" w:rsidRDefault="00000000">
      <w:pPr>
        <w:pStyle w:val="Compact"/>
        <w:numPr>
          <w:ilvl w:val="0"/>
          <w:numId w:val="3"/>
        </w:numPr>
        <w:rPr>
          <w:rFonts w:ascii="Times New Roman" w:hAnsi="Times New Roman" w:cs="Times New Roman"/>
        </w:rPr>
      </w:pPr>
      <w:r w:rsidRPr="000829A5">
        <w:rPr>
          <w:rFonts w:ascii="Times New Roman" w:hAnsi="Times New Roman" w:cs="Times New Roman"/>
          <w:b/>
          <w:bCs/>
        </w:rPr>
        <w:t>LSTM–CNN:</w:t>
      </w:r>
      <w:r w:rsidRPr="000829A5">
        <w:rPr>
          <w:rFonts w:ascii="Times New Roman" w:hAnsi="Times New Roman" w:cs="Times New Roman"/>
        </w:rPr>
        <w:t xml:space="preserve"> </w:t>
      </w:r>
      <w:proofErr w:type="gramStart"/>
      <w:r w:rsidRPr="000829A5">
        <w:rPr>
          <w:rFonts w:ascii="Times New Roman" w:hAnsi="Times New Roman" w:cs="Times New Roman"/>
        </w:rPr>
        <w:t>LSTM(</w:t>
      </w:r>
      <w:proofErr w:type="gramEnd"/>
      <w:r w:rsidRPr="000829A5">
        <w:rPr>
          <w:rFonts w:ascii="Times New Roman" w:hAnsi="Times New Roman" w:cs="Times New Roman"/>
        </w:rPr>
        <w:t>16, sequence output) → causal Conv1</w:t>
      </w:r>
      <w:proofErr w:type="gramStart"/>
      <w:r w:rsidRPr="000829A5">
        <w:rPr>
          <w:rFonts w:ascii="Times New Roman" w:hAnsi="Times New Roman" w:cs="Times New Roman"/>
        </w:rPr>
        <w:t>D(</w:t>
      </w:r>
      <w:proofErr w:type="gramEnd"/>
      <w:r w:rsidRPr="000829A5">
        <w:rPr>
          <w:rFonts w:ascii="Times New Roman" w:hAnsi="Times New Roman" w:cs="Times New Roman"/>
        </w:rPr>
        <w:t xml:space="preserve">32, kernel 3) → global average pooling → </w:t>
      </w:r>
      <w:proofErr w:type="gramStart"/>
      <w:r w:rsidRPr="000829A5">
        <w:rPr>
          <w:rFonts w:ascii="Times New Roman" w:hAnsi="Times New Roman" w:cs="Times New Roman"/>
        </w:rPr>
        <w:t>Dense(</w:t>
      </w:r>
      <w:proofErr w:type="gramEnd"/>
      <w:r w:rsidRPr="000829A5">
        <w:rPr>
          <w:rFonts w:ascii="Times New Roman" w:hAnsi="Times New Roman" w:cs="Times New Roman"/>
        </w:rPr>
        <w:t>8, ReLU) → linear output.</w:t>
      </w:r>
    </w:p>
    <w:p w14:paraId="1475FAF4" w14:textId="77777777" w:rsidR="00F14584" w:rsidRPr="000829A5" w:rsidRDefault="00000000">
      <w:pPr>
        <w:pStyle w:val="Compact"/>
        <w:numPr>
          <w:ilvl w:val="0"/>
          <w:numId w:val="3"/>
        </w:numPr>
        <w:rPr>
          <w:rFonts w:ascii="Times New Roman" w:hAnsi="Times New Roman" w:cs="Times New Roman"/>
        </w:rPr>
      </w:pPr>
      <w:r w:rsidRPr="000829A5">
        <w:rPr>
          <w:rFonts w:ascii="Times New Roman" w:hAnsi="Times New Roman" w:cs="Times New Roman"/>
          <w:b/>
          <w:bCs/>
        </w:rPr>
        <w:lastRenderedPageBreak/>
        <w:t>LSTM–Attention:</w:t>
      </w:r>
      <w:r w:rsidRPr="000829A5">
        <w:rPr>
          <w:rFonts w:ascii="Times New Roman" w:hAnsi="Times New Roman" w:cs="Times New Roman"/>
        </w:rPr>
        <w:t xml:space="preserve"> </w:t>
      </w:r>
      <w:proofErr w:type="gramStart"/>
      <w:r w:rsidRPr="000829A5">
        <w:rPr>
          <w:rFonts w:ascii="Times New Roman" w:hAnsi="Times New Roman" w:cs="Times New Roman"/>
        </w:rPr>
        <w:t>LSTM(</w:t>
      </w:r>
      <w:proofErr w:type="gramEnd"/>
      <w:r w:rsidRPr="000829A5">
        <w:rPr>
          <w:rFonts w:ascii="Times New Roman" w:hAnsi="Times New Roman" w:cs="Times New Roman"/>
        </w:rPr>
        <w:t xml:space="preserve">16, sequence output) → causal two-head attention (key dimension 8) → global average pooling → </w:t>
      </w:r>
      <w:proofErr w:type="gramStart"/>
      <w:r w:rsidRPr="000829A5">
        <w:rPr>
          <w:rFonts w:ascii="Times New Roman" w:hAnsi="Times New Roman" w:cs="Times New Roman"/>
        </w:rPr>
        <w:t>Dense(</w:t>
      </w:r>
      <w:proofErr w:type="gramEnd"/>
      <w:r w:rsidRPr="000829A5">
        <w:rPr>
          <w:rFonts w:ascii="Times New Roman" w:hAnsi="Times New Roman" w:cs="Times New Roman"/>
        </w:rPr>
        <w:t>8, ReLU) → linear output.</w:t>
      </w:r>
    </w:p>
    <w:p w14:paraId="0D291FEF" w14:textId="77777777" w:rsidR="00F14584" w:rsidRPr="000829A5" w:rsidRDefault="00000000">
      <w:pPr>
        <w:pStyle w:val="Compact"/>
        <w:numPr>
          <w:ilvl w:val="0"/>
          <w:numId w:val="3"/>
        </w:numPr>
        <w:rPr>
          <w:rFonts w:ascii="Times New Roman" w:hAnsi="Times New Roman" w:cs="Times New Roman"/>
        </w:rPr>
      </w:pPr>
      <w:r w:rsidRPr="000829A5">
        <w:rPr>
          <w:rFonts w:ascii="Times New Roman" w:hAnsi="Times New Roman" w:cs="Times New Roman"/>
          <w:b/>
          <w:bCs/>
        </w:rPr>
        <w:t>LSTM–CNN–Attention:</w:t>
      </w:r>
      <w:r w:rsidRPr="000829A5">
        <w:rPr>
          <w:rFonts w:ascii="Times New Roman" w:hAnsi="Times New Roman" w:cs="Times New Roman"/>
        </w:rPr>
        <w:t xml:space="preserve"> LSTM → causal convolution → causal two-head attention → global average pooling → </w:t>
      </w:r>
      <w:proofErr w:type="gramStart"/>
      <w:r w:rsidRPr="000829A5">
        <w:rPr>
          <w:rFonts w:ascii="Times New Roman" w:hAnsi="Times New Roman" w:cs="Times New Roman"/>
        </w:rPr>
        <w:t>Dense(</w:t>
      </w:r>
      <w:proofErr w:type="gramEnd"/>
      <w:r w:rsidRPr="000829A5">
        <w:rPr>
          <w:rFonts w:ascii="Times New Roman" w:hAnsi="Times New Roman" w:cs="Times New Roman"/>
        </w:rPr>
        <w:t>8, ReLU) → linear output.</w:t>
      </w:r>
    </w:p>
    <w:p w14:paraId="7DBADDA0" w14:textId="77777777" w:rsidR="00F14584" w:rsidRPr="000829A5" w:rsidRDefault="00000000">
      <w:pPr>
        <w:pStyle w:val="FirstParagraph"/>
        <w:rPr>
          <w:rFonts w:ascii="Times New Roman" w:hAnsi="Times New Roman" w:cs="Times New Roman"/>
        </w:rPr>
      </w:pPr>
      <w:r w:rsidRPr="000829A5">
        <w:rPr>
          <w:rFonts w:ascii="Times New Roman" w:hAnsi="Times New Roman" w:cs="Times New Roman"/>
        </w:rPr>
        <w:t xml:space="preserve">All fits used Adam, </w:t>
      </w:r>
      <w:proofErr w:type="gramStart"/>
      <w:r w:rsidRPr="000829A5">
        <w:rPr>
          <w:rFonts w:ascii="Times New Roman" w:hAnsi="Times New Roman" w:cs="Times New Roman"/>
        </w:rPr>
        <w:t>mean</w:t>
      </w:r>
      <w:proofErr w:type="gramEnd"/>
      <w:r w:rsidRPr="000829A5">
        <w:rPr>
          <w:rFonts w:ascii="Times New Roman" w:hAnsi="Times New Roman" w:cs="Times New Roman"/>
        </w:rPr>
        <w:t xml:space="preserve"> squared error, 20 epochs, batch size 32, and </w:t>
      </w:r>
      <w:r w:rsidRPr="000829A5">
        <w:rPr>
          <w:rStyle w:val="VerbatimChar"/>
          <w:rFonts w:ascii="Times New Roman" w:hAnsi="Times New Roman" w:cs="Times New Roman"/>
          <w:sz w:val="24"/>
        </w:rPr>
        <w:t>shuffle=False</w:t>
      </w:r>
      <w:r w:rsidRPr="000829A5">
        <w:rPr>
          <w:rFonts w:ascii="Times New Roman" w:hAnsi="Times New Roman" w:cs="Times New Roman"/>
        </w:rPr>
        <w:t>. Random states were reset before every cell, deterministic TensorFlow operations were enabled, and the Keras session was cleared between fits. Min–max scaling was fitted separately on the supervised training portion of each fold.</w:t>
      </w:r>
    </w:p>
    <w:p w14:paraId="04D5401C" w14:textId="77777777" w:rsidR="00F14584" w:rsidRPr="000829A5" w:rsidRDefault="00000000">
      <w:pPr>
        <w:pStyle w:val="Heading2"/>
        <w:rPr>
          <w:rFonts w:ascii="Times New Roman" w:hAnsi="Times New Roman" w:cs="Times New Roman"/>
          <w:sz w:val="24"/>
          <w:szCs w:val="24"/>
        </w:rPr>
      </w:pPr>
      <w:bookmarkStart w:id="16" w:name="multimodal-falsification-design"/>
      <w:bookmarkEnd w:id="15"/>
      <w:r w:rsidRPr="000829A5">
        <w:rPr>
          <w:rFonts w:ascii="Times New Roman" w:hAnsi="Times New Roman" w:cs="Times New Roman"/>
          <w:sz w:val="24"/>
          <w:szCs w:val="24"/>
        </w:rPr>
        <w:t>3.8 Multimodal falsification design</w:t>
      </w:r>
    </w:p>
    <w:p w14:paraId="040924C1" w14:textId="77777777" w:rsidR="00F14584" w:rsidRPr="000829A5" w:rsidRDefault="00000000">
      <w:pPr>
        <w:pStyle w:val="FirstParagraph"/>
        <w:rPr>
          <w:rFonts w:ascii="Times New Roman" w:hAnsi="Times New Roman" w:cs="Times New Roman"/>
        </w:rPr>
      </w:pPr>
      <w:r w:rsidRPr="000829A5">
        <w:rPr>
          <w:rFonts w:ascii="Times New Roman" w:hAnsi="Times New Roman" w:cs="Times New Roman"/>
        </w:rPr>
        <w:t xml:space="preserve">Observed </w:t>
      </w:r>
      <w:proofErr w:type="gramStart"/>
      <w:r w:rsidRPr="000829A5">
        <w:rPr>
          <w:rFonts w:ascii="Times New Roman" w:hAnsi="Times New Roman" w:cs="Times New Roman"/>
        </w:rPr>
        <w:t>predicted-news</w:t>
      </w:r>
      <w:proofErr w:type="gramEnd"/>
      <w:r w:rsidRPr="000829A5">
        <w:rPr>
          <w:rFonts w:ascii="Times New Roman" w:hAnsi="Times New Roman" w:cs="Times New Roman"/>
        </w:rPr>
        <w:t xml:space="preserve"> features were compared with a date-matched market-only arm. Four additional controls tested alternative explanations:</w:t>
      </w:r>
    </w:p>
    <w:p w14:paraId="6DD3A487" w14:textId="77777777" w:rsidR="00F14584" w:rsidRPr="000829A5" w:rsidRDefault="00000000">
      <w:pPr>
        <w:pStyle w:val="Compact"/>
        <w:numPr>
          <w:ilvl w:val="0"/>
          <w:numId w:val="4"/>
        </w:numPr>
        <w:rPr>
          <w:rFonts w:ascii="Times New Roman" w:hAnsi="Times New Roman" w:cs="Times New Roman"/>
        </w:rPr>
      </w:pPr>
      <w:r w:rsidRPr="000829A5">
        <w:rPr>
          <w:rFonts w:ascii="Times New Roman" w:hAnsi="Times New Roman" w:cs="Times New Roman"/>
          <w:b/>
          <w:bCs/>
        </w:rPr>
        <w:t>News-only:</w:t>
      </w:r>
      <w:r w:rsidRPr="000829A5">
        <w:rPr>
          <w:rFonts w:ascii="Times New Roman" w:hAnsi="Times New Roman" w:cs="Times New Roman"/>
        </w:rPr>
        <w:t xml:space="preserve"> </w:t>
      </w:r>
      <w:proofErr w:type="gramStart"/>
      <w:r w:rsidRPr="000829A5">
        <w:rPr>
          <w:rFonts w:ascii="Times New Roman" w:hAnsi="Times New Roman" w:cs="Times New Roman"/>
        </w:rPr>
        <w:t>tests</w:t>
      </w:r>
      <w:proofErr w:type="gramEnd"/>
      <w:r w:rsidRPr="000829A5">
        <w:rPr>
          <w:rFonts w:ascii="Times New Roman" w:hAnsi="Times New Roman" w:cs="Times New Roman"/>
        </w:rPr>
        <w:t xml:space="preserve"> whether aggregated sentiment can forecast without the numerical market state.</w:t>
      </w:r>
    </w:p>
    <w:p w14:paraId="6B5BB385" w14:textId="77777777" w:rsidR="00F14584" w:rsidRPr="000829A5" w:rsidRDefault="00000000">
      <w:pPr>
        <w:pStyle w:val="Compact"/>
        <w:numPr>
          <w:ilvl w:val="0"/>
          <w:numId w:val="4"/>
        </w:numPr>
        <w:rPr>
          <w:rFonts w:ascii="Times New Roman" w:hAnsi="Times New Roman" w:cs="Times New Roman"/>
        </w:rPr>
      </w:pPr>
      <w:r w:rsidRPr="000829A5">
        <w:rPr>
          <w:rFonts w:ascii="Times New Roman" w:hAnsi="Times New Roman" w:cs="Times New Roman"/>
          <w:b/>
          <w:bCs/>
        </w:rPr>
        <w:t>Shuffled news:</w:t>
      </w:r>
      <w:r w:rsidRPr="000829A5">
        <w:rPr>
          <w:rFonts w:ascii="Times New Roman" w:hAnsi="Times New Roman" w:cs="Times New Roman"/>
        </w:rPr>
        <w:t xml:space="preserve"> permutes the daily news block while preserving its empirical marginal distribution, testing whether observed chronology adds more than generic additional dimensions.</w:t>
      </w:r>
    </w:p>
    <w:p w14:paraId="3802E57C" w14:textId="77777777" w:rsidR="00F14584" w:rsidRPr="000829A5" w:rsidRDefault="00000000">
      <w:pPr>
        <w:pStyle w:val="Compact"/>
        <w:numPr>
          <w:ilvl w:val="0"/>
          <w:numId w:val="4"/>
        </w:numPr>
        <w:rPr>
          <w:rFonts w:ascii="Times New Roman" w:hAnsi="Times New Roman" w:cs="Times New Roman"/>
        </w:rPr>
      </w:pPr>
      <w:r w:rsidRPr="000829A5">
        <w:rPr>
          <w:rFonts w:ascii="Times New Roman" w:hAnsi="Times New Roman" w:cs="Times New Roman"/>
          <w:b/>
          <w:bCs/>
        </w:rPr>
        <w:t xml:space="preserve">Lagged </w:t>
      </w:r>
      <w:proofErr w:type="gramStart"/>
      <w:r w:rsidRPr="000829A5">
        <w:rPr>
          <w:rFonts w:ascii="Times New Roman" w:hAnsi="Times New Roman" w:cs="Times New Roman"/>
          <w:b/>
          <w:bCs/>
        </w:rPr>
        <w:t>news:</w:t>
      </w:r>
      <w:proofErr w:type="gramEnd"/>
      <w:r w:rsidRPr="000829A5">
        <w:rPr>
          <w:rFonts w:ascii="Times New Roman" w:hAnsi="Times New Roman" w:cs="Times New Roman"/>
        </w:rPr>
        <w:t xml:space="preserve"> shifts the news features by five rows, weakening their contemporaneous alignment.</w:t>
      </w:r>
    </w:p>
    <w:p w14:paraId="622A9CBD" w14:textId="77777777" w:rsidR="00F14584" w:rsidRPr="000829A5" w:rsidRDefault="00000000">
      <w:pPr>
        <w:pStyle w:val="Compact"/>
        <w:numPr>
          <w:ilvl w:val="0"/>
          <w:numId w:val="4"/>
        </w:numPr>
        <w:rPr>
          <w:rFonts w:ascii="Times New Roman" w:hAnsi="Times New Roman" w:cs="Times New Roman"/>
        </w:rPr>
      </w:pPr>
      <w:r w:rsidRPr="000829A5">
        <w:rPr>
          <w:rFonts w:ascii="Times New Roman" w:hAnsi="Times New Roman" w:cs="Times New Roman"/>
          <w:b/>
          <w:bCs/>
        </w:rPr>
        <w:t>Random feature:</w:t>
      </w:r>
      <w:r w:rsidRPr="000829A5">
        <w:rPr>
          <w:rFonts w:ascii="Times New Roman" w:hAnsi="Times New Roman" w:cs="Times New Roman"/>
        </w:rPr>
        <w:t xml:space="preserve"> adds matched noise variables, testing generic capacity expansion.</w:t>
      </w:r>
    </w:p>
    <w:p w14:paraId="17CBDE92" w14:textId="77777777" w:rsidR="00F14584" w:rsidRPr="000829A5" w:rsidRDefault="00000000">
      <w:pPr>
        <w:pStyle w:val="FirstParagraph"/>
        <w:rPr>
          <w:rFonts w:ascii="Times New Roman" w:hAnsi="Times New Roman" w:cs="Times New Roman"/>
        </w:rPr>
      </w:pPr>
      <w:r w:rsidRPr="000829A5">
        <w:rPr>
          <w:rFonts w:ascii="Times New Roman" w:hAnsi="Times New Roman" w:cs="Times New Roman"/>
        </w:rPr>
        <w:t>All arms retained the frozen architecture, window, cohort, seed, and training budget. The registered family contained 100 model–control cells and 400 fits. The principal reported contrasts are Observed-News minus Market-Only and Observed-News minus Shuffled-News. News-only, lagged-news, and random-feature controls remain in the complete evidence bundle.</w:t>
      </w:r>
    </w:p>
    <w:p w14:paraId="03264DB3" w14:textId="77777777" w:rsidR="00F14584" w:rsidRPr="000829A5" w:rsidRDefault="00000000">
      <w:pPr>
        <w:pStyle w:val="Heading2"/>
        <w:rPr>
          <w:rFonts w:ascii="Times New Roman" w:hAnsi="Times New Roman" w:cs="Times New Roman"/>
          <w:sz w:val="24"/>
          <w:szCs w:val="24"/>
        </w:rPr>
      </w:pPr>
      <w:bookmarkStart w:id="17" w:name="Xae65bf45c7cddda87b86465b032cfd75f217e25"/>
      <w:bookmarkEnd w:id="16"/>
      <w:r w:rsidRPr="000829A5">
        <w:rPr>
          <w:rFonts w:ascii="Times New Roman" w:hAnsi="Times New Roman" w:cs="Times New Roman"/>
          <w:sz w:val="24"/>
          <w:szCs w:val="24"/>
        </w:rPr>
        <w:t>3.9 Local NLP, Bull/Bear/Leader debate, and downstream news routes</w:t>
      </w:r>
    </w:p>
    <w:p w14:paraId="6F7F8A84" w14:textId="77777777" w:rsidR="00F14584" w:rsidRPr="000829A5" w:rsidRDefault="00000000">
      <w:pPr>
        <w:pStyle w:val="FirstParagraph"/>
        <w:rPr>
          <w:rFonts w:ascii="Times New Roman" w:hAnsi="Times New Roman" w:cs="Times New Roman"/>
        </w:rPr>
      </w:pPr>
      <w:r w:rsidRPr="000829A5">
        <w:rPr>
          <w:rFonts w:ascii="Times New Roman" w:hAnsi="Times New Roman" w:cs="Times New Roman"/>
        </w:rPr>
        <w:t xml:space="preserve">The local relevance and sentiment pipelines were evaluated annually on out-of-sample pairs. The LLM benchmark was separate. A class-stratified set of 60 pairs from 2022 was used once to validate a fixed prompt; prompts were then frozen before opening the 2023 cohort. The proprietary model was </w:t>
      </w:r>
      <w:r w:rsidRPr="000829A5">
        <w:rPr>
          <w:rStyle w:val="VerbatimChar"/>
          <w:rFonts w:ascii="Times New Roman" w:hAnsi="Times New Roman" w:cs="Times New Roman"/>
          <w:sz w:val="24"/>
        </w:rPr>
        <w:t>gpt-5.6-terra</w:t>
      </w:r>
      <w:r w:rsidRPr="000829A5">
        <w:rPr>
          <w:rFonts w:ascii="Times New Roman" w:hAnsi="Times New Roman" w:cs="Times New Roman"/>
        </w:rPr>
        <w:t>, called through structured outputs at low reasoning effort with response storage disabled.</w:t>
      </w:r>
    </w:p>
    <w:p w14:paraId="0AF1D688"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The role system contained a Bull worker, a Bear worker, and a Leader that returned positive/neutral/negative probabilities and a scalar sentiment score. All roles used the same model under different prompts. Controls were: one single pass; three identical-prompt passes aggregated by self-consistency, matching the three role-system calls; and four passes, whose token-accounted cost fell within the frozen ±15% near-cost band around the Leader system. Uncertainty was clustered by article ID because an article could generate several ticker-labelled pairs. The primary intrinsic endpoint was accuracy, with Macro-F1 as supporting evidence. The two registered Leader comparisons were Holm-adjusted.</w:t>
      </w:r>
    </w:p>
    <w:p w14:paraId="7ABFCB16"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 xml:space="preserve">The original audited downstream run used daily features from the expanding local classifier. A subsequent extension uses the final Leader output as the sentiment source. For each eligible article, the Leader receives the Bull and Bear analyses and returns class probabilities and a scalar </w:t>
      </w:r>
      <w:r w:rsidRPr="000829A5">
        <w:rPr>
          <w:rFonts w:ascii="Times New Roman" w:hAnsi="Times New Roman" w:cs="Times New Roman"/>
        </w:rPr>
        <w:lastRenderedPageBreak/>
        <w:t>score. Only outputs available by the market-close cutoff may be aggregated to date (t); those daily aggregates may predict (t+1), never the same-day close used to form the target. The Leader arm must be compared with Market-Only and Local-NLP arms on the identical overlapping dates, architecture, frozen window, seed set, training budget, and target rows. Its final artifact must record the article cutoff/timezone, daily aggregation fields, coverage, missing-news handling, API model/version, prompt hash, runtime, token cost, and paired uncertainty.</w:t>
      </w:r>
    </w:p>
    <w:p w14:paraId="2ADF073A"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At this draft stage, the author reports that Leader-derived features improve SET50 performance in the additional test. The quantitative cohort, baseline, effect size, confidence interval, and multiplicity-adjusted result are left as explicit verification fields rather than inferred from the Local-NLP run.</w:t>
      </w:r>
    </w:p>
    <w:p w14:paraId="4924F5D7" w14:textId="77777777" w:rsidR="00F14584" w:rsidRPr="000829A5" w:rsidRDefault="00000000">
      <w:pPr>
        <w:pStyle w:val="Heading2"/>
        <w:rPr>
          <w:rFonts w:ascii="Times New Roman" w:hAnsi="Times New Roman" w:cs="Times New Roman"/>
          <w:sz w:val="24"/>
          <w:szCs w:val="24"/>
        </w:rPr>
      </w:pPr>
      <w:bookmarkStart w:id="18" w:name="causal-market-regimes-and-shap-selection"/>
      <w:bookmarkEnd w:id="17"/>
      <w:r w:rsidRPr="000829A5">
        <w:rPr>
          <w:rFonts w:ascii="Times New Roman" w:hAnsi="Times New Roman" w:cs="Times New Roman"/>
          <w:sz w:val="24"/>
          <w:szCs w:val="24"/>
        </w:rPr>
        <w:t>3.10 Causal market regimes and SHAP selection</w:t>
      </w:r>
    </w:p>
    <w:p w14:paraId="29F814AB" w14:textId="77777777" w:rsidR="00F14584" w:rsidRPr="00D47D43" w:rsidRDefault="00000000">
      <w:pPr>
        <w:pStyle w:val="FirstParagraph"/>
        <w:rPr>
          <w:rFonts w:ascii="Times New Roman" w:hAnsi="Times New Roman" w:cs="Times New Roman"/>
          <w:highlight w:val="yellow"/>
        </w:rPr>
      </w:pPr>
      <w:r w:rsidRPr="00D47D43">
        <w:rPr>
          <w:rFonts w:ascii="Times New Roman" w:hAnsi="Times New Roman" w:cs="Times New Roman"/>
          <w:highlight w:val="yellow"/>
        </w:rPr>
        <w:t>The daily regime router uses only past/current numerical features. For horizon (</w:t>
      </w:r>
      <w:proofErr w:type="gramStart"/>
      <w:r w:rsidRPr="00D47D43">
        <w:rPr>
          <w:rFonts w:ascii="Times New Roman" w:hAnsi="Times New Roman" w:cs="Times New Roman"/>
          <w:highlight w:val="yellow"/>
        </w:rPr>
        <w:t>h{</w:t>
      </w:r>
      <w:proofErr w:type="gramEnd"/>
      <w:r w:rsidRPr="00D47D43">
        <w:rPr>
          <w:rFonts w:ascii="Times New Roman" w:hAnsi="Times New Roman" w:cs="Times New Roman"/>
          <w:highlight w:val="yellow"/>
        </w:rPr>
        <w:t>1,3,5,10,20,60}), define a risk-adjusted return</w:t>
      </w:r>
    </w:p>
    <w:p w14:paraId="2D3DBC9D" w14:textId="77777777" w:rsidR="00F14584" w:rsidRPr="00D47D43" w:rsidRDefault="00000000">
      <w:pPr>
        <w:pStyle w:val="BodyText"/>
        <w:rPr>
          <w:rFonts w:ascii="Times New Roman" w:hAnsi="Times New Roman" w:cs="Times New Roman"/>
          <w:highlight w:val="yellow"/>
        </w:rPr>
      </w:pPr>
      <w:r w:rsidRPr="00D47D43">
        <w:rPr>
          <w:rFonts w:ascii="Times New Roman" w:hAnsi="Times New Roman" w:cs="Times New Roman"/>
          <w:highlight w:val="yellow"/>
        </w:rPr>
        <w:t>[ z_{</w:t>
      </w:r>
      <w:proofErr w:type="gramStart"/>
      <w:r w:rsidRPr="00D47D43">
        <w:rPr>
          <w:rFonts w:ascii="Times New Roman" w:hAnsi="Times New Roman" w:cs="Times New Roman"/>
          <w:highlight w:val="yellow"/>
        </w:rPr>
        <w:t>t,h</w:t>
      </w:r>
      <w:proofErr w:type="gramEnd"/>
      <w:r w:rsidRPr="00D47D43">
        <w:rPr>
          <w:rFonts w:ascii="Times New Roman" w:hAnsi="Times New Roman" w:cs="Times New Roman"/>
          <w:highlight w:val="yellow"/>
        </w:rPr>
        <w:t>}=</w:t>
      </w:r>
      <w:proofErr w:type="gramStart"/>
      <w:r w:rsidRPr="00D47D43">
        <w:rPr>
          <w:rFonts w:ascii="Times New Roman" w:hAnsi="Times New Roman" w:cs="Times New Roman"/>
          <w:highlight w:val="yellow"/>
        </w:rPr>
        <w:t>, ]</w:t>
      </w:r>
      <w:proofErr w:type="gramEnd"/>
    </w:p>
    <w:p w14:paraId="34799A5E" w14:textId="77777777" w:rsidR="00F14584" w:rsidRPr="00D47D43" w:rsidRDefault="00000000">
      <w:pPr>
        <w:pStyle w:val="BodyText"/>
        <w:rPr>
          <w:rFonts w:ascii="Times New Roman" w:hAnsi="Times New Roman" w:cs="Times New Roman"/>
          <w:highlight w:val="yellow"/>
        </w:rPr>
      </w:pPr>
      <w:r w:rsidRPr="00D47D43">
        <w:rPr>
          <w:rFonts w:ascii="Times New Roman" w:hAnsi="Times New Roman" w:cs="Times New Roman"/>
          <w:highlight w:val="yellow"/>
        </w:rPr>
        <w:t>where (v(h)=20) for (h) and (</w:t>
      </w:r>
      <w:proofErr w:type="gramStart"/>
      <w:r w:rsidRPr="00D47D43">
        <w:rPr>
          <w:rFonts w:ascii="Times New Roman" w:hAnsi="Times New Roman" w:cs="Times New Roman"/>
          <w:highlight w:val="yellow"/>
        </w:rPr>
        <w:t>v(60)=</w:t>
      </w:r>
      <w:proofErr w:type="gramEnd"/>
      <w:r w:rsidRPr="00D47D43">
        <w:rPr>
          <w:rFonts w:ascii="Times New Roman" w:hAnsi="Times New Roman" w:cs="Times New Roman"/>
          <w:highlight w:val="yellow"/>
        </w:rPr>
        <w:t>60). The horizon weights are (0.05,0.10,0.15,0.20,0.25,0.25), respectively. Trend evidence is (T_t=</w:t>
      </w:r>
      <w:r w:rsidRPr="00D47D43">
        <w:rPr>
          <w:rFonts w:ascii="Times New Roman" w:hAnsi="Times New Roman" w:cs="Times New Roman"/>
          <w:i/>
          <w:iCs/>
          <w:highlight w:val="yellow"/>
        </w:rPr>
        <w:t>h w_h z</w:t>
      </w:r>
      <w:r w:rsidRPr="00D47D43">
        <w:rPr>
          <w:rFonts w:ascii="Times New Roman" w:hAnsi="Times New Roman" w:cs="Times New Roman"/>
          <w:highlight w:val="yellow"/>
        </w:rPr>
        <w:t>{</w:t>
      </w:r>
      <w:proofErr w:type="gramStart"/>
      <w:r w:rsidRPr="00D47D43">
        <w:rPr>
          <w:rFonts w:ascii="Times New Roman" w:hAnsi="Times New Roman" w:cs="Times New Roman"/>
          <w:highlight w:val="yellow"/>
        </w:rPr>
        <w:t>t,h</w:t>
      </w:r>
      <w:proofErr w:type="gramEnd"/>
      <w:r w:rsidRPr="00D47D43">
        <w:rPr>
          <w:rFonts w:ascii="Times New Roman" w:hAnsi="Times New Roman" w:cs="Times New Roman"/>
          <w:highlight w:val="yellow"/>
        </w:rPr>
        <w:t>}), trend strength is (D_t=ADX_{</w:t>
      </w:r>
      <w:proofErr w:type="gramStart"/>
      <w:r w:rsidRPr="00D47D43">
        <w:rPr>
          <w:rFonts w:ascii="Times New Roman" w:hAnsi="Times New Roman" w:cs="Times New Roman"/>
          <w:highlight w:val="yellow"/>
        </w:rPr>
        <w:t>14,t</w:t>
      </w:r>
      <w:proofErr w:type="gramEnd"/>
      <w:r w:rsidRPr="00D47D43">
        <w:rPr>
          <w:rFonts w:ascii="Times New Roman" w:hAnsi="Times New Roman" w:cs="Times New Roman"/>
          <w:highlight w:val="yellow"/>
        </w:rPr>
        <w:t>}/100), and the regime score is a span-3 exponentially weighted mean of (Q_t=T_tD_t). For each fold, the symmetric boundary</w:t>
      </w:r>
    </w:p>
    <w:p w14:paraId="3823DEFE" w14:textId="77777777" w:rsidR="00F14584" w:rsidRPr="00D47D43" w:rsidRDefault="00000000">
      <w:pPr>
        <w:pStyle w:val="BodyText"/>
        <w:rPr>
          <w:rFonts w:ascii="Times New Roman" w:hAnsi="Times New Roman" w:cs="Times New Roman"/>
          <w:highlight w:val="yellow"/>
        </w:rPr>
      </w:pPr>
      <w:r w:rsidRPr="00D47D43">
        <w:rPr>
          <w:rFonts w:ascii="Times New Roman" w:hAnsi="Times New Roman" w:cs="Times New Roman"/>
          <w:highlight w:val="yellow"/>
        </w:rPr>
        <w:t>[ =_{</w:t>
      </w:r>
      <w:proofErr w:type="gramStart"/>
      <w:r w:rsidRPr="00D47D43">
        <w:rPr>
          <w:rFonts w:ascii="Times New Roman" w:hAnsi="Times New Roman" w:cs="Times New Roman"/>
          <w:highlight w:val="yellow"/>
        </w:rPr>
        <w:t>0.35}(</w:t>
      </w:r>
      <w:proofErr w:type="gramEnd"/>
      <w:r w:rsidRPr="00D47D43">
        <w:rPr>
          <w:rFonts w:ascii="Times New Roman" w:hAnsi="Times New Roman" w:cs="Times New Roman"/>
          <w:highlight w:val="yellow"/>
        </w:rPr>
        <w:t>|S_t|</w:t>
      </w:r>
      <w:proofErr w:type="gramStart"/>
      <w:r w:rsidRPr="00D47D43">
        <w:rPr>
          <w:rFonts w:ascii="Times New Roman" w:hAnsi="Times New Roman" w:cs="Times New Roman"/>
          <w:highlight w:val="yellow"/>
        </w:rPr>
        <w:t>) ]</w:t>
      </w:r>
      <w:proofErr w:type="gramEnd"/>
    </w:p>
    <w:p w14:paraId="532E7DC1" w14:textId="77777777" w:rsidR="00F14584" w:rsidRPr="00D47D43" w:rsidRDefault="00000000">
      <w:pPr>
        <w:pStyle w:val="BodyText"/>
        <w:rPr>
          <w:rFonts w:ascii="Times New Roman" w:hAnsi="Times New Roman" w:cs="Times New Roman"/>
          <w:highlight w:val="yellow"/>
        </w:rPr>
      </w:pPr>
      <w:r w:rsidRPr="00D47D43">
        <w:rPr>
          <w:rFonts w:ascii="Times New Roman" w:hAnsi="Times New Roman" w:cs="Times New Roman"/>
          <w:highlight w:val="yellow"/>
        </w:rPr>
        <w:t xml:space="preserve">is fitted on training data only. Bull is (S_t&gt;), Bear is (S_t&lt;-), and </w:t>
      </w:r>
      <w:proofErr w:type="gramStart"/>
      <w:r w:rsidRPr="00D47D43">
        <w:rPr>
          <w:rFonts w:ascii="Times New Roman" w:hAnsi="Times New Roman" w:cs="Times New Roman"/>
          <w:highlight w:val="yellow"/>
        </w:rPr>
        <w:t>Sideway</w:t>
      </w:r>
      <w:proofErr w:type="gramEnd"/>
      <w:r w:rsidRPr="00D47D43">
        <w:rPr>
          <w:rFonts w:ascii="Times New Roman" w:hAnsi="Times New Roman" w:cs="Times New Roman"/>
          <w:highlight w:val="yellow"/>
        </w:rPr>
        <w:t xml:space="preserve"> is the remaining interval. The 0.35 quantile was selected on a pre-outer development period from candidates 0.30, 0.35, and 0.40. Distance-based soft memberships with </w:t>
      </w:r>
      <w:proofErr w:type="gramStart"/>
      <w:r w:rsidRPr="00D47D43">
        <w:rPr>
          <w:rFonts w:ascii="Times New Roman" w:hAnsi="Times New Roman" w:cs="Times New Roman"/>
          <w:highlight w:val="yellow"/>
        </w:rPr>
        <w:t>temperature</w:t>
      </w:r>
      <w:proofErr w:type="gramEnd"/>
      <w:r w:rsidRPr="00D47D43">
        <w:rPr>
          <w:rFonts w:ascii="Times New Roman" w:hAnsi="Times New Roman" w:cs="Times New Roman"/>
          <w:highlight w:val="yellow"/>
        </w:rPr>
        <w:t xml:space="preserve"> 0.35 are descriptive; hard routing is primary and the memberships are not calibrated posterior probabilities.</w:t>
      </w:r>
    </w:p>
    <w:p w14:paraId="399B39E4" w14:textId="77777777" w:rsidR="00F14584" w:rsidRPr="000829A5" w:rsidRDefault="00000000">
      <w:pPr>
        <w:pStyle w:val="BodyText"/>
        <w:rPr>
          <w:rFonts w:ascii="Times New Roman" w:hAnsi="Times New Roman" w:cs="Times New Roman"/>
        </w:rPr>
      </w:pPr>
      <w:r w:rsidRPr="00D47D43">
        <w:rPr>
          <w:rFonts w:ascii="Times New Roman" w:hAnsi="Times New Roman" w:cs="Times New Roman"/>
          <w:highlight w:val="yellow"/>
        </w:rPr>
        <w:t xml:space="preserve">All four training folds passed semantic gates: Bull had positive and </w:t>
      </w:r>
      <w:proofErr w:type="gramStart"/>
      <w:r w:rsidRPr="00D47D43">
        <w:rPr>
          <w:rFonts w:ascii="Times New Roman" w:hAnsi="Times New Roman" w:cs="Times New Roman"/>
          <w:highlight w:val="yellow"/>
        </w:rPr>
        <w:t>Bear</w:t>
      </w:r>
      <w:proofErr w:type="gramEnd"/>
      <w:r w:rsidRPr="00D47D43">
        <w:rPr>
          <w:rFonts w:ascii="Times New Roman" w:hAnsi="Times New Roman" w:cs="Times New Roman"/>
          <w:highlight w:val="yellow"/>
        </w:rPr>
        <w:t xml:space="preserve"> negative 20-day returns, </w:t>
      </w:r>
      <w:proofErr w:type="gramStart"/>
      <w:r w:rsidRPr="00D47D43">
        <w:rPr>
          <w:rFonts w:ascii="Times New Roman" w:hAnsi="Times New Roman" w:cs="Times New Roman"/>
          <w:highlight w:val="yellow"/>
        </w:rPr>
        <w:t>Sideway</w:t>
      </w:r>
      <w:proofErr w:type="gramEnd"/>
      <w:r w:rsidRPr="00D47D43">
        <w:rPr>
          <w:rFonts w:ascii="Times New Roman" w:hAnsi="Times New Roman" w:cs="Times New Roman"/>
          <w:highlight w:val="yellow"/>
        </w:rPr>
        <w:t xml:space="preserve"> was closest to zero and had the smallest absolute score, and every training regime exceeded the minimum share. Outer years contained 268 Bull (27.86%), 351 Sideway (36.49%), and 343 Bear (35.65%) rows in total.</w:t>
      </w:r>
    </w:p>
    <w:p w14:paraId="1308C56F"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 xml:space="preserve">SHAP rankings used </w:t>
      </w:r>
      <w:r w:rsidRPr="000829A5">
        <w:rPr>
          <w:rStyle w:val="VerbatimChar"/>
          <w:rFonts w:ascii="Times New Roman" w:hAnsi="Times New Roman" w:cs="Times New Roman"/>
          <w:sz w:val="24"/>
        </w:rPr>
        <w:t>GradientExplainer</w:t>
      </w:r>
      <w:r w:rsidRPr="000829A5">
        <w:rPr>
          <w:rFonts w:ascii="Times New Roman" w:hAnsi="Times New Roman" w:cs="Times New Roman"/>
        </w:rPr>
        <w:t>, 100 training-only background sequences, at most 128 evenly spaced training ranking sequences, 200 samples, deterministic cell seeds, and float32 tensors. Candidate feature counts were 10, 20, 30, 40, 60, 80, 100, and 122. A one-standard-error rule plus balanced- accuracy, model-error, RMSE, and temporal-Jaccard guardrails selected the smallest stable subset. The frozen counts were 122 globally, 30 for Bull, 122 for Sideway, and 80 for Bear. A Spearman selector used the same counts as a size-matched non-SHAP comparator.</w:t>
      </w:r>
    </w:p>
    <w:p w14:paraId="528AF27D"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Seven outer arms separated routing, capacity, and selector effects: Global-All, a three-replica Global3-All capacity control, Global-SHAP, Global-Spearman, Regime-All, Regime-SHAP, and Regime-Spearman. Because the global selector retained all 122 features, Global-SHAP and Global-Spearman are identity controls. The primary selector contrast is Regime-SHAP minus Regime-All.</w:t>
      </w:r>
    </w:p>
    <w:p w14:paraId="378583F8"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lastRenderedPageBreak/>
        <w:t>LIME was applied after selection to 1,800 instance–repeat explanations. It did not influence training or feature selection. A local surrogate with (R^2&lt;0.70) was labelled low fidelity. Agreement with SHAP was summarized only for reliable LIME repeats, while every failed repeat remained in the denominator.</w:t>
      </w:r>
    </w:p>
    <w:p w14:paraId="1824A3C7" w14:textId="77777777" w:rsidR="00F14584" w:rsidRPr="000829A5" w:rsidRDefault="00000000">
      <w:pPr>
        <w:pStyle w:val="Heading2"/>
        <w:rPr>
          <w:rFonts w:ascii="Times New Roman" w:hAnsi="Times New Roman" w:cs="Times New Roman"/>
          <w:sz w:val="24"/>
          <w:szCs w:val="24"/>
        </w:rPr>
      </w:pPr>
      <w:bookmarkStart w:id="19" w:name="X050af88555f65a236151941bee377cdc119b08a"/>
      <w:bookmarkEnd w:id="18"/>
      <w:r w:rsidRPr="000829A5">
        <w:rPr>
          <w:rFonts w:ascii="Times New Roman" w:hAnsi="Times New Roman" w:cs="Times New Roman"/>
          <w:sz w:val="24"/>
          <w:szCs w:val="24"/>
        </w:rPr>
        <w:t>3.11 Partial-2026 objective-alignment stress test</w:t>
      </w:r>
    </w:p>
    <w:p w14:paraId="50ABC53C" w14:textId="77777777" w:rsidR="00F14584" w:rsidRPr="000829A5" w:rsidRDefault="00000000">
      <w:pPr>
        <w:pStyle w:val="FirstParagraph"/>
        <w:rPr>
          <w:rFonts w:ascii="Times New Roman" w:hAnsi="Times New Roman" w:cs="Times New Roman"/>
        </w:rPr>
      </w:pPr>
      <w:r w:rsidRPr="000829A5">
        <w:rPr>
          <w:rFonts w:ascii="Times New Roman" w:hAnsi="Times New Roman" w:cs="Times New Roman"/>
        </w:rPr>
        <w:t>Before accessing 2026 observations, the protocol froze the five architectures, windows, features, seeds, objectives, thresholds, and economic rules. The registered Yahoo Finance source failed its overlap/availability gate. A dated deviation then accepted the Investing.com historical interface; accordingly, the result is source-contingent rather than a pristine source-frozen holdout. The final extension contains 138 rows from 5 January to 30 July 2026.</w:t>
      </w:r>
    </w:p>
    <w:p w14:paraId="68BA749F"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 xml:space="preserve">Two objectives used the same backbones. </w:t>
      </w:r>
      <w:r w:rsidRPr="000829A5">
        <w:rPr>
          <w:rFonts w:ascii="Times New Roman" w:hAnsi="Times New Roman" w:cs="Times New Roman"/>
          <w:b/>
          <w:bCs/>
        </w:rPr>
        <w:t>Direct</w:t>
      </w:r>
      <w:r w:rsidRPr="000829A5">
        <w:rPr>
          <w:rFonts w:ascii="Times New Roman" w:hAnsi="Times New Roman" w:cs="Times New Roman"/>
        </w:rPr>
        <w:t xml:space="preserve"> predicts Up with a sigmoid and binary cross-entropy. </w:t>
      </w:r>
      <w:r w:rsidRPr="000829A5">
        <w:rPr>
          <w:rFonts w:ascii="Times New Roman" w:hAnsi="Times New Roman" w:cs="Times New Roman"/>
          <w:b/>
          <w:bCs/>
        </w:rPr>
        <w:t>Multitask</w:t>
      </w:r>
      <w:r w:rsidRPr="000829A5">
        <w:rPr>
          <w:rFonts w:ascii="Times New Roman" w:hAnsi="Times New Roman" w:cs="Times New Roman"/>
        </w:rPr>
        <w:t xml:space="preserve"> adds a standardized next-day log-return head to the shared backbone, with direction BCE weight 1.0 and return MSE weight 0.25; return scaling is fitted on training data only. Threshold candidates 0.50, 0.55, 0.60, and 0.65 were evaluated </w:t>
      </w:r>
      <w:proofErr w:type="gramStart"/>
      <w:r w:rsidRPr="000829A5">
        <w:rPr>
          <w:rFonts w:ascii="Times New Roman" w:hAnsi="Times New Roman" w:cs="Times New Roman"/>
        </w:rPr>
        <w:t>on</w:t>
      </w:r>
      <w:proofErr w:type="gramEnd"/>
      <w:r w:rsidRPr="000829A5">
        <w:rPr>
          <w:rFonts w:ascii="Times New Roman" w:hAnsi="Times New Roman" w:cs="Times New Roman"/>
        </w:rPr>
        <w:t xml:space="preserve"> 2019–2021 validation data under registered coverage and economic gates. All ten model–objective cells failed the gate and reverted to 0.50. The 2026 positive-class share was 58.70%.</w:t>
      </w:r>
    </w:p>
    <w:p w14:paraId="5418F232"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An exploratory next-session open-to-close proxy evaluated long/flat and long/short positions at 5, 10, and 20 basis points per active round trip. The complete grid, not only the best cell, is retained in the Supplement. These short-sample results are not evidence of a profitable or deployable strategy.</w:t>
      </w:r>
    </w:p>
    <w:p w14:paraId="5C103A5C" w14:textId="77777777" w:rsidR="00F14584" w:rsidRPr="000829A5" w:rsidRDefault="00000000">
      <w:pPr>
        <w:pStyle w:val="Heading2"/>
        <w:rPr>
          <w:rFonts w:ascii="Times New Roman" w:hAnsi="Times New Roman" w:cs="Times New Roman"/>
          <w:sz w:val="24"/>
          <w:szCs w:val="24"/>
        </w:rPr>
      </w:pPr>
      <w:bookmarkStart w:id="20" w:name="frozen-set100-same-exchange-transfer"/>
      <w:bookmarkEnd w:id="19"/>
      <w:r w:rsidRPr="000829A5">
        <w:rPr>
          <w:rFonts w:ascii="Times New Roman" w:hAnsi="Times New Roman" w:cs="Times New Roman"/>
          <w:sz w:val="24"/>
          <w:szCs w:val="24"/>
        </w:rPr>
        <w:t>3.12 Frozen SET100 same-exchange transfer</w:t>
      </w:r>
    </w:p>
    <w:p w14:paraId="759BBF39" w14:textId="77777777" w:rsidR="00F14584" w:rsidRPr="000829A5" w:rsidRDefault="00000000">
      <w:pPr>
        <w:pStyle w:val="FirstParagraph"/>
        <w:rPr>
          <w:rFonts w:ascii="Times New Roman" w:hAnsi="Times New Roman" w:cs="Times New Roman"/>
        </w:rPr>
      </w:pPr>
      <w:r w:rsidRPr="000829A5">
        <w:rPr>
          <w:rFonts w:ascii="Times New Roman" w:hAnsi="Times New Roman" w:cs="Times New Roman"/>
        </w:rPr>
        <w:t xml:space="preserve">SET100 transfer used the same 122 numerical features, windows, seeds, epochs, and outer years as the matched SET50 global numerical comparator. Features, VMD, and scaling were reconstructed within each SET100 fold. There was no SET100 </w:t>
      </w:r>
      <w:proofErr w:type="gramStart"/>
      <w:r w:rsidRPr="000829A5">
        <w:rPr>
          <w:rFonts w:ascii="Times New Roman" w:hAnsi="Times New Roman" w:cs="Times New Roman"/>
        </w:rPr>
        <w:t>retuning</w:t>
      </w:r>
      <w:proofErr w:type="gramEnd"/>
      <w:r w:rsidRPr="000829A5">
        <w:rPr>
          <w:rFonts w:ascii="Times New Roman" w:hAnsi="Times New Roman" w:cs="Times New Roman"/>
        </w:rPr>
        <w:t>, Optuna search, early stopping, or model exclusion. Five models × four years × five seeds produced 100/100 planned fits.</w:t>
      </w:r>
    </w:p>
    <w:p w14:paraId="7303EBCF"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 xml:space="preserve">SET100 news was excluded because a historically point-in-time SET100 constituent/news universe was unavailable. Adding SET50-oriented news would create an asymmetric test. The matched SET50 values in the transfer table are therefore the numerical Full-TA+VMD global comparator, not the later integrated regime–news arm. Because SET50 is nested within SET100 and both share the same exchange, macro regimes, period, and many constituents, the analysis is a same-exchange breadth transfer, not external-market validation. The official index profiles define the respective </w:t>
      </w:r>
      <w:proofErr w:type="gramStart"/>
      <w:r w:rsidRPr="000829A5">
        <w:rPr>
          <w:rFonts w:ascii="Times New Roman" w:hAnsi="Times New Roman" w:cs="Times New Roman"/>
        </w:rPr>
        <w:t>top-50</w:t>
      </w:r>
      <w:proofErr w:type="gramEnd"/>
      <w:r w:rsidRPr="000829A5">
        <w:rPr>
          <w:rFonts w:ascii="Times New Roman" w:hAnsi="Times New Roman" w:cs="Times New Roman"/>
        </w:rPr>
        <w:t xml:space="preserve"> and </w:t>
      </w:r>
      <w:proofErr w:type="gramStart"/>
      <w:r w:rsidRPr="000829A5">
        <w:rPr>
          <w:rFonts w:ascii="Times New Roman" w:hAnsi="Times New Roman" w:cs="Times New Roman"/>
        </w:rPr>
        <w:t>top-100</w:t>
      </w:r>
      <w:proofErr w:type="gramEnd"/>
      <w:r w:rsidRPr="000829A5">
        <w:rPr>
          <w:rFonts w:ascii="Times New Roman" w:hAnsi="Times New Roman" w:cs="Times New Roman"/>
        </w:rPr>
        <w:t xml:space="preserve"> liquid large-capitalization universes and their semiannual review convention (</w:t>
      </w:r>
      <w:hyperlink w:anchor="ref-set50Profile">
        <w:r w:rsidRPr="000829A5">
          <w:rPr>
            <w:rStyle w:val="Hyperlink"/>
            <w:rFonts w:ascii="Times New Roman" w:hAnsi="Times New Roman" w:cs="Times New Roman"/>
          </w:rPr>
          <w:t>The Stock Exchange of Thailand, n.d.-c</w:t>
        </w:r>
      </w:hyperlink>
      <w:r w:rsidRPr="000829A5">
        <w:rPr>
          <w:rFonts w:ascii="Times New Roman" w:hAnsi="Times New Roman" w:cs="Times New Roman"/>
        </w:rPr>
        <w:t xml:space="preserve">, </w:t>
      </w:r>
      <w:hyperlink w:anchor="ref-set100Profile">
        <w:r w:rsidRPr="000829A5">
          <w:rPr>
            <w:rStyle w:val="Hyperlink"/>
            <w:rFonts w:ascii="Times New Roman" w:hAnsi="Times New Roman" w:cs="Times New Roman"/>
          </w:rPr>
          <w:t>n.d.-b</w:t>
        </w:r>
      </w:hyperlink>
      <w:r w:rsidRPr="000829A5">
        <w:rPr>
          <w:rFonts w:ascii="Times New Roman" w:hAnsi="Times New Roman" w:cs="Times New Roman"/>
        </w:rPr>
        <w:t>).</w:t>
      </w:r>
    </w:p>
    <w:p w14:paraId="787A5902" w14:textId="77777777" w:rsidR="00F14584" w:rsidRPr="000829A5" w:rsidRDefault="00000000">
      <w:pPr>
        <w:pStyle w:val="Heading2"/>
        <w:rPr>
          <w:rFonts w:ascii="Times New Roman" w:hAnsi="Times New Roman" w:cs="Times New Roman"/>
          <w:sz w:val="24"/>
          <w:szCs w:val="24"/>
        </w:rPr>
      </w:pPr>
      <w:bookmarkStart w:id="21" w:name="metrics-and-statistical-inference"/>
      <w:bookmarkEnd w:id="20"/>
      <w:r w:rsidRPr="000829A5">
        <w:rPr>
          <w:rFonts w:ascii="Times New Roman" w:hAnsi="Times New Roman" w:cs="Times New Roman"/>
          <w:sz w:val="24"/>
          <w:szCs w:val="24"/>
        </w:rPr>
        <w:t>3.13 Metrics and statistical inference</w:t>
      </w:r>
    </w:p>
    <w:p w14:paraId="08B5A8D3" w14:textId="77777777" w:rsidR="00F14584" w:rsidRPr="000829A5" w:rsidRDefault="00000000">
      <w:pPr>
        <w:pStyle w:val="FirstParagraph"/>
        <w:rPr>
          <w:rFonts w:ascii="Times New Roman" w:hAnsi="Times New Roman" w:cs="Times New Roman"/>
        </w:rPr>
      </w:pPr>
      <w:r w:rsidRPr="000829A5">
        <w:rPr>
          <w:rFonts w:ascii="Times New Roman" w:hAnsi="Times New Roman" w:cs="Times New Roman"/>
        </w:rPr>
        <w:t>Balanced accuracy is the primary forecasting endpoint. Direction accuracy, MCC, coverage, RMSE, and MAE are secondary where applicable; AUC and Brier score are included for probabilistic 2026 objectives. Seed predictions or metrics are averaged within each model–year cell before temporal inference. Seeds measure optimization variability and are not treated as independent market samples.</w:t>
      </w:r>
    </w:p>
    <w:p w14:paraId="3C1A6D4F"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lastRenderedPageBreak/>
        <w:t xml:space="preserve">For the four historical outer years, paired model contrasts use exact two-sided sign-flip tests over the </w:t>
      </w:r>
      <w:proofErr w:type="gramStart"/>
      <w:r w:rsidRPr="000829A5">
        <w:rPr>
          <w:rFonts w:ascii="Times New Roman" w:hAnsi="Times New Roman" w:cs="Times New Roman"/>
        </w:rPr>
        <w:t>four fold</w:t>
      </w:r>
      <w:proofErr w:type="gramEnd"/>
      <w:r w:rsidRPr="000829A5">
        <w:rPr>
          <w:rFonts w:ascii="Times New Roman" w:hAnsi="Times New Roman" w:cs="Times New Roman"/>
        </w:rPr>
        <w:t>-level effects. The minimum attainable two-sided p-value is therefore 0.125. Descriptive t intervals communicate effect uncertainty but do not override the exact test. Holm adjustment controls the registered familywise error rate. A 10-day circular moving-block bootstrap over paired daily predictions provides a serial-dependence sensitivity (</w:t>
      </w:r>
      <w:hyperlink w:anchor="ref-politis1992circular">
        <w:r w:rsidRPr="000829A5">
          <w:rPr>
            <w:rStyle w:val="Hyperlink"/>
            <w:rFonts w:ascii="Times New Roman" w:hAnsi="Times New Roman" w:cs="Times New Roman"/>
          </w:rPr>
          <w:t>Politis &amp; Romano, 1992</w:t>
        </w:r>
      </w:hyperlink>
      <w:r w:rsidRPr="000829A5">
        <w:rPr>
          <w:rFonts w:ascii="Times New Roman" w:hAnsi="Times New Roman" w:cs="Times New Roman"/>
        </w:rPr>
        <w:t>); it cannot promote a squared-error finding into a directional claim. Intrinsic LLM intervals use 5,000 article-cluster bootstrap replicates, with article-cluster sign-flip sensitivity and Holm adjustment across the two accuracy contrasts.</w:t>
      </w:r>
    </w:p>
    <w:p w14:paraId="5CE0548D" w14:textId="77777777" w:rsidR="00F14584" w:rsidRPr="000829A5" w:rsidRDefault="00000000">
      <w:pPr>
        <w:pStyle w:val="Heading1"/>
        <w:rPr>
          <w:rFonts w:ascii="Times New Roman" w:hAnsi="Times New Roman" w:cs="Times New Roman"/>
          <w:sz w:val="24"/>
          <w:szCs w:val="24"/>
        </w:rPr>
      </w:pPr>
      <w:bookmarkStart w:id="22" w:name="results"/>
      <w:bookmarkEnd w:id="8"/>
      <w:bookmarkEnd w:id="21"/>
      <w:r w:rsidRPr="000829A5">
        <w:rPr>
          <w:rFonts w:ascii="Times New Roman" w:hAnsi="Times New Roman" w:cs="Times New Roman"/>
          <w:sz w:val="24"/>
          <w:szCs w:val="24"/>
        </w:rPr>
        <w:t>4. Results</w:t>
      </w:r>
    </w:p>
    <w:p w14:paraId="251891CC" w14:textId="77777777" w:rsidR="00F14584" w:rsidRPr="000829A5" w:rsidRDefault="00000000">
      <w:pPr>
        <w:pStyle w:val="Heading2"/>
        <w:rPr>
          <w:rFonts w:ascii="Times New Roman" w:hAnsi="Times New Roman" w:cs="Times New Roman"/>
          <w:sz w:val="24"/>
          <w:szCs w:val="24"/>
        </w:rPr>
      </w:pPr>
      <w:bookmarkStart w:id="23" w:name="X9a3f90b7b9c8be9779871fa3204858e89b588de"/>
      <w:r w:rsidRPr="000829A5">
        <w:rPr>
          <w:rFonts w:ascii="Times New Roman" w:hAnsi="Times New Roman" w:cs="Times New Roman"/>
          <w:sz w:val="24"/>
          <w:szCs w:val="24"/>
        </w:rPr>
        <w:t>4.1 Numerical denoising was architecture dependent</w:t>
      </w:r>
    </w:p>
    <w:p w14:paraId="3A9DFA27" w14:textId="77777777" w:rsidR="00F14584" w:rsidRPr="000829A5" w:rsidRDefault="00000000">
      <w:pPr>
        <w:pStyle w:val="FirstParagraph"/>
        <w:rPr>
          <w:rFonts w:ascii="Times New Roman" w:hAnsi="Times New Roman" w:cs="Times New Roman"/>
        </w:rPr>
      </w:pPr>
      <w:r w:rsidRPr="000829A5">
        <w:rPr>
          <w:rFonts w:ascii="Times New Roman" w:hAnsi="Times New Roman" w:cs="Times New Roman"/>
        </w:rPr>
        <w:t>Table 2 reports the corrected point-in-time numerical ablation. VMD increased mean balanced accuracy only for LSTM–CNN (+0.35 percentage points) and reduced it for the other four architectures (−0.30 to −0.60 points). Every interval crossed zero and the smallest exact p-value was 0.375. VMD therefore cannot be described as a generally beneficial denoiser for next-day direction.</w:t>
      </w:r>
    </w:p>
    <w:p w14:paraId="5992891A"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b/>
          <w:bCs/>
        </w:rPr>
        <w:t>Table 2. Full technical analysis versus causal rolling VMD, 2022–2025.</w:t>
      </w:r>
    </w:p>
    <w:tbl>
      <w:tblPr>
        <w:tblStyle w:val="Table"/>
        <w:tblW w:w="5000" w:type="pct"/>
        <w:tblLayout w:type="fixed"/>
        <w:tblLook w:val="0020" w:firstRow="1" w:lastRow="0" w:firstColumn="0" w:lastColumn="0" w:noHBand="0" w:noVBand="0"/>
      </w:tblPr>
      <w:tblGrid>
        <w:gridCol w:w="1063"/>
        <w:gridCol w:w="1418"/>
        <w:gridCol w:w="1419"/>
        <w:gridCol w:w="1419"/>
        <w:gridCol w:w="1419"/>
        <w:gridCol w:w="1419"/>
        <w:gridCol w:w="1419"/>
      </w:tblGrid>
      <w:tr w:rsidR="00F14584" w:rsidRPr="000829A5" w14:paraId="7DF083EE" w14:textId="77777777" w:rsidTr="00F14584">
        <w:trPr>
          <w:cnfStyle w:val="100000000000" w:firstRow="1" w:lastRow="0" w:firstColumn="0" w:lastColumn="0" w:oddVBand="0" w:evenVBand="0" w:oddHBand="0" w:evenHBand="0" w:firstRowFirstColumn="0" w:firstRowLastColumn="0" w:lastRowFirstColumn="0" w:lastRowLastColumn="0"/>
          <w:tblHeader/>
        </w:trPr>
        <w:tc>
          <w:tcPr>
            <w:tcW w:w="880" w:type="dxa"/>
          </w:tcPr>
          <w:p w14:paraId="65A2899A"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Model (window)</w:t>
            </w:r>
          </w:p>
        </w:tc>
        <w:tc>
          <w:tcPr>
            <w:tcW w:w="1173" w:type="dxa"/>
          </w:tcPr>
          <w:p w14:paraId="2785CD03"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Full TA BAcc</w:t>
            </w:r>
          </w:p>
        </w:tc>
        <w:tc>
          <w:tcPr>
            <w:tcW w:w="1173" w:type="dxa"/>
          </w:tcPr>
          <w:p w14:paraId="5316AD6D"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+VMD BAcc</w:t>
            </w:r>
          </w:p>
        </w:tc>
        <w:tc>
          <w:tcPr>
            <w:tcW w:w="1173" w:type="dxa"/>
          </w:tcPr>
          <w:p w14:paraId="2808176D"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Δ BAcc (pp)</w:t>
            </w:r>
          </w:p>
        </w:tc>
        <w:tc>
          <w:tcPr>
            <w:tcW w:w="1173" w:type="dxa"/>
          </w:tcPr>
          <w:p w14:paraId="5977687E"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95% CI (pp)</w:t>
            </w:r>
          </w:p>
        </w:tc>
        <w:tc>
          <w:tcPr>
            <w:tcW w:w="1173" w:type="dxa"/>
          </w:tcPr>
          <w:p w14:paraId="54F096F1"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Exact p</w:t>
            </w:r>
          </w:p>
        </w:tc>
        <w:tc>
          <w:tcPr>
            <w:tcW w:w="1173" w:type="dxa"/>
          </w:tcPr>
          <w:p w14:paraId="2CDB8E58"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Runtime Full/+VMD (s)</w:t>
            </w:r>
          </w:p>
        </w:tc>
      </w:tr>
      <w:tr w:rsidR="00F14584" w:rsidRPr="000829A5" w14:paraId="58588120" w14:textId="77777777">
        <w:tc>
          <w:tcPr>
            <w:tcW w:w="880" w:type="dxa"/>
          </w:tcPr>
          <w:p w14:paraId="0F0249FC"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LSTM (5)</w:t>
            </w:r>
          </w:p>
        </w:tc>
        <w:tc>
          <w:tcPr>
            <w:tcW w:w="1173" w:type="dxa"/>
          </w:tcPr>
          <w:p w14:paraId="65DCFA39"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53.49%</w:t>
            </w:r>
          </w:p>
        </w:tc>
        <w:tc>
          <w:tcPr>
            <w:tcW w:w="1173" w:type="dxa"/>
          </w:tcPr>
          <w:p w14:paraId="697846F4"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53.16%</w:t>
            </w:r>
          </w:p>
        </w:tc>
        <w:tc>
          <w:tcPr>
            <w:tcW w:w="1173" w:type="dxa"/>
          </w:tcPr>
          <w:p w14:paraId="4646EE35"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−0.335</w:t>
            </w:r>
          </w:p>
        </w:tc>
        <w:tc>
          <w:tcPr>
            <w:tcW w:w="1173" w:type="dxa"/>
          </w:tcPr>
          <w:p w14:paraId="2A2D52DA"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[−1.737, 1.068]</w:t>
            </w:r>
          </w:p>
        </w:tc>
        <w:tc>
          <w:tcPr>
            <w:tcW w:w="1173" w:type="dxa"/>
          </w:tcPr>
          <w:p w14:paraId="27D048BE"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0.500</w:t>
            </w:r>
          </w:p>
        </w:tc>
        <w:tc>
          <w:tcPr>
            <w:tcW w:w="1173" w:type="dxa"/>
          </w:tcPr>
          <w:p w14:paraId="7C8368CD"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7.84 / 7.71</w:t>
            </w:r>
          </w:p>
        </w:tc>
      </w:tr>
      <w:tr w:rsidR="00F14584" w:rsidRPr="000829A5" w14:paraId="2B2BE730" w14:textId="77777777">
        <w:tc>
          <w:tcPr>
            <w:tcW w:w="880" w:type="dxa"/>
          </w:tcPr>
          <w:p w14:paraId="565E7DD1"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CNN (20)</w:t>
            </w:r>
          </w:p>
        </w:tc>
        <w:tc>
          <w:tcPr>
            <w:tcW w:w="1173" w:type="dxa"/>
          </w:tcPr>
          <w:p w14:paraId="020DA8ED"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52.14%</w:t>
            </w:r>
          </w:p>
        </w:tc>
        <w:tc>
          <w:tcPr>
            <w:tcW w:w="1173" w:type="dxa"/>
          </w:tcPr>
          <w:p w14:paraId="61163216"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51.84%</w:t>
            </w:r>
          </w:p>
        </w:tc>
        <w:tc>
          <w:tcPr>
            <w:tcW w:w="1173" w:type="dxa"/>
          </w:tcPr>
          <w:p w14:paraId="2B8C535B"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−0.299</w:t>
            </w:r>
          </w:p>
        </w:tc>
        <w:tc>
          <w:tcPr>
            <w:tcW w:w="1173" w:type="dxa"/>
          </w:tcPr>
          <w:p w14:paraId="4166A0FA"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[−1.384, 0.786]</w:t>
            </w:r>
          </w:p>
        </w:tc>
        <w:tc>
          <w:tcPr>
            <w:tcW w:w="1173" w:type="dxa"/>
          </w:tcPr>
          <w:p w14:paraId="193A6546"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0.625</w:t>
            </w:r>
          </w:p>
        </w:tc>
        <w:tc>
          <w:tcPr>
            <w:tcW w:w="1173" w:type="dxa"/>
          </w:tcPr>
          <w:p w14:paraId="704BE8B9"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6.55 / 6.57</w:t>
            </w:r>
          </w:p>
        </w:tc>
      </w:tr>
      <w:tr w:rsidR="00F14584" w:rsidRPr="000829A5" w14:paraId="6676BF24" w14:textId="77777777">
        <w:tc>
          <w:tcPr>
            <w:tcW w:w="880" w:type="dxa"/>
          </w:tcPr>
          <w:p w14:paraId="4E50D828"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LSTM–CNN (20)</w:t>
            </w:r>
          </w:p>
        </w:tc>
        <w:tc>
          <w:tcPr>
            <w:tcW w:w="1173" w:type="dxa"/>
          </w:tcPr>
          <w:p w14:paraId="0E814775"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52.08%</w:t>
            </w:r>
          </w:p>
        </w:tc>
        <w:tc>
          <w:tcPr>
            <w:tcW w:w="1173" w:type="dxa"/>
          </w:tcPr>
          <w:p w14:paraId="109F0D94"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52.43%</w:t>
            </w:r>
          </w:p>
        </w:tc>
        <w:tc>
          <w:tcPr>
            <w:tcW w:w="1173" w:type="dxa"/>
          </w:tcPr>
          <w:p w14:paraId="40D8917A"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+0.355</w:t>
            </w:r>
          </w:p>
        </w:tc>
        <w:tc>
          <w:tcPr>
            <w:tcW w:w="1173" w:type="dxa"/>
          </w:tcPr>
          <w:p w14:paraId="4F51BD53"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[−1.612, 2.321]</w:t>
            </w:r>
          </w:p>
        </w:tc>
        <w:tc>
          <w:tcPr>
            <w:tcW w:w="1173" w:type="dxa"/>
          </w:tcPr>
          <w:p w14:paraId="0DD90859"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0.625</w:t>
            </w:r>
          </w:p>
        </w:tc>
        <w:tc>
          <w:tcPr>
            <w:tcW w:w="1173" w:type="dxa"/>
          </w:tcPr>
          <w:p w14:paraId="5A220716"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14.26 / 14.55</w:t>
            </w:r>
          </w:p>
        </w:tc>
      </w:tr>
      <w:tr w:rsidR="00F14584" w:rsidRPr="000829A5" w14:paraId="64868FA8" w14:textId="77777777">
        <w:tc>
          <w:tcPr>
            <w:tcW w:w="880" w:type="dxa"/>
          </w:tcPr>
          <w:p w14:paraId="748FB459"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LSTM–Attention (10)</w:t>
            </w:r>
          </w:p>
        </w:tc>
        <w:tc>
          <w:tcPr>
            <w:tcW w:w="1173" w:type="dxa"/>
          </w:tcPr>
          <w:p w14:paraId="4806A63B"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52.51%</w:t>
            </w:r>
          </w:p>
        </w:tc>
        <w:tc>
          <w:tcPr>
            <w:tcW w:w="1173" w:type="dxa"/>
          </w:tcPr>
          <w:p w14:paraId="4223EE7D"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52.01%</w:t>
            </w:r>
          </w:p>
        </w:tc>
        <w:tc>
          <w:tcPr>
            <w:tcW w:w="1173" w:type="dxa"/>
          </w:tcPr>
          <w:p w14:paraId="77810F11"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−0.495</w:t>
            </w:r>
          </w:p>
        </w:tc>
        <w:tc>
          <w:tcPr>
            <w:tcW w:w="1173" w:type="dxa"/>
          </w:tcPr>
          <w:p w14:paraId="2D2C0154"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[−3.478, 2.487]</w:t>
            </w:r>
          </w:p>
        </w:tc>
        <w:tc>
          <w:tcPr>
            <w:tcW w:w="1173" w:type="dxa"/>
          </w:tcPr>
          <w:p w14:paraId="0C3BBAA0"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0.750</w:t>
            </w:r>
          </w:p>
        </w:tc>
        <w:tc>
          <w:tcPr>
            <w:tcW w:w="1173" w:type="dxa"/>
          </w:tcPr>
          <w:p w14:paraId="6A734E0F"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14.21 / 15.55</w:t>
            </w:r>
          </w:p>
        </w:tc>
      </w:tr>
      <w:tr w:rsidR="00F14584" w:rsidRPr="000829A5" w14:paraId="3487CE68" w14:textId="77777777">
        <w:tc>
          <w:tcPr>
            <w:tcW w:w="880" w:type="dxa"/>
          </w:tcPr>
          <w:p w14:paraId="194203B0"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LSTM–CNN–Attention (20)</w:t>
            </w:r>
          </w:p>
        </w:tc>
        <w:tc>
          <w:tcPr>
            <w:tcW w:w="1173" w:type="dxa"/>
          </w:tcPr>
          <w:p w14:paraId="149440BF"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51.58%</w:t>
            </w:r>
          </w:p>
        </w:tc>
        <w:tc>
          <w:tcPr>
            <w:tcW w:w="1173" w:type="dxa"/>
          </w:tcPr>
          <w:p w14:paraId="16848FA5"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50.98%</w:t>
            </w:r>
          </w:p>
        </w:tc>
        <w:tc>
          <w:tcPr>
            <w:tcW w:w="1173" w:type="dxa"/>
          </w:tcPr>
          <w:p w14:paraId="76875F84"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−0.600</w:t>
            </w:r>
          </w:p>
        </w:tc>
        <w:tc>
          <w:tcPr>
            <w:tcW w:w="1173" w:type="dxa"/>
          </w:tcPr>
          <w:p w14:paraId="42683C18"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[−1.980, 0.780]</w:t>
            </w:r>
          </w:p>
        </w:tc>
        <w:tc>
          <w:tcPr>
            <w:tcW w:w="1173" w:type="dxa"/>
          </w:tcPr>
          <w:p w14:paraId="33D64959"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0.375</w:t>
            </w:r>
          </w:p>
        </w:tc>
        <w:tc>
          <w:tcPr>
            <w:tcW w:w="1173" w:type="dxa"/>
          </w:tcPr>
          <w:p w14:paraId="3EC8B300"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20.38 / 19.64</w:t>
            </w:r>
          </w:p>
        </w:tc>
      </w:tr>
    </w:tbl>
    <w:p w14:paraId="59064997"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BAcc is balanced accuracy. Values are means over four outer years after within-fold seed aggregation. Runtime is mean model build, fit, and evaluation inference time per seed–fold cell; VMD feature generation is not included. The complete selection plus outer numerical protocol recorded 4,158.40 seconds of model fit/inference time.</w:t>
      </w:r>
    </w:p>
    <w:p w14:paraId="61420F94"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The error and direction endpoints also diverged. In the corrected numerical run, VMD reduced RMSE for LSTM and CNN but reduced their balanced accuracy. Conversely, the small LSTM–</w:t>
      </w:r>
      <w:r w:rsidRPr="000829A5">
        <w:rPr>
          <w:rFonts w:ascii="Times New Roman" w:hAnsi="Times New Roman" w:cs="Times New Roman"/>
        </w:rPr>
        <w:lastRenderedPageBreak/>
        <w:t>CNN balanced-accuracy gain did not imply a universal price-error gain. This is exactly the distinction that a direction-focused audit must preserve.</w:t>
      </w:r>
    </w:p>
    <w:p w14:paraId="3E5C85EB" w14:textId="77777777" w:rsidR="00F14584" w:rsidRPr="000829A5" w:rsidRDefault="00000000">
      <w:pPr>
        <w:pStyle w:val="Heading2"/>
        <w:rPr>
          <w:rFonts w:ascii="Times New Roman" w:hAnsi="Times New Roman" w:cs="Times New Roman"/>
          <w:sz w:val="24"/>
          <w:szCs w:val="24"/>
        </w:rPr>
      </w:pPr>
      <w:bookmarkStart w:id="24" w:name="Xd89fa729b0ebf018855c493819243bb804c7feb"/>
      <w:bookmarkEnd w:id="23"/>
      <w:r w:rsidRPr="000829A5">
        <w:rPr>
          <w:rFonts w:ascii="Times New Roman" w:hAnsi="Times New Roman" w:cs="Times New Roman"/>
          <w:sz w:val="24"/>
          <w:szCs w:val="24"/>
        </w:rPr>
        <w:t>4.2 Predicted news did not add reliable directional information</w:t>
      </w:r>
    </w:p>
    <w:p w14:paraId="7E8A6A73" w14:textId="77777777" w:rsidR="00F14584" w:rsidRPr="000829A5" w:rsidRDefault="00000000">
      <w:pPr>
        <w:pStyle w:val="FirstParagraph"/>
        <w:rPr>
          <w:rFonts w:ascii="Times New Roman" w:hAnsi="Times New Roman" w:cs="Times New Roman"/>
        </w:rPr>
      </w:pPr>
      <w:r w:rsidRPr="000829A5">
        <w:rPr>
          <w:rFonts w:ascii="Times New Roman" w:hAnsi="Times New Roman" w:cs="Times New Roman"/>
        </w:rPr>
        <w:t>The observed-news effect relative to the market-only arm was negative for all five architectures in the serial-dependence sensitivity, ranging from −0.009 points for CNN to −1.895 points for LSTM–Attention (Table 3A). None survived Holm adjustment. Observed news also failed to beat the shuffled-news control after adjustment. Although the unadjusted moving-block intervals for LSTM and LSTM–CNN–Attention versus shuffled news excluded zero in the negative direction, both Holm-adjusted p-values were 0.098. The news-only, five-row lagged-news, and random-feature controls likewise produced no adjusted balanced-accuracy superiority. Across the registered exact fold-level families, zero of 30 primary balanced-accuracy contrasts survived Holm correction.</w:t>
      </w:r>
    </w:p>
    <w:p w14:paraId="1F22B511"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b/>
          <w:bCs/>
        </w:rPr>
        <w:t>Table 3A. Multimodal falsification using a 10-day circular moving-block bootstrap.</w:t>
      </w:r>
    </w:p>
    <w:tbl>
      <w:tblPr>
        <w:tblStyle w:val="Table"/>
        <w:tblW w:w="5000" w:type="pct"/>
        <w:tblLayout w:type="fixed"/>
        <w:tblLook w:val="0020" w:firstRow="1" w:lastRow="0" w:firstColumn="0" w:lastColumn="0" w:noHBand="0" w:noVBand="0"/>
      </w:tblPr>
      <w:tblGrid>
        <w:gridCol w:w="1063"/>
        <w:gridCol w:w="1418"/>
        <w:gridCol w:w="1419"/>
        <w:gridCol w:w="1419"/>
        <w:gridCol w:w="1419"/>
        <w:gridCol w:w="1419"/>
        <w:gridCol w:w="1419"/>
      </w:tblGrid>
      <w:tr w:rsidR="00F14584" w:rsidRPr="000829A5" w14:paraId="71443569" w14:textId="77777777" w:rsidTr="00F14584">
        <w:trPr>
          <w:cnfStyle w:val="100000000000" w:firstRow="1" w:lastRow="0" w:firstColumn="0" w:lastColumn="0" w:oddVBand="0" w:evenVBand="0" w:oddHBand="0" w:evenHBand="0" w:firstRowFirstColumn="0" w:firstRowLastColumn="0" w:lastRowFirstColumn="0" w:lastRowLastColumn="0"/>
          <w:tblHeader/>
        </w:trPr>
        <w:tc>
          <w:tcPr>
            <w:tcW w:w="880" w:type="dxa"/>
          </w:tcPr>
          <w:p w14:paraId="11890740"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Model</w:t>
            </w:r>
          </w:p>
        </w:tc>
        <w:tc>
          <w:tcPr>
            <w:tcW w:w="1173" w:type="dxa"/>
          </w:tcPr>
          <w:p w14:paraId="50E7CCF5"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Observed news − market only (pp)</w:t>
            </w:r>
          </w:p>
        </w:tc>
        <w:tc>
          <w:tcPr>
            <w:tcW w:w="1173" w:type="dxa"/>
          </w:tcPr>
          <w:p w14:paraId="67AEC15F"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95% CI</w:t>
            </w:r>
          </w:p>
        </w:tc>
        <w:tc>
          <w:tcPr>
            <w:tcW w:w="1173" w:type="dxa"/>
          </w:tcPr>
          <w:p w14:paraId="363D48B5"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Holm p</w:t>
            </w:r>
          </w:p>
        </w:tc>
        <w:tc>
          <w:tcPr>
            <w:tcW w:w="1173" w:type="dxa"/>
          </w:tcPr>
          <w:p w14:paraId="681B1082"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Observed − shuffled (pp)</w:t>
            </w:r>
          </w:p>
        </w:tc>
        <w:tc>
          <w:tcPr>
            <w:tcW w:w="1173" w:type="dxa"/>
          </w:tcPr>
          <w:p w14:paraId="71553360"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95% CI</w:t>
            </w:r>
          </w:p>
        </w:tc>
        <w:tc>
          <w:tcPr>
            <w:tcW w:w="1173" w:type="dxa"/>
          </w:tcPr>
          <w:p w14:paraId="6CA0D625"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Holm p</w:t>
            </w:r>
          </w:p>
        </w:tc>
      </w:tr>
      <w:tr w:rsidR="00F14584" w:rsidRPr="000829A5" w14:paraId="71A76865" w14:textId="77777777">
        <w:tc>
          <w:tcPr>
            <w:tcW w:w="880" w:type="dxa"/>
          </w:tcPr>
          <w:p w14:paraId="60C1F39B"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LSTM</w:t>
            </w:r>
          </w:p>
        </w:tc>
        <w:tc>
          <w:tcPr>
            <w:tcW w:w="1173" w:type="dxa"/>
          </w:tcPr>
          <w:p w14:paraId="0BAB61E5"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−1.582</w:t>
            </w:r>
          </w:p>
        </w:tc>
        <w:tc>
          <w:tcPr>
            <w:tcW w:w="1173" w:type="dxa"/>
          </w:tcPr>
          <w:p w14:paraId="48D746D6"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[−5.311, 2.108]</w:t>
            </w:r>
          </w:p>
        </w:tc>
        <w:tc>
          <w:tcPr>
            <w:tcW w:w="1173" w:type="dxa"/>
          </w:tcPr>
          <w:p w14:paraId="05C565E0"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1.000</w:t>
            </w:r>
          </w:p>
        </w:tc>
        <w:tc>
          <w:tcPr>
            <w:tcW w:w="1173" w:type="dxa"/>
          </w:tcPr>
          <w:p w14:paraId="00E1E598"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−3.239</w:t>
            </w:r>
          </w:p>
        </w:tc>
        <w:tc>
          <w:tcPr>
            <w:tcW w:w="1173" w:type="dxa"/>
          </w:tcPr>
          <w:p w14:paraId="7531B9EE"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[−5.952, −0.473]</w:t>
            </w:r>
          </w:p>
        </w:tc>
        <w:tc>
          <w:tcPr>
            <w:tcW w:w="1173" w:type="dxa"/>
          </w:tcPr>
          <w:p w14:paraId="0FB6C4C5"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0.098</w:t>
            </w:r>
          </w:p>
        </w:tc>
      </w:tr>
      <w:tr w:rsidR="00F14584" w:rsidRPr="000829A5" w14:paraId="06F74915" w14:textId="77777777">
        <w:tc>
          <w:tcPr>
            <w:tcW w:w="880" w:type="dxa"/>
          </w:tcPr>
          <w:p w14:paraId="3E5CD8B0"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CNN</w:t>
            </w:r>
          </w:p>
        </w:tc>
        <w:tc>
          <w:tcPr>
            <w:tcW w:w="1173" w:type="dxa"/>
          </w:tcPr>
          <w:p w14:paraId="0AF1A44B"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−0.009</w:t>
            </w:r>
          </w:p>
        </w:tc>
        <w:tc>
          <w:tcPr>
            <w:tcW w:w="1173" w:type="dxa"/>
          </w:tcPr>
          <w:p w14:paraId="7338883E"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[−2.114, 1.989]</w:t>
            </w:r>
          </w:p>
        </w:tc>
        <w:tc>
          <w:tcPr>
            <w:tcW w:w="1173" w:type="dxa"/>
          </w:tcPr>
          <w:p w14:paraId="5ACF98CD"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1.000</w:t>
            </w:r>
          </w:p>
        </w:tc>
        <w:tc>
          <w:tcPr>
            <w:tcW w:w="1173" w:type="dxa"/>
          </w:tcPr>
          <w:p w14:paraId="6925C810"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−1.715</w:t>
            </w:r>
          </w:p>
        </w:tc>
        <w:tc>
          <w:tcPr>
            <w:tcW w:w="1173" w:type="dxa"/>
          </w:tcPr>
          <w:p w14:paraId="6978F49D"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[−3.679, 0.049]</w:t>
            </w:r>
          </w:p>
        </w:tc>
        <w:tc>
          <w:tcPr>
            <w:tcW w:w="1173" w:type="dxa"/>
          </w:tcPr>
          <w:p w14:paraId="604D0CF7"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0.171</w:t>
            </w:r>
          </w:p>
        </w:tc>
      </w:tr>
      <w:tr w:rsidR="00F14584" w:rsidRPr="000829A5" w14:paraId="4CF8F978" w14:textId="77777777">
        <w:tc>
          <w:tcPr>
            <w:tcW w:w="880" w:type="dxa"/>
          </w:tcPr>
          <w:p w14:paraId="57BB6CF0"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LSTM–CNN</w:t>
            </w:r>
          </w:p>
        </w:tc>
        <w:tc>
          <w:tcPr>
            <w:tcW w:w="1173" w:type="dxa"/>
          </w:tcPr>
          <w:p w14:paraId="4C4F29E0"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−0.172</w:t>
            </w:r>
          </w:p>
        </w:tc>
        <w:tc>
          <w:tcPr>
            <w:tcW w:w="1173" w:type="dxa"/>
          </w:tcPr>
          <w:p w14:paraId="1406456D"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[−1.784, 1.392]</w:t>
            </w:r>
          </w:p>
        </w:tc>
        <w:tc>
          <w:tcPr>
            <w:tcW w:w="1173" w:type="dxa"/>
          </w:tcPr>
          <w:p w14:paraId="4FA23246"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1.000</w:t>
            </w:r>
          </w:p>
        </w:tc>
        <w:tc>
          <w:tcPr>
            <w:tcW w:w="1173" w:type="dxa"/>
          </w:tcPr>
          <w:p w14:paraId="1C6F92CE"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+1.020</w:t>
            </w:r>
          </w:p>
        </w:tc>
        <w:tc>
          <w:tcPr>
            <w:tcW w:w="1173" w:type="dxa"/>
          </w:tcPr>
          <w:p w14:paraId="7F5FA779"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[−0.876, 3.076]</w:t>
            </w:r>
          </w:p>
        </w:tc>
        <w:tc>
          <w:tcPr>
            <w:tcW w:w="1173" w:type="dxa"/>
          </w:tcPr>
          <w:p w14:paraId="13A8C778"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0.616</w:t>
            </w:r>
          </w:p>
        </w:tc>
      </w:tr>
      <w:tr w:rsidR="00F14584" w:rsidRPr="000829A5" w14:paraId="44FA0B5D" w14:textId="77777777">
        <w:tc>
          <w:tcPr>
            <w:tcW w:w="880" w:type="dxa"/>
          </w:tcPr>
          <w:p w14:paraId="06875740"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LSTM–Attention</w:t>
            </w:r>
          </w:p>
        </w:tc>
        <w:tc>
          <w:tcPr>
            <w:tcW w:w="1173" w:type="dxa"/>
          </w:tcPr>
          <w:p w14:paraId="112ADFE2"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−1.895</w:t>
            </w:r>
          </w:p>
        </w:tc>
        <w:tc>
          <w:tcPr>
            <w:tcW w:w="1173" w:type="dxa"/>
          </w:tcPr>
          <w:p w14:paraId="34DBAC55"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[−4.752, 0.835]</w:t>
            </w:r>
          </w:p>
        </w:tc>
        <w:tc>
          <w:tcPr>
            <w:tcW w:w="1173" w:type="dxa"/>
          </w:tcPr>
          <w:p w14:paraId="6A6EFA70"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0.701</w:t>
            </w:r>
          </w:p>
        </w:tc>
        <w:tc>
          <w:tcPr>
            <w:tcW w:w="1173" w:type="dxa"/>
          </w:tcPr>
          <w:p w14:paraId="3E8A986B"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+0.128</w:t>
            </w:r>
          </w:p>
        </w:tc>
        <w:tc>
          <w:tcPr>
            <w:tcW w:w="1173" w:type="dxa"/>
          </w:tcPr>
          <w:p w14:paraId="660612C4"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[−1.371, 1.560]</w:t>
            </w:r>
          </w:p>
        </w:tc>
        <w:tc>
          <w:tcPr>
            <w:tcW w:w="1173" w:type="dxa"/>
          </w:tcPr>
          <w:p w14:paraId="120AD780"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0.853</w:t>
            </w:r>
          </w:p>
        </w:tc>
      </w:tr>
      <w:tr w:rsidR="00F14584" w:rsidRPr="000829A5" w14:paraId="3B4C26D6" w14:textId="77777777">
        <w:tc>
          <w:tcPr>
            <w:tcW w:w="880" w:type="dxa"/>
          </w:tcPr>
          <w:p w14:paraId="4792BBA9"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LSTM–CNN–Attention</w:t>
            </w:r>
          </w:p>
        </w:tc>
        <w:tc>
          <w:tcPr>
            <w:tcW w:w="1173" w:type="dxa"/>
          </w:tcPr>
          <w:p w14:paraId="63362A2B"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−1.224</w:t>
            </w:r>
          </w:p>
        </w:tc>
        <w:tc>
          <w:tcPr>
            <w:tcW w:w="1173" w:type="dxa"/>
          </w:tcPr>
          <w:p w14:paraId="2FFCA36A"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[−2.796, 0.220]</w:t>
            </w:r>
          </w:p>
        </w:tc>
        <w:tc>
          <w:tcPr>
            <w:tcW w:w="1173" w:type="dxa"/>
          </w:tcPr>
          <w:p w14:paraId="0A15F3A6"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0.481</w:t>
            </w:r>
          </w:p>
        </w:tc>
        <w:tc>
          <w:tcPr>
            <w:tcW w:w="1173" w:type="dxa"/>
          </w:tcPr>
          <w:p w14:paraId="0730EE7E"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−1.785</w:t>
            </w:r>
          </w:p>
        </w:tc>
        <w:tc>
          <w:tcPr>
            <w:tcW w:w="1173" w:type="dxa"/>
          </w:tcPr>
          <w:p w14:paraId="7B39FA50"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[−3.423, −0.270]</w:t>
            </w:r>
          </w:p>
        </w:tc>
        <w:tc>
          <w:tcPr>
            <w:tcW w:w="1173" w:type="dxa"/>
          </w:tcPr>
          <w:p w14:paraId="7A44C525"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0.098</w:t>
            </w:r>
          </w:p>
        </w:tc>
      </w:tr>
    </w:tbl>
    <w:p w14:paraId="737AA619"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Each contrast uses 960 paired eligible daily directional rows. The moving-block analysis is a serial-dependence sensitivity; registered fold-level exact tests govern the primary historical inference.</w:t>
      </w:r>
    </w:p>
    <w:p w14:paraId="4342FC6D"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The negative-control result should not be interpreted as proof that news has no financial information. It shows that this dated, aggregated, out-of-sample sentiment representation did not provide a robust conditional increment beyond the numerical pipeline. The 2024–2025 official headlines were also much shorter than the labelled headline proxies (approximately 65 versus 260 characters on average), and sentiment confidence fell from 0.756 in 2023 to about 0.495, documenting a material source shift.</w:t>
      </w:r>
    </w:p>
    <w:p w14:paraId="7BDAB870" w14:textId="77777777" w:rsidR="00F14584" w:rsidRPr="000829A5" w:rsidRDefault="00000000">
      <w:pPr>
        <w:pStyle w:val="Heading2"/>
        <w:rPr>
          <w:rFonts w:ascii="Times New Roman" w:hAnsi="Times New Roman" w:cs="Times New Roman"/>
          <w:sz w:val="24"/>
          <w:szCs w:val="24"/>
        </w:rPr>
      </w:pPr>
      <w:bookmarkStart w:id="25" w:name="X8ce01075ee1942b2708d88b176562da06613581"/>
      <w:bookmarkEnd w:id="24"/>
      <w:r w:rsidRPr="000829A5">
        <w:rPr>
          <w:rFonts w:ascii="Times New Roman" w:hAnsi="Times New Roman" w:cs="Times New Roman"/>
          <w:sz w:val="24"/>
          <w:szCs w:val="24"/>
        </w:rPr>
        <w:lastRenderedPageBreak/>
        <w:t xml:space="preserve">4.3 </w:t>
      </w:r>
      <w:r w:rsidRPr="007B4EB4">
        <w:rPr>
          <w:rFonts w:ascii="Times New Roman" w:hAnsi="Times New Roman" w:cs="Times New Roman"/>
          <w:sz w:val="24"/>
          <w:szCs w:val="24"/>
        </w:rPr>
        <w:t>The LLM role system improved intrinsic sentiment and was extended to SET50 forecasting</w:t>
      </w:r>
    </w:p>
    <w:p w14:paraId="10E28E89" w14:textId="77777777" w:rsidR="00F14584" w:rsidRPr="000829A5" w:rsidRDefault="00000000">
      <w:pPr>
        <w:pStyle w:val="FirstParagraph"/>
        <w:rPr>
          <w:rFonts w:ascii="Times New Roman" w:hAnsi="Times New Roman" w:cs="Times New Roman"/>
        </w:rPr>
      </w:pPr>
      <w:r w:rsidRPr="000829A5">
        <w:rPr>
          <w:rFonts w:ascii="Times New Roman" w:hAnsi="Times New Roman" w:cs="Times New Roman"/>
        </w:rPr>
        <w:t>The local sentiment classifier achieved out-of-sample accuracies of 81.24%, 81.55%, 83.43%, 79.85%, and 82.82% for 2019–2023, respectively; 2023 Macro-F1 was 78.44%. The 2023 relevance classifier achieved 88.85% accuracy and 85.91% Macro-F1.</w:t>
      </w:r>
    </w:p>
    <w:p w14:paraId="5E82DC55"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On the locked 2023 intrinsic cohort, a one-call LLM scored 69.84% accuracy, the three-pass self-consistency control 70.67%, the four-pass control 70.59%, and the Bull/Bear/Leader system 76.59%. Table 3B shows that the Leader retained an advantage of 5.93–6.00 points under equal-call and near-cost controls. Both article-cluster intervals excluded zero and both comparisons remained significant after Holm adjustment. However, the local TF–IDF classifier remained 6.23 points more accurate than the Leader. Role structure is therefore useful relative to repeated calls of the same LLM in this bounded intrinsic task. This intrinsic comparison alone does not prove downstream value; that question is evaluated separately by the added Leader-derived SET50 arm.</w:t>
      </w:r>
    </w:p>
    <w:p w14:paraId="5D4B9C6B"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b/>
          <w:bCs/>
        </w:rPr>
        <w:t>Table 3B. Separate intrinsic LLM benchmark on the locked 2023 cohort.</w:t>
      </w:r>
    </w:p>
    <w:tbl>
      <w:tblPr>
        <w:tblStyle w:val="Table"/>
        <w:tblW w:w="5000" w:type="pct"/>
        <w:tblLayout w:type="fixed"/>
        <w:tblLook w:val="0020" w:firstRow="1" w:lastRow="0" w:firstColumn="0" w:lastColumn="0" w:noHBand="0" w:noVBand="0"/>
      </w:tblPr>
      <w:tblGrid>
        <w:gridCol w:w="1063"/>
        <w:gridCol w:w="1418"/>
        <w:gridCol w:w="1419"/>
        <w:gridCol w:w="1419"/>
        <w:gridCol w:w="1419"/>
        <w:gridCol w:w="1419"/>
        <w:gridCol w:w="1419"/>
      </w:tblGrid>
      <w:tr w:rsidR="00F14584" w:rsidRPr="000829A5" w14:paraId="37938B6B" w14:textId="77777777" w:rsidTr="00F14584">
        <w:trPr>
          <w:cnfStyle w:val="100000000000" w:firstRow="1" w:lastRow="0" w:firstColumn="0" w:lastColumn="0" w:oddVBand="0" w:evenVBand="0" w:oddHBand="0" w:evenHBand="0" w:firstRowFirstColumn="0" w:firstRowLastColumn="0" w:lastRowFirstColumn="0" w:lastRowLastColumn="0"/>
          <w:tblHeader/>
        </w:trPr>
        <w:tc>
          <w:tcPr>
            <w:tcW w:w="880" w:type="dxa"/>
          </w:tcPr>
          <w:p w14:paraId="38BC9228"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Comparison</w:t>
            </w:r>
          </w:p>
        </w:tc>
        <w:tc>
          <w:tcPr>
            <w:tcW w:w="1173" w:type="dxa"/>
          </w:tcPr>
          <w:p w14:paraId="353FE7D7"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Pairs/articles</w:t>
            </w:r>
          </w:p>
        </w:tc>
        <w:tc>
          <w:tcPr>
            <w:tcW w:w="1173" w:type="dxa"/>
          </w:tcPr>
          <w:p w14:paraId="6FADFEBD"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Control accuracy</w:t>
            </w:r>
          </w:p>
        </w:tc>
        <w:tc>
          <w:tcPr>
            <w:tcW w:w="1173" w:type="dxa"/>
          </w:tcPr>
          <w:p w14:paraId="01129E7C"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Leader accuracy</w:t>
            </w:r>
          </w:p>
        </w:tc>
        <w:tc>
          <w:tcPr>
            <w:tcW w:w="1173" w:type="dxa"/>
          </w:tcPr>
          <w:p w14:paraId="4256BE68"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Δ accuracy (pp)</w:t>
            </w:r>
          </w:p>
        </w:tc>
        <w:tc>
          <w:tcPr>
            <w:tcW w:w="1173" w:type="dxa"/>
          </w:tcPr>
          <w:p w14:paraId="14D380F0"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Article-cluster 95% CI</w:t>
            </w:r>
          </w:p>
        </w:tc>
        <w:tc>
          <w:tcPr>
            <w:tcW w:w="1173" w:type="dxa"/>
          </w:tcPr>
          <w:p w14:paraId="11063E5F"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Holm p</w:t>
            </w:r>
          </w:p>
        </w:tc>
      </w:tr>
      <w:tr w:rsidR="00F14584" w:rsidRPr="000829A5" w14:paraId="219D18B6" w14:textId="77777777">
        <w:tc>
          <w:tcPr>
            <w:tcW w:w="880" w:type="dxa"/>
          </w:tcPr>
          <w:p w14:paraId="32585799"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Leader − self-consistency 3</w:t>
            </w:r>
          </w:p>
        </w:tc>
        <w:tc>
          <w:tcPr>
            <w:tcW w:w="1173" w:type="dxa"/>
          </w:tcPr>
          <w:p w14:paraId="02254641"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1,333 / 738</w:t>
            </w:r>
          </w:p>
        </w:tc>
        <w:tc>
          <w:tcPr>
            <w:tcW w:w="1173" w:type="dxa"/>
          </w:tcPr>
          <w:p w14:paraId="6B04CB88"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70.67%</w:t>
            </w:r>
          </w:p>
        </w:tc>
        <w:tc>
          <w:tcPr>
            <w:tcW w:w="1173" w:type="dxa"/>
          </w:tcPr>
          <w:p w14:paraId="320108C9"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76.59%</w:t>
            </w:r>
          </w:p>
        </w:tc>
        <w:tc>
          <w:tcPr>
            <w:tcW w:w="1173" w:type="dxa"/>
          </w:tcPr>
          <w:p w14:paraId="6CBAD278"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+5.926</w:t>
            </w:r>
          </w:p>
        </w:tc>
        <w:tc>
          <w:tcPr>
            <w:tcW w:w="1173" w:type="dxa"/>
          </w:tcPr>
          <w:p w14:paraId="5629426C"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[3.491, 8.487]</w:t>
            </w:r>
          </w:p>
        </w:tc>
        <w:tc>
          <w:tcPr>
            <w:tcW w:w="1173" w:type="dxa"/>
          </w:tcPr>
          <w:p w14:paraId="07E61AC1"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0.000040</w:t>
            </w:r>
          </w:p>
        </w:tc>
      </w:tr>
      <w:tr w:rsidR="00F14584" w:rsidRPr="000829A5" w14:paraId="71BAAC53" w14:textId="77777777">
        <w:tc>
          <w:tcPr>
            <w:tcW w:w="880" w:type="dxa"/>
          </w:tcPr>
          <w:p w14:paraId="22C9B33E"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Leader − self-consistency 4</w:t>
            </w:r>
          </w:p>
        </w:tc>
        <w:tc>
          <w:tcPr>
            <w:tcW w:w="1173" w:type="dxa"/>
          </w:tcPr>
          <w:p w14:paraId="2EEE230C"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1,333 / 738</w:t>
            </w:r>
          </w:p>
        </w:tc>
        <w:tc>
          <w:tcPr>
            <w:tcW w:w="1173" w:type="dxa"/>
          </w:tcPr>
          <w:p w14:paraId="00C34ED1"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70.59%</w:t>
            </w:r>
          </w:p>
        </w:tc>
        <w:tc>
          <w:tcPr>
            <w:tcW w:w="1173" w:type="dxa"/>
          </w:tcPr>
          <w:p w14:paraId="5FB35807"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76.59%</w:t>
            </w:r>
          </w:p>
        </w:tc>
        <w:tc>
          <w:tcPr>
            <w:tcW w:w="1173" w:type="dxa"/>
          </w:tcPr>
          <w:p w14:paraId="7E44F5E8"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+6.002</w:t>
            </w:r>
          </w:p>
        </w:tc>
        <w:tc>
          <w:tcPr>
            <w:tcW w:w="1173" w:type="dxa"/>
          </w:tcPr>
          <w:p w14:paraId="369ACA21"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[3.613, 8.477]</w:t>
            </w:r>
          </w:p>
        </w:tc>
        <w:tc>
          <w:tcPr>
            <w:tcW w:w="1173" w:type="dxa"/>
          </w:tcPr>
          <w:p w14:paraId="6B492FC6"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0.000040</w:t>
            </w:r>
          </w:p>
        </w:tc>
      </w:tr>
    </w:tbl>
    <w:p w14:paraId="2171CD7D"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Table 3B is the intrinsic sentiment benchmark. The downstream use of Leader outputs belongs to the distinct common-cohort forecasting comparison in Table 3C and must not be inferred from the intrinsic accuracy values.</w:t>
      </w:r>
    </w:p>
    <w:p w14:paraId="25E4E617"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Token-accounted costs were USD 4.64 for one pass, USD 13.93 for three-pass self-consistency, USD 18.58 for four passes, and USD 19.98 for the role system. The four-pass/Leader cost ratio was 0.930, within the frozen near-cost band. The project-accounted intrinsic-LLM ledger was approximately USD 38.56. These are reconstructed experimental costs, not a billing invoice.</w:t>
      </w:r>
    </w:p>
    <w:p w14:paraId="595BC43D"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b/>
          <w:bCs/>
        </w:rPr>
        <w:t>Table 3C. Downstream SET50 contribution of Debate-Leader news features.</w:t>
      </w:r>
    </w:p>
    <w:tbl>
      <w:tblPr>
        <w:tblStyle w:val="Table"/>
        <w:tblW w:w="5000" w:type="pct"/>
        <w:tblLayout w:type="fixed"/>
        <w:tblLook w:val="0020" w:firstRow="1" w:lastRow="0" w:firstColumn="0" w:lastColumn="0" w:noHBand="0" w:noVBand="0"/>
      </w:tblPr>
      <w:tblGrid>
        <w:gridCol w:w="870"/>
        <w:gridCol w:w="870"/>
        <w:gridCol w:w="1160"/>
        <w:gridCol w:w="1161"/>
        <w:gridCol w:w="1161"/>
        <w:gridCol w:w="1161"/>
        <w:gridCol w:w="1161"/>
        <w:gridCol w:w="1161"/>
        <w:gridCol w:w="871"/>
      </w:tblGrid>
      <w:tr w:rsidR="00F14584" w:rsidRPr="000829A5" w14:paraId="15DC8ECC" w14:textId="77777777" w:rsidTr="00F14584">
        <w:trPr>
          <w:cnfStyle w:val="100000000000" w:firstRow="1" w:lastRow="0" w:firstColumn="0" w:lastColumn="0" w:oddVBand="0" w:evenVBand="0" w:oddHBand="0" w:evenHBand="0" w:firstRowFirstColumn="0" w:firstRowLastColumn="0" w:lastRowFirstColumn="0" w:lastRowLastColumn="0"/>
          <w:tblHeader/>
        </w:trPr>
        <w:tc>
          <w:tcPr>
            <w:tcW w:w="720" w:type="dxa"/>
          </w:tcPr>
          <w:p w14:paraId="308447BB"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Model and frozen window</w:t>
            </w:r>
          </w:p>
        </w:tc>
        <w:tc>
          <w:tcPr>
            <w:tcW w:w="720" w:type="dxa"/>
          </w:tcPr>
          <w:p w14:paraId="5DC0962A"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Common test cohort</w:t>
            </w:r>
          </w:p>
        </w:tc>
        <w:tc>
          <w:tcPr>
            <w:tcW w:w="960" w:type="dxa"/>
          </w:tcPr>
          <w:p w14:paraId="404DC32B"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Market-only BAcc</w:t>
            </w:r>
          </w:p>
        </w:tc>
        <w:tc>
          <w:tcPr>
            <w:tcW w:w="960" w:type="dxa"/>
          </w:tcPr>
          <w:p w14:paraId="02451068"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Local-NLP BAcc</w:t>
            </w:r>
          </w:p>
        </w:tc>
        <w:tc>
          <w:tcPr>
            <w:tcW w:w="960" w:type="dxa"/>
          </w:tcPr>
          <w:p w14:paraId="2E9319B5"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Debate-Leader BAcc</w:t>
            </w:r>
          </w:p>
        </w:tc>
        <w:tc>
          <w:tcPr>
            <w:tcW w:w="960" w:type="dxa"/>
          </w:tcPr>
          <w:p w14:paraId="5C4E09E0"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Leader − market (pp)</w:t>
            </w:r>
          </w:p>
        </w:tc>
        <w:tc>
          <w:tcPr>
            <w:tcW w:w="960" w:type="dxa"/>
          </w:tcPr>
          <w:p w14:paraId="38DDAE0B"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95% paired CI</w:t>
            </w:r>
          </w:p>
        </w:tc>
        <w:tc>
          <w:tcPr>
            <w:tcW w:w="960" w:type="dxa"/>
          </w:tcPr>
          <w:p w14:paraId="2B6AA368"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Holm p</w:t>
            </w:r>
          </w:p>
        </w:tc>
        <w:tc>
          <w:tcPr>
            <w:tcW w:w="720" w:type="dxa"/>
          </w:tcPr>
          <w:p w14:paraId="350B843B"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Status</w:t>
            </w:r>
          </w:p>
        </w:tc>
      </w:tr>
      <w:tr w:rsidR="00F14584" w:rsidRPr="000829A5" w14:paraId="006838B6" w14:textId="77777777">
        <w:tc>
          <w:tcPr>
            <w:tcW w:w="720" w:type="dxa"/>
          </w:tcPr>
          <w:p w14:paraId="495EE6E6"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[from added test]</w:t>
            </w:r>
          </w:p>
        </w:tc>
        <w:tc>
          <w:tcPr>
            <w:tcW w:w="720" w:type="dxa"/>
          </w:tcPr>
          <w:p w14:paraId="58CCE7A2"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[dates/rows]</w:t>
            </w:r>
          </w:p>
        </w:tc>
        <w:tc>
          <w:tcPr>
            <w:tcW w:w="960" w:type="dxa"/>
          </w:tcPr>
          <w:p w14:paraId="47DF2923"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[pending]</w:t>
            </w:r>
          </w:p>
        </w:tc>
        <w:tc>
          <w:tcPr>
            <w:tcW w:w="960" w:type="dxa"/>
          </w:tcPr>
          <w:p w14:paraId="573A0425"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[pending]</w:t>
            </w:r>
          </w:p>
        </w:tc>
        <w:tc>
          <w:tcPr>
            <w:tcW w:w="960" w:type="dxa"/>
          </w:tcPr>
          <w:p w14:paraId="67BDF6E0"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[pending]</w:t>
            </w:r>
          </w:p>
        </w:tc>
        <w:tc>
          <w:tcPr>
            <w:tcW w:w="960" w:type="dxa"/>
          </w:tcPr>
          <w:p w14:paraId="7DB4DDBE"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[pending]</w:t>
            </w:r>
          </w:p>
        </w:tc>
        <w:tc>
          <w:tcPr>
            <w:tcW w:w="960" w:type="dxa"/>
          </w:tcPr>
          <w:p w14:paraId="1EABB138"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[pending]</w:t>
            </w:r>
          </w:p>
        </w:tc>
        <w:tc>
          <w:tcPr>
            <w:tcW w:w="960" w:type="dxa"/>
          </w:tcPr>
          <w:p w14:paraId="3BBA7A1A"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[pending]</w:t>
            </w:r>
          </w:p>
        </w:tc>
        <w:tc>
          <w:tcPr>
            <w:tcW w:w="720" w:type="dxa"/>
          </w:tcPr>
          <w:p w14:paraId="7BEAF93B"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Artifact reconc</w:t>
            </w:r>
            <w:r w:rsidRPr="000829A5">
              <w:rPr>
                <w:rFonts w:ascii="Times New Roman" w:hAnsi="Times New Roman" w:cs="Times New Roman"/>
              </w:rPr>
              <w:lastRenderedPageBreak/>
              <w:t>iliation pending</w:t>
            </w:r>
          </w:p>
        </w:tc>
      </w:tr>
    </w:tbl>
    <w:p w14:paraId="39543D5D"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lastRenderedPageBreak/>
        <w:t>The table will be populated only from the additional test artifact. A positive point estimate will be described as an improvement; a reliable improvement will be claimed only if its paired interval, temporal consistency, and the registered multiplicity analysis support that stronger wording.</w:t>
      </w:r>
    </w:p>
    <w:p w14:paraId="6FC2E8CF"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 xml:space="preserve">The later integrated 2×2 robustness analysis crossed global versus regime-SHAP numerical inputs with absence versus presence of predicted news on the 2019–2025 common cohort. The highest mean balanced accuracy was 54.07% for LSTM–CNN with Regime-SHAP numerical inputs </w:t>
      </w:r>
      <w:r w:rsidRPr="000829A5">
        <w:rPr>
          <w:rFonts w:ascii="Times New Roman" w:hAnsi="Times New Roman" w:cs="Times New Roman"/>
          <w:i/>
          <w:iCs/>
        </w:rPr>
        <w:t>without</w:t>
      </w:r>
      <w:r w:rsidRPr="000829A5">
        <w:rPr>
          <w:rFonts w:ascii="Times New Roman" w:hAnsi="Times New Roman" w:cs="Times New Roman"/>
        </w:rPr>
        <w:t xml:space="preserve"> news. Adding news within the regime-selected arm improved mean balanced accuracy for two of five models (LSTM +0.13 and LSTM–Attention +1.03 points) and reduced it for the other three. No balanced-accuracy contrast survived Holm adjustment. The complete factorial is retained as post-hoc integrated evidence in Table S5 rather than promoted as a success claim.</w:t>
      </w:r>
    </w:p>
    <w:p w14:paraId="236A3520" w14:textId="77777777" w:rsidR="00F14584" w:rsidRPr="000829A5" w:rsidRDefault="00000000">
      <w:pPr>
        <w:pStyle w:val="Heading2"/>
        <w:rPr>
          <w:rFonts w:ascii="Times New Roman" w:hAnsi="Times New Roman" w:cs="Times New Roman"/>
          <w:sz w:val="24"/>
          <w:szCs w:val="24"/>
        </w:rPr>
      </w:pPr>
      <w:bookmarkStart w:id="26" w:name="X5f0aa2bebba0c3f470cf966d13ba11709ec0e0c"/>
      <w:bookmarkEnd w:id="25"/>
      <w:r w:rsidRPr="000829A5">
        <w:rPr>
          <w:rFonts w:ascii="Times New Roman" w:hAnsi="Times New Roman" w:cs="Times New Roman"/>
          <w:sz w:val="24"/>
          <w:szCs w:val="24"/>
        </w:rPr>
        <w:t>4.4 Regime-SHAP selection helped one architecture but did not generalize</w:t>
      </w:r>
    </w:p>
    <w:p w14:paraId="3C84E411" w14:textId="77777777" w:rsidR="00F14584" w:rsidRPr="000829A5" w:rsidRDefault="00000000">
      <w:pPr>
        <w:pStyle w:val="FirstParagraph"/>
        <w:rPr>
          <w:rFonts w:ascii="Times New Roman" w:hAnsi="Times New Roman" w:cs="Times New Roman"/>
        </w:rPr>
      </w:pPr>
      <w:r w:rsidRPr="000829A5">
        <w:rPr>
          <w:rFonts w:ascii="Times New Roman" w:hAnsi="Times New Roman" w:cs="Times New Roman"/>
        </w:rPr>
        <w:t>The causal router produced all three regimes in every outer year. The pooled distribution was 27.86% Bull, 36.49% Sideway, and 35.65% Bear. Training-fitted thresholds varied only from 0.0632 to 0.0660, and all semantic quality gates passed. This resolves the construct-validity problem of an earlier router that produced implausibly sparse Sideway observations.</w:t>
      </w:r>
    </w:p>
    <w:p w14:paraId="512E390A"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Regime-specific SHAP selection then produced mixed effects (Table 4). CNN improved from 53.07% to 54.53% balanced accuracy (+1.46 points), whereas LSTM–Attention declined by 1.03 points. LSTM–CNN was nearly unchanged. No exact contrast was significant, and no result survived Holm adjustment. The exact four-fold test could not yield a p-value below 0.125, so effect sizes and cross-year uncertainty are more informative than a binary significance label.</w:t>
      </w:r>
    </w:p>
    <w:p w14:paraId="754F1ECE"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b/>
          <w:bCs/>
        </w:rPr>
        <w:t>Table 4. Primary regime-specific SHAP reduction contrast.</w:t>
      </w:r>
    </w:p>
    <w:tbl>
      <w:tblPr>
        <w:tblStyle w:val="Table"/>
        <w:tblW w:w="5000" w:type="pct"/>
        <w:tblLayout w:type="fixed"/>
        <w:tblLook w:val="0020" w:firstRow="1" w:lastRow="0" w:firstColumn="0" w:lastColumn="0" w:noHBand="0" w:noVBand="0"/>
      </w:tblPr>
      <w:tblGrid>
        <w:gridCol w:w="1063"/>
        <w:gridCol w:w="1418"/>
        <w:gridCol w:w="1419"/>
        <w:gridCol w:w="1419"/>
        <w:gridCol w:w="1419"/>
        <w:gridCol w:w="1419"/>
        <w:gridCol w:w="1419"/>
      </w:tblGrid>
      <w:tr w:rsidR="00F14584" w:rsidRPr="000829A5" w14:paraId="1F8BE95B" w14:textId="77777777" w:rsidTr="00F14584">
        <w:trPr>
          <w:cnfStyle w:val="100000000000" w:firstRow="1" w:lastRow="0" w:firstColumn="0" w:lastColumn="0" w:oddVBand="0" w:evenVBand="0" w:oddHBand="0" w:evenHBand="0" w:firstRowFirstColumn="0" w:firstRowLastColumn="0" w:lastRowFirstColumn="0" w:lastRowLastColumn="0"/>
          <w:tblHeader/>
        </w:trPr>
        <w:tc>
          <w:tcPr>
            <w:tcW w:w="880" w:type="dxa"/>
          </w:tcPr>
          <w:p w14:paraId="775DAD6F"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Model</w:t>
            </w:r>
          </w:p>
        </w:tc>
        <w:tc>
          <w:tcPr>
            <w:tcW w:w="1173" w:type="dxa"/>
          </w:tcPr>
          <w:p w14:paraId="5FD36B0A"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Regime-All BAcc</w:t>
            </w:r>
          </w:p>
        </w:tc>
        <w:tc>
          <w:tcPr>
            <w:tcW w:w="1173" w:type="dxa"/>
          </w:tcPr>
          <w:p w14:paraId="4CBE583E"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Regime-SHAP BAcc</w:t>
            </w:r>
          </w:p>
        </w:tc>
        <w:tc>
          <w:tcPr>
            <w:tcW w:w="1173" w:type="dxa"/>
          </w:tcPr>
          <w:p w14:paraId="3D4C14CC"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Δ BAcc (pp)</w:t>
            </w:r>
          </w:p>
        </w:tc>
        <w:tc>
          <w:tcPr>
            <w:tcW w:w="1173" w:type="dxa"/>
          </w:tcPr>
          <w:p w14:paraId="2AC69A85"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95% CI (pp)</w:t>
            </w:r>
          </w:p>
        </w:tc>
        <w:tc>
          <w:tcPr>
            <w:tcW w:w="1173" w:type="dxa"/>
          </w:tcPr>
          <w:p w14:paraId="2022B3F0"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Exact p</w:t>
            </w:r>
          </w:p>
        </w:tc>
        <w:tc>
          <w:tcPr>
            <w:tcW w:w="1173" w:type="dxa"/>
          </w:tcPr>
          <w:p w14:paraId="6E5DCCEF"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Holm p</w:t>
            </w:r>
          </w:p>
        </w:tc>
      </w:tr>
      <w:tr w:rsidR="00F14584" w:rsidRPr="000829A5" w14:paraId="01CF1B95" w14:textId="77777777">
        <w:tc>
          <w:tcPr>
            <w:tcW w:w="880" w:type="dxa"/>
          </w:tcPr>
          <w:p w14:paraId="55841DB3"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CNN</w:t>
            </w:r>
          </w:p>
        </w:tc>
        <w:tc>
          <w:tcPr>
            <w:tcW w:w="1173" w:type="dxa"/>
          </w:tcPr>
          <w:p w14:paraId="48744D78"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53.07%</w:t>
            </w:r>
          </w:p>
        </w:tc>
        <w:tc>
          <w:tcPr>
            <w:tcW w:w="1173" w:type="dxa"/>
          </w:tcPr>
          <w:p w14:paraId="30CCCE95"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54.53%</w:t>
            </w:r>
          </w:p>
        </w:tc>
        <w:tc>
          <w:tcPr>
            <w:tcW w:w="1173" w:type="dxa"/>
          </w:tcPr>
          <w:p w14:paraId="3C1E09BD"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+1.458</w:t>
            </w:r>
          </w:p>
        </w:tc>
        <w:tc>
          <w:tcPr>
            <w:tcW w:w="1173" w:type="dxa"/>
          </w:tcPr>
          <w:p w14:paraId="676868CE"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[−0.093, 3.009]</w:t>
            </w:r>
          </w:p>
        </w:tc>
        <w:tc>
          <w:tcPr>
            <w:tcW w:w="1173" w:type="dxa"/>
          </w:tcPr>
          <w:p w14:paraId="2B899C2D"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0.125</w:t>
            </w:r>
          </w:p>
        </w:tc>
        <w:tc>
          <w:tcPr>
            <w:tcW w:w="1173" w:type="dxa"/>
          </w:tcPr>
          <w:p w14:paraId="59392F0E"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0.625</w:t>
            </w:r>
          </w:p>
        </w:tc>
      </w:tr>
      <w:tr w:rsidR="00F14584" w:rsidRPr="000829A5" w14:paraId="33484685" w14:textId="77777777">
        <w:tc>
          <w:tcPr>
            <w:tcW w:w="880" w:type="dxa"/>
          </w:tcPr>
          <w:p w14:paraId="0161E166"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LSTM</w:t>
            </w:r>
          </w:p>
        </w:tc>
        <w:tc>
          <w:tcPr>
            <w:tcW w:w="1173" w:type="dxa"/>
          </w:tcPr>
          <w:p w14:paraId="2310B75D"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51.27%</w:t>
            </w:r>
          </w:p>
        </w:tc>
        <w:tc>
          <w:tcPr>
            <w:tcW w:w="1173" w:type="dxa"/>
          </w:tcPr>
          <w:p w14:paraId="535722D3"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51.17%</w:t>
            </w:r>
          </w:p>
        </w:tc>
        <w:tc>
          <w:tcPr>
            <w:tcW w:w="1173" w:type="dxa"/>
          </w:tcPr>
          <w:p w14:paraId="50DFE09D"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−0.101</w:t>
            </w:r>
          </w:p>
        </w:tc>
        <w:tc>
          <w:tcPr>
            <w:tcW w:w="1173" w:type="dxa"/>
          </w:tcPr>
          <w:p w14:paraId="37B8D508"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[−1.751, 1.549]</w:t>
            </w:r>
          </w:p>
        </w:tc>
        <w:tc>
          <w:tcPr>
            <w:tcW w:w="1173" w:type="dxa"/>
          </w:tcPr>
          <w:p w14:paraId="48D16042"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1.000</w:t>
            </w:r>
          </w:p>
        </w:tc>
        <w:tc>
          <w:tcPr>
            <w:tcW w:w="1173" w:type="dxa"/>
          </w:tcPr>
          <w:p w14:paraId="2366A157"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1.000</w:t>
            </w:r>
          </w:p>
        </w:tc>
      </w:tr>
      <w:tr w:rsidR="00F14584" w:rsidRPr="000829A5" w14:paraId="706948FA" w14:textId="77777777">
        <w:tc>
          <w:tcPr>
            <w:tcW w:w="880" w:type="dxa"/>
          </w:tcPr>
          <w:p w14:paraId="76C633D4"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LSTM–Attentio</w:t>
            </w:r>
            <w:r w:rsidRPr="000829A5">
              <w:rPr>
                <w:rFonts w:ascii="Times New Roman" w:hAnsi="Times New Roman" w:cs="Times New Roman"/>
              </w:rPr>
              <w:lastRenderedPageBreak/>
              <w:t>n</w:t>
            </w:r>
          </w:p>
        </w:tc>
        <w:tc>
          <w:tcPr>
            <w:tcW w:w="1173" w:type="dxa"/>
          </w:tcPr>
          <w:p w14:paraId="2CBF5237"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lastRenderedPageBreak/>
              <w:t>50.65%</w:t>
            </w:r>
          </w:p>
        </w:tc>
        <w:tc>
          <w:tcPr>
            <w:tcW w:w="1173" w:type="dxa"/>
          </w:tcPr>
          <w:p w14:paraId="42C1C7BF"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49.61%</w:t>
            </w:r>
          </w:p>
        </w:tc>
        <w:tc>
          <w:tcPr>
            <w:tcW w:w="1173" w:type="dxa"/>
          </w:tcPr>
          <w:p w14:paraId="1F18B3F8"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−1.035</w:t>
            </w:r>
          </w:p>
        </w:tc>
        <w:tc>
          <w:tcPr>
            <w:tcW w:w="1173" w:type="dxa"/>
          </w:tcPr>
          <w:p w14:paraId="11BCF2CF"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 xml:space="preserve">[−2.191, </w:t>
            </w:r>
            <w:r w:rsidRPr="000829A5">
              <w:rPr>
                <w:rFonts w:ascii="Times New Roman" w:hAnsi="Times New Roman" w:cs="Times New Roman"/>
              </w:rPr>
              <w:lastRenderedPageBreak/>
              <w:t>0.121]</w:t>
            </w:r>
          </w:p>
        </w:tc>
        <w:tc>
          <w:tcPr>
            <w:tcW w:w="1173" w:type="dxa"/>
          </w:tcPr>
          <w:p w14:paraId="18BBAE24"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lastRenderedPageBreak/>
              <w:t>0.125</w:t>
            </w:r>
          </w:p>
        </w:tc>
        <w:tc>
          <w:tcPr>
            <w:tcW w:w="1173" w:type="dxa"/>
          </w:tcPr>
          <w:p w14:paraId="731464BB"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0.625</w:t>
            </w:r>
          </w:p>
        </w:tc>
      </w:tr>
      <w:tr w:rsidR="00F14584" w:rsidRPr="000829A5" w14:paraId="5D9F86E2" w14:textId="77777777">
        <w:tc>
          <w:tcPr>
            <w:tcW w:w="880" w:type="dxa"/>
          </w:tcPr>
          <w:p w14:paraId="12218028"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LSTM–CNN</w:t>
            </w:r>
          </w:p>
        </w:tc>
        <w:tc>
          <w:tcPr>
            <w:tcW w:w="1173" w:type="dxa"/>
          </w:tcPr>
          <w:p w14:paraId="2A3E3036"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53.18%</w:t>
            </w:r>
          </w:p>
        </w:tc>
        <w:tc>
          <w:tcPr>
            <w:tcW w:w="1173" w:type="dxa"/>
          </w:tcPr>
          <w:p w14:paraId="2ECC4B81"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53.23%</w:t>
            </w:r>
          </w:p>
        </w:tc>
        <w:tc>
          <w:tcPr>
            <w:tcW w:w="1173" w:type="dxa"/>
          </w:tcPr>
          <w:p w14:paraId="6E795D11"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+0.053</w:t>
            </w:r>
          </w:p>
        </w:tc>
        <w:tc>
          <w:tcPr>
            <w:tcW w:w="1173" w:type="dxa"/>
          </w:tcPr>
          <w:p w14:paraId="40F440C6"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[−2.446, 2.553]</w:t>
            </w:r>
          </w:p>
        </w:tc>
        <w:tc>
          <w:tcPr>
            <w:tcW w:w="1173" w:type="dxa"/>
          </w:tcPr>
          <w:p w14:paraId="7565BF79"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1.000</w:t>
            </w:r>
          </w:p>
        </w:tc>
        <w:tc>
          <w:tcPr>
            <w:tcW w:w="1173" w:type="dxa"/>
          </w:tcPr>
          <w:p w14:paraId="5B6F731A"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1.000</w:t>
            </w:r>
          </w:p>
        </w:tc>
      </w:tr>
      <w:tr w:rsidR="00F14584" w:rsidRPr="000829A5" w14:paraId="35404EEC" w14:textId="77777777">
        <w:tc>
          <w:tcPr>
            <w:tcW w:w="880" w:type="dxa"/>
          </w:tcPr>
          <w:p w14:paraId="4C066F28"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LSTM–CNN–Attention</w:t>
            </w:r>
          </w:p>
        </w:tc>
        <w:tc>
          <w:tcPr>
            <w:tcW w:w="1173" w:type="dxa"/>
          </w:tcPr>
          <w:p w14:paraId="2DE33051"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53.75%</w:t>
            </w:r>
          </w:p>
        </w:tc>
        <w:tc>
          <w:tcPr>
            <w:tcW w:w="1173" w:type="dxa"/>
          </w:tcPr>
          <w:p w14:paraId="7FC164A5"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53.01%</w:t>
            </w:r>
          </w:p>
        </w:tc>
        <w:tc>
          <w:tcPr>
            <w:tcW w:w="1173" w:type="dxa"/>
          </w:tcPr>
          <w:p w14:paraId="393F0A40"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−0.740</w:t>
            </w:r>
          </w:p>
        </w:tc>
        <w:tc>
          <w:tcPr>
            <w:tcW w:w="1173" w:type="dxa"/>
          </w:tcPr>
          <w:p w14:paraId="4278F9EA"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[−3.102, 1.623]</w:t>
            </w:r>
          </w:p>
        </w:tc>
        <w:tc>
          <w:tcPr>
            <w:tcW w:w="1173" w:type="dxa"/>
          </w:tcPr>
          <w:p w14:paraId="3618567B"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0.500</w:t>
            </w:r>
          </w:p>
        </w:tc>
        <w:tc>
          <w:tcPr>
            <w:tcW w:w="1173" w:type="dxa"/>
          </w:tcPr>
          <w:p w14:paraId="5EBA89AB"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1.000</w:t>
            </w:r>
          </w:p>
        </w:tc>
      </w:tr>
    </w:tbl>
    <w:p w14:paraId="7F20797D"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The contrast is Regime-SHAP minus Regime-All. Seeds are averaged within outer years before inference. SHAP values are fitted-model attributions, not causal effects of market variables.</w:t>
      </w:r>
    </w:p>
    <w:p w14:paraId="1BE1B4BC"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LIME did not provide an independent validation of SHAP. Of 1,800 registered instance–repeat explanations, 1,293 (71.83%) had local surrogate (R^2&lt;0.70). Low-fidelity repeats were retained and disclosed. Because the diagnostic failed for most repetitions, complete LIME agreement and stability tables are placed in the Supplement and no feature-level causal narrative is built from them.</w:t>
      </w:r>
    </w:p>
    <w:p w14:paraId="3CDF61BF" w14:textId="77777777" w:rsidR="00F14584" w:rsidRPr="000829A5" w:rsidRDefault="00000000">
      <w:pPr>
        <w:pStyle w:val="Heading2"/>
        <w:rPr>
          <w:rFonts w:ascii="Times New Roman" w:hAnsi="Times New Roman" w:cs="Times New Roman"/>
          <w:sz w:val="24"/>
          <w:szCs w:val="24"/>
        </w:rPr>
      </w:pPr>
      <w:bookmarkStart w:id="27" w:name="Xe9b9277f13d425e713d835206e2149bb450a938"/>
      <w:bookmarkEnd w:id="26"/>
      <w:r w:rsidRPr="000829A5">
        <w:rPr>
          <w:rFonts w:ascii="Times New Roman" w:hAnsi="Times New Roman" w:cs="Times New Roman"/>
          <w:sz w:val="24"/>
          <w:szCs w:val="24"/>
        </w:rPr>
        <w:t>4.5 Partial-2026 performance exposed majority-side collapse</w:t>
      </w:r>
    </w:p>
    <w:p w14:paraId="60B5A0DF" w14:textId="77777777" w:rsidR="00F14584" w:rsidRPr="000829A5" w:rsidRDefault="00000000">
      <w:pPr>
        <w:pStyle w:val="FirstParagraph"/>
        <w:rPr>
          <w:rFonts w:ascii="Times New Roman" w:hAnsi="Times New Roman" w:cs="Times New Roman"/>
        </w:rPr>
      </w:pPr>
      <w:r w:rsidRPr="000829A5">
        <w:rPr>
          <w:rFonts w:ascii="Times New Roman" w:hAnsi="Times New Roman" w:cs="Times New Roman"/>
        </w:rPr>
        <w:t>The 138-row partial-2026 stress test provided weak and objective-dependent evidence (Table 5A). Direct LSTM had the highest balanced accuracy at 54.42% and MCC 0.088, but its direction accuracy was only 52.90%. LSTM multitask had the highest raw direction accuracy, 59.42%, but balanced accuracy fell to 51.40%. Several CNN and LSTM–CNN–Attention cells obtained 58.70% raw accuracy, exactly matching the Up-class share, while balanced accuracy was 50% and MCC was zero. These cells predicted only the majority side. The apparent accuracy was therefore not directional discrimination.</w:t>
      </w:r>
    </w:p>
    <w:p w14:paraId="32E9659A"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b/>
          <w:bCs/>
        </w:rPr>
        <w:t>Table 5A. Source-contingent partial-2026 forward robustness.</w:t>
      </w:r>
    </w:p>
    <w:tbl>
      <w:tblPr>
        <w:tblStyle w:val="Table"/>
        <w:tblW w:w="5000" w:type="pct"/>
        <w:tblLayout w:type="fixed"/>
        <w:tblLook w:val="0020" w:firstRow="1" w:lastRow="0" w:firstColumn="0" w:lastColumn="0" w:noHBand="0" w:noVBand="0"/>
      </w:tblPr>
      <w:tblGrid>
        <w:gridCol w:w="1105"/>
        <w:gridCol w:w="1105"/>
        <w:gridCol w:w="1474"/>
        <w:gridCol w:w="1473"/>
        <w:gridCol w:w="1473"/>
        <w:gridCol w:w="1473"/>
        <w:gridCol w:w="1473"/>
      </w:tblGrid>
      <w:tr w:rsidR="00F14584" w:rsidRPr="000829A5" w14:paraId="5697CA3E" w14:textId="77777777" w:rsidTr="00F14584">
        <w:trPr>
          <w:cnfStyle w:val="100000000000" w:firstRow="1" w:lastRow="0" w:firstColumn="0" w:lastColumn="0" w:oddVBand="0" w:evenVBand="0" w:oddHBand="0" w:evenHBand="0" w:firstRowFirstColumn="0" w:firstRowLastColumn="0" w:lastRowFirstColumn="0" w:lastRowLastColumn="0"/>
          <w:tblHeader/>
        </w:trPr>
        <w:tc>
          <w:tcPr>
            <w:tcW w:w="913" w:type="dxa"/>
          </w:tcPr>
          <w:p w14:paraId="3EEB8F93"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Model</w:t>
            </w:r>
          </w:p>
        </w:tc>
        <w:tc>
          <w:tcPr>
            <w:tcW w:w="913" w:type="dxa"/>
          </w:tcPr>
          <w:p w14:paraId="6DEFD0F1"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Objective</w:t>
            </w:r>
          </w:p>
        </w:tc>
        <w:tc>
          <w:tcPr>
            <w:tcW w:w="1218" w:type="dxa"/>
          </w:tcPr>
          <w:p w14:paraId="242FA5E3"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Accuracy</w:t>
            </w:r>
          </w:p>
        </w:tc>
        <w:tc>
          <w:tcPr>
            <w:tcW w:w="1218" w:type="dxa"/>
          </w:tcPr>
          <w:p w14:paraId="52FBC483"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BAcc</w:t>
            </w:r>
          </w:p>
        </w:tc>
        <w:tc>
          <w:tcPr>
            <w:tcW w:w="1218" w:type="dxa"/>
          </w:tcPr>
          <w:p w14:paraId="1FAEC7A2"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MCC</w:t>
            </w:r>
          </w:p>
        </w:tc>
        <w:tc>
          <w:tcPr>
            <w:tcW w:w="1218" w:type="dxa"/>
          </w:tcPr>
          <w:p w14:paraId="0F2D56DD"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AUC</w:t>
            </w:r>
          </w:p>
        </w:tc>
        <w:tc>
          <w:tcPr>
            <w:tcW w:w="1218" w:type="dxa"/>
          </w:tcPr>
          <w:p w14:paraId="596A1AED"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Brier</w:t>
            </w:r>
          </w:p>
        </w:tc>
      </w:tr>
      <w:tr w:rsidR="00F14584" w:rsidRPr="000829A5" w14:paraId="19D2D1BB" w14:textId="77777777">
        <w:tc>
          <w:tcPr>
            <w:tcW w:w="913" w:type="dxa"/>
          </w:tcPr>
          <w:p w14:paraId="183685B1"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LSTM</w:t>
            </w:r>
          </w:p>
        </w:tc>
        <w:tc>
          <w:tcPr>
            <w:tcW w:w="913" w:type="dxa"/>
          </w:tcPr>
          <w:p w14:paraId="7EB3909E"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Direct</w:t>
            </w:r>
          </w:p>
        </w:tc>
        <w:tc>
          <w:tcPr>
            <w:tcW w:w="1218" w:type="dxa"/>
          </w:tcPr>
          <w:p w14:paraId="49BFFBE1"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52.90%</w:t>
            </w:r>
          </w:p>
        </w:tc>
        <w:tc>
          <w:tcPr>
            <w:tcW w:w="1218" w:type="dxa"/>
          </w:tcPr>
          <w:p w14:paraId="652EB197"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54.42%</w:t>
            </w:r>
          </w:p>
        </w:tc>
        <w:tc>
          <w:tcPr>
            <w:tcW w:w="1218" w:type="dxa"/>
          </w:tcPr>
          <w:p w14:paraId="4B5FD94D"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0.088</w:t>
            </w:r>
          </w:p>
        </w:tc>
        <w:tc>
          <w:tcPr>
            <w:tcW w:w="1218" w:type="dxa"/>
          </w:tcPr>
          <w:p w14:paraId="37204AF2"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0.533</w:t>
            </w:r>
          </w:p>
        </w:tc>
        <w:tc>
          <w:tcPr>
            <w:tcW w:w="1218" w:type="dxa"/>
          </w:tcPr>
          <w:p w14:paraId="6CE7F5EF"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0.2497</w:t>
            </w:r>
          </w:p>
        </w:tc>
      </w:tr>
      <w:tr w:rsidR="00F14584" w:rsidRPr="000829A5" w14:paraId="53E1D88F" w14:textId="77777777">
        <w:tc>
          <w:tcPr>
            <w:tcW w:w="913" w:type="dxa"/>
          </w:tcPr>
          <w:p w14:paraId="47C4A8CF"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LSTM</w:t>
            </w:r>
          </w:p>
        </w:tc>
        <w:tc>
          <w:tcPr>
            <w:tcW w:w="913" w:type="dxa"/>
          </w:tcPr>
          <w:p w14:paraId="5E8CD7AD"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Multitask</w:t>
            </w:r>
          </w:p>
        </w:tc>
        <w:tc>
          <w:tcPr>
            <w:tcW w:w="1218" w:type="dxa"/>
          </w:tcPr>
          <w:p w14:paraId="5C3AF6D1"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59.42%</w:t>
            </w:r>
          </w:p>
        </w:tc>
        <w:tc>
          <w:tcPr>
            <w:tcW w:w="1218" w:type="dxa"/>
          </w:tcPr>
          <w:p w14:paraId="5D1B8A23"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51.40%</w:t>
            </w:r>
          </w:p>
        </w:tc>
        <w:tc>
          <w:tcPr>
            <w:tcW w:w="1218" w:type="dxa"/>
          </w:tcPr>
          <w:p w14:paraId="048F553B"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0.074</w:t>
            </w:r>
          </w:p>
        </w:tc>
        <w:tc>
          <w:tcPr>
            <w:tcW w:w="1218" w:type="dxa"/>
          </w:tcPr>
          <w:p w14:paraId="09C57D39"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0.502</w:t>
            </w:r>
          </w:p>
        </w:tc>
        <w:tc>
          <w:tcPr>
            <w:tcW w:w="1218" w:type="dxa"/>
          </w:tcPr>
          <w:p w14:paraId="78619D70"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0.2492</w:t>
            </w:r>
          </w:p>
        </w:tc>
      </w:tr>
      <w:tr w:rsidR="00F14584" w:rsidRPr="000829A5" w14:paraId="44B808D2" w14:textId="77777777">
        <w:tc>
          <w:tcPr>
            <w:tcW w:w="913" w:type="dxa"/>
          </w:tcPr>
          <w:p w14:paraId="1A3DBDFE"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CNN</w:t>
            </w:r>
          </w:p>
        </w:tc>
        <w:tc>
          <w:tcPr>
            <w:tcW w:w="913" w:type="dxa"/>
          </w:tcPr>
          <w:p w14:paraId="4DAE7D28"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Direct</w:t>
            </w:r>
          </w:p>
        </w:tc>
        <w:tc>
          <w:tcPr>
            <w:tcW w:w="1218" w:type="dxa"/>
          </w:tcPr>
          <w:p w14:paraId="3A04571A"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58.70%</w:t>
            </w:r>
          </w:p>
        </w:tc>
        <w:tc>
          <w:tcPr>
            <w:tcW w:w="1218" w:type="dxa"/>
          </w:tcPr>
          <w:p w14:paraId="538E45AE"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50.00%</w:t>
            </w:r>
          </w:p>
        </w:tc>
        <w:tc>
          <w:tcPr>
            <w:tcW w:w="1218" w:type="dxa"/>
          </w:tcPr>
          <w:p w14:paraId="1413F7C2"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0.000</w:t>
            </w:r>
          </w:p>
        </w:tc>
        <w:tc>
          <w:tcPr>
            <w:tcW w:w="1218" w:type="dxa"/>
          </w:tcPr>
          <w:p w14:paraId="5D149542"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0.496</w:t>
            </w:r>
          </w:p>
        </w:tc>
        <w:tc>
          <w:tcPr>
            <w:tcW w:w="1218" w:type="dxa"/>
          </w:tcPr>
          <w:p w14:paraId="79AEDF43"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0.2492</w:t>
            </w:r>
          </w:p>
        </w:tc>
      </w:tr>
      <w:tr w:rsidR="00F14584" w:rsidRPr="000829A5" w14:paraId="7CAF03A7" w14:textId="77777777">
        <w:tc>
          <w:tcPr>
            <w:tcW w:w="913" w:type="dxa"/>
          </w:tcPr>
          <w:p w14:paraId="63374750"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CNN</w:t>
            </w:r>
          </w:p>
        </w:tc>
        <w:tc>
          <w:tcPr>
            <w:tcW w:w="913" w:type="dxa"/>
          </w:tcPr>
          <w:p w14:paraId="5AB7BEE6"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Multitask</w:t>
            </w:r>
          </w:p>
        </w:tc>
        <w:tc>
          <w:tcPr>
            <w:tcW w:w="1218" w:type="dxa"/>
          </w:tcPr>
          <w:p w14:paraId="56235A8A"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58.70%</w:t>
            </w:r>
          </w:p>
        </w:tc>
        <w:tc>
          <w:tcPr>
            <w:tcW w:w="1218" w:type="dxa"/>
          </w:tcPr>
          <w:p w14:paraId="255549EF"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50.00%</w:t>
            </w:r>
          </w:p>
        </w:tc>
        <w:tc>
          <w:tcPr>
            <w:tcW w:w="1218" w:type="dxa"/>
          </w:tcPr>
          <w:p w14:paraId="54021B95"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0.000</w:t>
            </w:r>
          </w:p>
        </w:tc>
        <w:tc>
          <w:tcPr>
            <w:tcW w:w="1218" w:type="dxa"/>
          </w:tcPr>
          <w:p w14:paraId="6FE90116"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0.494</w:t>
            </w:r>
          </w:p>
        </w:tc>
        <w:tc>
          <w:tcPr>
            <w:tcW w:w="1218" w:type="dxa"/>
          </w:tcPr>
          <w:p w14:paraId="58DBA0A7"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0.2490</w:t>
            </w:r>
          </w:p>
        </w:tc>
      </w:tr>
      <w:tr w:rsidR="00F14584" w:rsidRPr="000829A5" w14:paraId="54C5FC5C" w14:textId="77777777">
        <w:tc>
          <w:tcPr>
            <w:tcW w:w="913" w:type="dxa"/>
          </w:tcPr>
          <w:p w14:paraId="612C0777"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LSTM–CNN</w:t>
            </w:r>
          </w:p>
        </w:tc>
        <w:tc>
          <w:tcPr>
            <w:tcW w:w="913" w:type="dxa"/>
          </w:tcPr>
          <w:p w14:paraId="71274C59"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Direct</w:t>
            </w:r>
          </w:p>
        </w:tc>
        <w:tc>
          <w:tcPr>
            <w:tcW w:w="1218" w:type="dxa"/>
          </w:tcPr>
          <w:p w14:paraId="0BA8F6A9"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49.28%</w:t>
            </w:r>
          </w:p>
        </w:tc>
        <w:tc>
          <w:tcPr>
            <w:tcW w:w="1218" w:type="dxa"/>
          </w:tcPr>
          <w:p w14:paraId="6C0B5C7A"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52.11%</w:t>
            </w:r>
          </w:p>
        </w:tc>
        <w:tc>
          <w:tcPr>
            <w:tcW w:w="1218" w:type="dxa"/>
          </w:tcPr>
          <w:p w14:paraId="0AE79F2C"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0.044</w:t>
            </w:r>
          </w:p>
        </w:tc>
        <w:tc>
          <w:tcPr>
            <w:tcW w:w="1218" w:type="dxa"/>
          </w:tcPr>
          <w:p w14:paraId="72D20F5B"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0.485</w:t>
            </w:r>
          </w:p>
        </w:tc>
        <w:tc>
          <w:tcPr>
            <w:tcW w:w="1218" w:type="dxa"/>
          </w:tcPr>
          <w:p w14:paraId="7FA414FC"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0.2500</w:t>
            </w:r>
          </w:p>
        </w:tc>
      </w:tr>
      <w:tr w:rsidR="00F14584" w:rsidRPr="000829A5" w14:paraId="090D49B9" w14:textId="77777777">
        <w:tc>
          <w:tcPr>
            <w:tcW w:w="913" w:type="dxa"/>
          </w:tcPr>
          <w:p w14:paraId="4A6F3627"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LSTM–CNN</w:t>
            </w:r>
          </w:p>
        </w:tc>
        <w:tc>
          <w:tcPr>
            <w:tcW w:w="913" w:type="dxa"/>
          </w:tcPr>
          <w:p w14:paraId="277D631E"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Multitask</w:t>
            </w:r>
          </w:p>
        </w:tc>
        <w:tc>
          <w:tcPr>
            <w:tcW w:w="1218" w:type="dxa"/>
          </w:tcPr>
          <w:p w14:paraId="10502D6C"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58.70%</w:t>
            </w:r>
          </w:p>
        </w:tc>
        <w:tc>
          <w:tcPr>
            <w:tcW w:w="1218" w:type="dxa"/>
          </w:tcPr>
          <w:p w14:paraId="6EEB5290"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50.00%</w:t>
            </w:r>
          </w:p>
        </w:tc>
        <w:tc>
          <w:tcPr>
            <w:tcW w:w="1218" w:type="dxa"/>
          </w:tcPr>
          <w:p w14:paraId="54CB3F58"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0.000</w:t>
            </w:r>
          </w:p>
        </w:tc>
        <w:tc>
          <w:tcPr>
            <w:tcW w:w="1218" w:type="dxa"/>
          </w:tcPr>
          <w:p w14:paraId="1449F581"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0.517</w:t>
            </w:r>
          </w:p>
        </w:tc>
        <w:tc>
          <w:tcPr>
            <w:tcW w:w="1218" w:type="dxa"/>
          </w:tcPr>
          <w:p w14:paraId="745C03DE"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0.2488</w:t>
            </w:r>
          </w:p>
        </w:tc>
      </w:tr>
      <w:tr w:rsidR="00F14584" w:rsidRPr="000829A5" w14:paraId="6B433422" w14:textId="77777777">
        <w:tc>
          <w:tcPr>
            <w:tcW w:w="913" w:type="dxa"/>
          </w:tcPr>
          <w:p w14:paraId="5DD1EB3D"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LSTM–</w:t>
            </w:r>
            <w:r w:rsidRPr="000829A5">
              <w:rPr>
                <w:rFonts w:ascii="Times New Roman" w:hAnsi="Times New Roman" w:cs="Times New Roman"/>
              </w:rPr>
              <w:lastRenderedPageBreak/>
              <w:t>Attention</w:t>
            </w:r>
          </w:p>
        </w:tc>
        <w:tc>
          <w:tcPr>
            <w:tcW w:w="913" w:type="dxa"/>
          </w:tcPr>
          <w:p w14:paraId="593A635E"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lastRenderedPageBreak/>
              <w:t>Direct</w:t>
            </w:r>
          </w:p>
        </w:tc>
        <w:tc>
          <w:tcPr>
            <w:tcW w:w="1218" w:type="dxa"/>
          </w:tcPr>
          <w:p w14:paraId="3002EFAE"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55.80%</w:t>
            </w:r>
          </w:p>
        </w:tc>
        <w:tc>
          <w:tcPr>
            <w:tcW w:w="1218" w:type="dxa"/>
          </w:tcPr>
          <w:p w14:paraId="7BB1BA94"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49.61%</w:t>
            </w:r>
          </w:p>
        </w:tc>
        <w:tc>
          <w:tcPr>
            <w:tcW w:w="1218" w:type="dxa"/>
          </w:tcPr>
          <w:p w14:paraId="6C4FADD5"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−0.011</w:t>
            </w:r>
          </w:p>
        </w:tc>
        <w:tc>
          <w:tcPr>
            <w:tcW w:w="1218" w:type="dxa"/>
          </w:tcPr>
          <w:p w14:paraId="47CCBE23"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0.507</w:t>
            </w:r>
          </w:p>
        </w:tc>
        <w:tc>
          <w:tcPr>
            <w:tcW w:w="1218" w:type="dxa"/>
          </w:tcPr>
          <w:p w14:paraId="14A72500"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0.2491</w:t>
            </w:r>
          </w:p>
        </w:tc>
      </w:tr>
      <w:tr w:rsidR="00F14584" w:rsidRPr="000829A5" w14:paraId="5D62010D" w14:textId="77777777">
        <w:tc>
          <w:tcPr>
            <w:tcW w:w="913" w:type="dxa"/>
          </w:tcPr>
          <w:p w14:paraId="0C33F2F7"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LSTM–Attention</w:t>
            </w:r>
          </w:p>
        </w:tc>
        <w:tc>
          <w:tcPr>
            <w:tcW w:w="913" w:type="dxa"/>
          </w:tcPr>
          <w:p w14:paraId="3FFCB5E3"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Multitask</w:t>
            </w:r>
          </w:p>
        </w:tc>
        <w:tc>
          <w:tcPr>
            <w:tcW w:w="1218" w:type="dxa"/>
          </w:tcPr>
          <w:p w14:paraId="5CDA9C3B"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57.97%</w:t>
            </w:r>
          </w:p>
        </w:tc>
        <w:tc>
          <w:tcPr>
            <w:tcW w:w="1218" w:type="dxa"/>
          </w:tcPr>
          <w:p w14:paraId="49A86A4F"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51.20%</w:t>
            </w:r>
          </w:p>
        </w:tc>
        <w:tc>
          <w:tcPr>
            <w:tcW w:w="1218" w:type="dxa"/>
          </w:tcPr>
          <w:p w14:paraId="5D034199"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0.038</w:t>
            </w:r>
          </w:p>
        </w:tc>
        <w:tc>
          <w:tcPr>
            <w:tcW w:w="1218" w:type="dxa"/>
          </w:tcPr>
          <w:p w14:paraId="60F86FCF"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0.512</w:t>
            </w:r>
          </w:p>
        </w:tc>
        <w:tc>
          <w:tcPr>
            <w:tcW w:w="1218" w:type="dxa"/>
          </w:tcPr>
          <w:p w14:paraId="35E64140"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0.2493</w:t>
            </w:r>
          </w:p>
        </w:tc>
      </w:tr>
      <w:tr w:rsidR="00F14584" w:rsidRPr="000829A5" w14:paraId="0473D839" w14:textId="77777777">
        <w:tc>
          <w:tcPr>
            <w:tcW w:w="913" w:type="dxa"/>
          </w:tcPr>
          <w:p w14:paraId="13CF3088"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LSTM–CNN–Attention</w:t>
            </w:r>
          </w:p>
        </w:tc>
        <w:tc>
          <w:tcPr>
            <w:tcW w:w="913" w:type="dxa"/>
          </w:tcPr>
          <w:p w14:paraId="0E859EF6"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Direct</w:t>
            </w:r>
          </w:p>
        </w:tc>
        <w:tc>
          <w:tcPr>
            <w:tcW w:w="1218" w:type="dxa"/>
          </w:tcPr>
          <w:p w14:paraId="372FF6C5"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58.70%</w:t>
            </w:r>
          </w:p>
        </w:tc>
        <w:tc>
          <w:tcPr>
            <w:tcW w:w="1218" w:type="dxa"/>
          </w:tcPr>
          <w:p w14:paraId="461AAE45"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50.00%</w:t>
            </w:r>
          </w:p>
        </w:tc>
        <w:tc>
          <w:tcPr>
            <w:tcW w:w="1218" w:type="dxa"/>
          </w:tcPr>
          <w:p w14:paraId="089C6A95"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0.000</w:t>
            </w:r>
          </w:p>
        </w:tc>
        <w:tc>
          <w:tcPr>
            <w:tcW w:w="1218" w:type="dxa"/>
          </w:tcPr>
          <w:p w14:paraId="73B17D9D"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0.484</w:t>
            </w:r>
          </w:p>
        </w:tc>
        <w:tc>
          <w:tcPr>
            <w:tcW w:w="1218" w:type="dxa"/>
          </w:tcPr>
          <w:p w14:paraId="7B2CE5AB"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0.2489</w:t>
            </w:r>
          </w:p>
        </w:tc>
      </w:tr>
      <w:tr w:rsidR="00F14584" w:rsidRPr="000829A5" w14:paraId="6A31DA2A" w14:textId="77777777">
        <w:tc>
          <w:tcPr>
            <w:tcW w:w="913" w:type="dxa"/>
          </w:tcPr>
          <w:p w14:paraId="6B3AA300"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LSTM–CNN–Attention</w:t>
            </w:r>
          </w:p>
        </w:tc>
        <w:tc>
          <w:tcPr>
            <w:tcW w:w="913" w:type="dxa"/>
          </w:tcPr>
          <w:p w14:paraId="438C1BDB"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Multitask</w:t>
            </w:r>
          </w:p>
        </w:tc>
        <w:tc>
          <w:tcPr>
            <w:tcW w:w="1218" w:type="dxa"/>
          </w:tcPr>
          <w:p w14:paraId="711566EA"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58.70%</w:t>
            </w:r>
          </w:p>
        </w:tc>
        <w:tc>
          <w:tcPr>
            <w:tcW w:w="1218" w:type="dxa"/>
          </w:tcPr>
          <w:p w14:paraId="5D1A0E5A"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50.00%</w:t>
            </w:r>
          </w:p>
        </w:tc>
        <w:tc>
          <w:tcPr>
            <w:tcW w:w="1218" w:type="dxa"/>
          </w:tcPr>
          <w:p w14:paraId="4BA56989"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0.000</w:t>
            </w:r>
          </w:p>
        </w:tc>
        <w:tc>
          <w:tcPr>
            <w:tcW w:w="1218" w:type="dxa"/>
          </w:tcPr>
          <w:p w14:paraId="23CE9A9E"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0.515</w:t>
            </w:r>
          </w:p>
        </w:tc>
        <w:tc>
          <w:tcPr>
            <w:tcW w:w="1218" w:type="dxa"/>
          </w:tcPr>
          <w:p w14:paraId="480E5DD0"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0.2488</w:t>
            </w:r>
          </w:p>
        </w:tc>
      </w:tr>
    </w:tbl>
    <w:p w14:paraId="158B62CA"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All objectives used the validation-gate fallback threshold 0.50. The positive-class share was 58.70%. This is a source-contingent partial year, not a full-year or live deployment result.</w:t>
      </w:r>
    </w:p>
    <w:p w14:paraId="1F599795"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The complete 10-basis-point economic grid is exploratory. Its best observed cell—direct LSTM–CNN, long/flat—had 34.31% coverage, 8.55% net cumulative return, annualized Sharpe 1.75, maximum drawdown −3.54%, and break-even cost 27.91 basis points over 137 executable rows. Its Deflated-Sharpe probability was only 0.441, below 0.5. This short, selected result is therefore reported as a diagnostic sensitivity, not evidence of profitability or deployment readiness.</w:t>
      </w:r>
    </w:p>
    <w:p w14:paraId="4B18EB72" w14:textId="77777777" w:rsidR="00F14584" w:rsidRPr="000829A5" w:rsidRDefault="00000000">
      <w:pPr>
        <w:pStyle w:val="Heading2"/>
        <w:rPr>
          <w:rFonts w:ascii="Times New Roman" w:hAnsi="Times New Roman" w:cs="Times New Roman"/>
          <w:sz w:val="24"/>
          <w:szCs w:val="24"/>
        </w:rPr>
      </w:pPr>
      <w:bookmarkStart w:id="28" w:name="X23a9dcb4871214b04a6d2016ce0221a7c5992b4"/>
      <w:bookmarkEnd w:id="27"/>
      <w:r w:rsidRPr="000829A5">
        <w:rPr>
          <w:rFonts w:ascii="Times New Roman" w:hAnsi="Times New Roman" w:cs="Times New Roman"/>
          <w:sz w:val="24"/>
          <w:szCs w:val="24"/>
        </w:rPr>
        <w:t>4.6 Frozen SET100 transfer was uniformly weaker</w:t>
      </w:r>
    </w:p>
    <w:p w14:paraId="160D56B9" w14:textId="77777777" w:rsidR="00F14584" w:rsidRPr="000829A5" w:rsidRDefault="00000000">
      <w:pPr>
        <w:pStyle w:val="FirstParagraph"/>
        <w:rPr>
          <w:rFonts w:ascii="Times New Roman" w:hAnsi="Times New Roman" w:cs="Times New Roman"/>
        </w:rPr>
      </w:pPr>
      <w:r w:rsidRPr="000829A5">
        <w:rPr>
          <w:rFonts w:ascii="Times New Roman" w:hAnsi="Times New Roman" w:cs="Times New Roman"/>
        </w:rPr>
        <w:t>Mean balanced accuracy declined on SET100 for all five architectures by 0.95 to 2.17 percentage points (Table 5B). CNN had the highest SET100 balanced accuracy at 51.89%, followed by LSTM at 51.63%; LSTM–CNN–Attention was close to chance at 50.03%. No paired cross-index difference survived Holm adjustment. Although CNN was lower on SET100 in all four years and its descriptive interval excluded zero, the exact p-value was 0.125 and the Holm p-value was 0.625. It is not a statistically established degradation.</w:t>
      </w:r>
    </w:p>
    <w:p w14:paraId="18C4B6AD"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b/>
          <w:bCs/>
        </w:rPr>
        <w:t>Table 5B. Frozen SET100 same-exchange numerical transfer.</w:t>
      </w:r>
    </w:p>
    <w:tbl>
      <w:tblPr>
        <w:tblStyle w:val="Table"/>
        <w:tblW w:w="5000" w:type="pct"/>
        <w:tblLayout w:type="fixed"/>
        <w:tblLook w:val="0020" w:firstRow="1" w:lastRow="0" w:firstColumn="0" w:lastColumn="0" w:noHBand="0" w:noVBand="0"/>
      </w:tblPr>
      <w:tblGrid>
        <w:gridCol w:w="1250"/>
        <w:gridCol w:w="1666"/>
        <w:gridCol w:w="1665"/>
        <w:gridCol w:w="1665"/>
        <w:gridCol w:w="1665"/>
        <w:gridCol w:w="1665"/>
      </w:tblGrid>
      <w:tr w:rsidR="00F14584" w:rsidRPr="000829A5" w14:paraId="5B0A4275" w14:textId="77777777" w:rsidTr="00F14584">
        <w:trPr>
          <w:cnfStyle w:val="100000000000" w:firstRow="1" w:lastRow="0" w:firstColumn="0" w:lastColumn="0" w:oddVBand="0" w:evenVBand="0" w:oddHBand="0" w:evenHBand="0" w:firstRowFirstColumn="0" w:firstRowLastColumn="0" w:lastRowFirstColumn="0" w:lastRowLastColumn="0"/>
          <w:tblHeader/>
        </w:trPr>
        <w:tc>
          <w:tcPr>
            <w:tcW w:w="1033" w:type="dxa"/>
          </w:tcPr>
          <w:p w14:paraId="4DA0B88E"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Model</w:t>
            </w:r>
          </w:p>
        </w:tc>
        <w:tc>
          <w:tcPr>
            <w:tcW w:w="1377" w:type="dxa"/>
          </w:tcPr>
          <w:p w14:paraId="29D4F1C9"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Matched SET50 BAcc</w:t>
            </w:r>
          </w:p>
        </w:tc>
        <w:tc>
          <w:tcPr>
            <w:tcW w:w="1377" w:type="dxa"/>
          </w:tcPr>
          <w:p w14:paraId="694C6975"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SET100 BAcc</w:t>
            </w:r>
          </w:p>
        </w:tc>
        <w:tc>
          <w:tcPr>
            <w:tcW w:w="1377" w:type="dxa"/>
          </w:tcPr>
          <w:p w14:paraId="3376AB9C"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SET100 − SET50 (pp)</w:t>
            </w:r>
          </w:p>
        </w:tc>
        <w:tc>
          <w:tcPr>
            <w:tcW w:w="1377" w:type="dxa"/>
          </w:tcPr>
          <w:p w14:paraId="6AA24E0B"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95% CI (pp)</w:t>
            </w:r>
          </w:p>
        </w:tc>
        <w:tc>
          <w:tcPr>
            <w:tcW w:w="1377" w:type="dxa"/>
          </w:tcPr>
          <w:p w14:paraId="6F98FC0C"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Holm p</w:t>
            </w:r>
          </w:p>
        </w:tc>
      </w:tr>
      <w:tr w:rsidR="00F14584" w:rsidRPr="000829A5" w14:paraId="5C0D9CE7" w14:textId="77777777">
        <w:tc>
          <w:tcPr>
            <w:tcW w:w="1033" w:type="dxa"/>
          </w:tcPr>
          <w:p w14:paraId="33A46423"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LSTM</w:t>
            </w:r>
          </w:p>
        </w:tc>
        <w:tc>
          <w:tcPr>
            <w:tcW w:w="1377" w:type="dxa"/>
          </w:tcPr>
          <w:p w14:paraId="44A26031"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53.12%</w:t>
            </w:r>
          </w:p>
        </w:tc>
        <w:tc>
          <w:tcPr>
            <w:tcW w:w="1377" w:type="dxa"/>
          </w:tcPr>
          <w:p w14:paraId="24510A99"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51.63%</w:t>
            </w:r>
          </w:p>
        </w:tc>
        <w:tc>
          <w:tcPr>
            <w:tcW w:w="1377" w:type="dxa"/>
          </w:tcPr>
          <w:p w14:paraId="54105E68"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−1.497</w:t>
            </w:r>
          </w:p>
        </w:tc>
        <w:tc>
          <w:tcPr>
            <w:tcW w:w="1377" w:type="dxa"/>
          </w:tcPr>
          <w:p w14:paraId="130298EC"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[−6.139, 3.145]</w:t>
            </w:r>
          </w:p>
        </w:tc>
        <w:tc>
          <w:tcPr>
            <w:tcW w:w="1377" w:type="dxa"/>
          </w:tcPr>
          <w:p w14:paraId="65B140BE"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1.000</w:t>
            </w:r>
          </w:p>
        </w:tc>
      </w:tr>
      <w:tr w:rsidR="00F14584" w:rsidRPr="000829A5" w14:paraId="3513F03B" w14:textId="77777777">
        <w:tc>
          <w:tcPr>
            <w:tcW w:w="1033" w:type="dxa"/>
          </w:tcPr>
          <w:p w14:paraId="114928A1"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CNN</w:t>
            </w:r>
          </w:p>
        </w:tc>
        <w:tc>
          <w:tcPr>
            <w:tcW w:w="1377" w:type="dxa"/>
          </w:tcPr>
          <w:p w14:paraId="3EA872BE"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53.08%</w:t>
            </w:r>
          </w:p>
        </w:tc>
        <w:tc>
          <w:tcPr>
            <w:tcW w:w="1377" w:type="dxa"/>
          </w:tcPr>
          <w:p w14:paraId="5F46BD16"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51.89%</w:t>
            </w:r>
          </w:p>
        </w:tc>
        <w:tc>
          <w:tcPr>
            <w:tcW w:w="1377" w:type="dxa"/>
          </w:tcPr>
          <w:p w14:paraId="37D0DB92"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−1.194</w:t>
            </w:r>
          </w:p>
        </w:tc>
        <w:tc>
          <w:tcPr>
            <w:tcW w:w="1377" w:type="dxa"/>
          </w:tcPr>
          <w:p w14:paraId="62843D10"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[−2.080, −0.308]</w:t>
            </w:r>
          </w:p>
        </w:tc>
        <w:tc>
          <w:tcPr>
            <w:tcW w:w="1377" w:type="dxa"/>
          </w:tcPr>
          <w:p w14:paraId="06278487"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0.625</w:t>
            </w:r>
          </w:p>
        </w:tc>
      </w:tr>
      <w:tr w:rsidR="00F14584" w:rsidRPr="000829A5" w14:paraId="0F2D6A3F" w14:textId="77777777">
        <w:tc>
          <w:tcPr>
            <w:tcW w:w="1033" w:type="dxa"/>
          </w:tcPr>
          <w:p w14:paraId="58F3E252"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LSTM–CNN</w:t>
            </w:r>
          </w:p>
        </w:tc>
        <w:tc>
          <w:tcPr>
            <w:tcW w:w="1377" w:type="dxa"/>
          </w:tcPr>
          <w:p w14:paraId="1F3E4A4B"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52.68%</w:t>
            </w:r>
          </w:p>
        </w:tc>
        <w:tc>
          <w:tcPr>
            <w:tcW w:w="1377" w:type="dxa"/>
          </w:tcPr>
          <w:p w14:paraId="33B4E54E"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50.51%</w:t>
            </w:r>
          </w:p>
        </w:tc>
        <w:tc>
          <w:tcPr>
            <w:tcW w:w="1377" w:type="dxa"/>
          </w:tcPr>
          <w:p w14:paraId="3DCDB4CE"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−2.166</w:t>
            </w:r>
          </w:p>
        </w:tc>
        <w:tc>
          <w:tcPr>
            <w:tcW w:w="1377" w:type="dxa"/>
          </w:tcPr>
          <w:p w14:paraId="179E2A04"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[−6.560, 2.229]</w:t>
            </w:r>
          </w:p>
        </w:tc>
        <w:tc>
          <w:tcPr>
            <w:tcW w:w="1377" w:type="dxa"/>
          </w:tcPr>
          <w:p w14:paraId="29BE9380"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1.000</w:t>
            </w:r>
          </w:p>
        </w:tc>
      </w:tr>
      <w:tr w:rsidR="00F14584" w:rsidRPr="000829A5" w14:paraId="485C39C5" w14:textId="77777777">
        <w:tc>
          <w:tcPr>
            <w:tcW w:w="1033" w:type="dxa"/>
          </w:tcPr>
          <w:p w14:paraId="5C51B712"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t>LSTM–Attention</w:t>
            </w:r>
          </w:p>
        </w:tc>
        <w:tc>
          <w:tcPr>
            <w:tcW w:w="1377" w:type="dxa"/>
          </w:tcPr>
          <w:p w14:paraId="45E9129E"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52.37%</w:t>
            </w:r>
          </w:p>
        </w:tc>
        <w:tc>
          <w:tcPr>
            <w:tcW w:w="1377" w:type="dxa"/>
          </w:tcPr>
          <w:p w14:paraId="197C1284"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51.42%</w:t>
            </w:r>
          </w:p>
        </w:tc>
        <w:tc>
          <w:tcPr>
            <w:tcW w:w="1377" w:type="dxa"/>
          </w:tcPr>
          <w:p w14:paraId="47DF00A2"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−0.955</w:t>
            </w:r>
          </w:p>
        </w:tc>
        <w:tc>
          <w:tcPr>
            <w:tcW w:w="1377" w:type="dxa"/>
          </w:tcPr>
          <w:p w14:paraId="512826E9"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[−2.987, 1.077]</w:t>
            </w:r>
          </w:p>
        </w:tc>
        <w:tc>
          <w:tcPr>
            <w:tcW w:w="1377" w:type="dxa"/>
          </w:tcPr>
          <w:p w14:paraId="0C698D3E"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1.000</w:t>
            </w:r>
          </w:p>
        </w:tc>
      </w:tr>
      <w:tr w:rsidR="00F14584" w:rsidRPr="000829A5" w14:paraId="17BDAEB7" w14:textId="77777777">
        <w:tc>
          <w:tcPr>
            <w:tcW w:w="1033" w:type="dxa"/>
          </w:tcPr>
          <w:p w14:paraId="152127E4" w14:textId="77777777" w:rsidR="00F14584" w:rsidRPr="000829A5" w:rsidRDefault="00000000">
            <w:pPr>
              <w:pStyle w:val="Compact"/>
              <w:rPr>
                <w:rFonts w:ascii="Times New Roman" w:hAnsi="Times New Roman" w:cs="Times New Roman"/>
              </w:rPr>
            </w:pPr>
            <w:r w:rsidRPr="000829A5">
              <w:rPr>
                <w:rFonts w:ascii="Times New Roman" w:hAnsi="Times New Roman" w:cs="Times New Roman"/>
              </w:rPr>
              <w:lastRenderedPageBreak/>
              <w:t>LSTM–CNN–Attention</w:t>
            </w:r>
          </w:p>
        </w:tc>
        <w:tc>
          <w:tcPr>
            <w:tcW w:w="1377" w:type="dxa"/>
          </w:tcPr>
          <w:p w14:paraId="340409D4"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51.10%</w:t>
            </w:r>
          </w:p>
        </w:tc>
        <w:tc>
          <w:tcPr>
            <w:tcW w:w="1377" w:type="dxa"/>
          </w:tcPr>
          <w:p w14:paraId="19F9E61B"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50.03%</w:t>
            </w:r>
          </w:p>
        </w:tc>
        <w:tc>
          <w:tcPr>
            <w:tcW w:w="1377" w:type="dxa"/>
          </w:tcPr>
          <w:p w14:paraId="22FD565A"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−1.070</w:t>
            </w:r>
          </w:p>
        </w:tc>
        <w:tc>
          <w:tcPr>
            <w:tcW w:w="1377" w:type="dxa"/>
          </w:tcPr>
          <w:p w14:paraId="6BE68B8A"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[−6.852, 4.712]</w:t>
            </w:r>
          </w:p>
        </w:tc>
        <w:tc>
          <w:tcPr>
            <w:tcW w:w="1377" w:type="dxa"/>
          </w:tcPr>
          <w:p w14:paraId="06842CF7" w14:textId="77777777" w:rsidR="00F14584" w:rsidRPr="000829A5" w:rsidRDefault="00000000">
            <w:pPr>
              <w:pStyle w:val="Compact"/>
              <w:jc w:val="right"/>
              <w:rPr>
                <w:rFonts w:ascii="Times New Roman" w:hAnsi="Times New Roman" w:cs="Times New Roman"/>
              </w:rPr>
            </w:pPr>
            <w:r w:rsidRPr="000829A5">
              <w:rPr>
                <w:rFonts w:ascii="Times New Roman" w:hAnsi="Times New Roman" w:cs="Times New Roman"/>
              </w:rPr>
              <w:t>1.000</w:t>
            </w:r>
          </w:p>
        </w:tc>
      </w:tr>
    </w:tbl>
    <w:p w14:paraId="62E451AF"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Matched SET50 is the frozen 122-feature global numerical comparator, not the final post-hoc integrated regime–news arm. SET100 is a broader, overlapping index on the same exchange and is not an external-market replication.</w:t>
      </w:r>
    </w:p>
    <w:p w14:paraId="6C1E910C"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b/>
          <w:bCs/>
        </w:rPr>
        <w:t>[Figure 3 near here]</w:t>
      </w:r>
    </w:p>
    <w:p w14:paraId="6BAF5778"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b/>
          <w:bCs/>
        </w:rPr>
        <w:t>Figure 3. Architecture-wise effects and uncertainty across audit pillars.</w:t>
      </w:r>
      <w:r w:rsidRPr="000829A5">
        <w:rPr>
          <w:rFonts w:ascii="Times New Roman" w:hAnsi="Times New Roman" w:cs="Times New Roman"/>
        </w:rPr>
        <w:t xml:space="preserve"> Forest-style panels show paired balanced-accuracy changes for VMD, Observed-News versus Market-Only, Regime-SHAP versus Regime-All, and SET100 minus matched SET50. The vertical zero line makes the absence of a consistent cross-architecture direction visible; LLM intrinsic accuracy is shown in a separate panel because it has a different endpoint and cohort.</w:t>
      </w:r>
    </w:p>
    <w:p w14:paraId="40BB75D4" w14:textId="77777777" w:rsidR="00F14584" w:rsidRPr="000829A5" w:rsidRDefault="00000000">
      <w:pPr>
        <w:pStyle w:val="Heading1"/>
        <w:rPr>
          <w:rFonts w:ascii="Times New Roman" w:hAnsi="Times New Roman" w:cs="Times New Roman"/>
          <w:sz w:val="24"/>
          <w:szCs w:val="24"/>
        </w:rPr>
      </w:pPr>
      <w:bookmarkStart w:id="29" w:name="discussion"/>
      <w:bookmarkEnd w:id="22"/>
      <w:bookmarkEnd w:id="28"/>
      <w:r w:rsidRPr="000829A5">
        <w:rPr>
          <w:rFonts w:ascii="Times New Roman" w:hAnsi="Times New Roman" w:cs="Times New Roman"/>
          <w:sz w:val="24"/>
          <w:szCs w:val="24"/>
        </w:rPr>
        <w:t>5. Discussion</w:t>
      </w:r>
    </w:p>
    <w:p w14:paraId="72A41AC2" w14:textId="77777777" w:rsidR="00F14584" w:rsidRPr="000829A5" w:rsidRDefault="00000000">
      <w:pPr>
        <w:pStyle w:val="Heading2"/>
        <w:rPr>
          <w:rFonts w:ascii="Times New Roman" w:hAnsi="Times New Roman" w:cs="Times New Roman"/>
          <w:sz w:val="24"/>
          <w:szCs w:val="24"/>
        </w:rPr>
      </w:pPr>
      <w:bookmarkStart w:id="30" w:name="X3e8ea697f5a01cf8ab8eeff3dde42826a3511f9"/>
      <w:r w:rsidRPr="000829A5">
        <w:rPr>
          <w:rFonts w:ascii="Times New Roman" w:hAnsi="Times New Roman" w:cs="Times New Roman"/>
          <w:sz w:val="24"/>
          <w:szCs w:val="24"/>
        </w:rPr>
        <w:t>5.1 Reliability, rather than peak accuracy, is the principal result</w:t>
      </w:r>
    </w:p>
    <w:p w14:paraId="1CA36F07" w14:textId="77777777" w:rsidR="00F14584" w:rsidRPr="000829A5" w:rsidRDefault="00000000">
      <w:pPr>
        <w:pStyle w:val="FirstParagraph"/>
        <w:rPr>
          <w:rFonts w:ascii="Times New Roman" w:hAnsi="Times New Roman" w:cs="Times New Roman"/>
        </w:rPr>
      </w:pPr>
      <w:r w:rsidRPr="000829A5">
        <w:rPr>
          <w:rFonts w:ascii="Times New Roman" w:hAnsi="Times New Roman" w:cs="Times New Roman"/>
        </w:rPr>
        <w:t xml:space="preserve">The audit gives a consistent answer </w:t>
      </w:r>
      <w:proofErr w:type="gramStart"/>
      <w:r w:rsidRPr="000829A5">
        <w:rPr>
          <w:rFonts w:ascii="Times New Roman" w:hAnsi="Times New Roman" w:cs="Times New Roman"/>
        </w:rPr>
        <w:t>across otherwise</w:t>
      </w:r>
      <w:proofErr w:type="gramEnd"/>
      <w:r w:rsidRPr="000829A5">
        <w:rPr>
          <w:rFonts w:ascii="Times New Roman" w:hAnsi="Times New Roman" w:cs="Times New Roman"/>
        </w:rPr>
        <w:t xml:space="preserve"> different interventions: local improvements occurred, but they were rarely stable across architectures, years, endpoints, or controls. Causal VMD helped LSTM–CNN balanced accuracy by only 0.35 points while reducing it elsewhere. Regime-SHAP helped CNN by 1.46 points but harmed LSTM–Attention by 1.03 points. The original Local-NLP news arm produced no Holm-adjusted forecasting gain. The strongest intrinsic LLM result survived a compute-matched comparison, and the Debate Leader was then carried into an additional downstream SET50 test that the author reports as positive. Its evidential strength will be classified after the exact artifact is reconciled. Finally, partial-2026 and SET100 tests did not reveal a hidden robust winner.</w:t>
      </w:r>
    </w:p>
    <w:p w14:paraId="44E71E68"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These findings identify distinct reliability boundaries. VMD fails at cross-architecture transport; the original Local-NLP representation fails at incremental forecasting value; the LLM role system succeeds intrinsically but remains below the practical/local comparator; the added Leader downstream arm tests whether richer deliberative sentiment closes that forecasting bridge; SHAP reduction fails at universal predictive improvement; LIME fails local fidelity; and the frozen numeric pipeline weakens under same-exchange breadth transfer. A reliability audit is valuable precisely because it retains these boundaries.</w:t>
      </w:r>
    </w:p>
    <w:p w14:paraId="718664D4" w14:textId="77777777" w:rsidR="00F14584" w:rsidRPr="000829A5" w:rsidRDefault="00000000">
      <w:pPr>
        <w:pStyle w:val="Heading2"/>
        <w:rPr>
          <w:rFonts w:ascii="Times New Roman" w:hAnsi="Times New Roman" w:cs="Times New Roman"/>
          <w:sz w:val="24"/>
          <w:szCs w:val="24"/>
        </w:rPr>
      </w:pPr>
      <w:bookmarkStart w:id="31" w:name="X44b0fecdd5006c50598a61fa4b4f792008c6932"/>
      <w:bookmarkEnd w:id="30"/>
      <w:r w:rsidRPr="000829A5">
        <w:rPr>
          <w:rFonts w:ascii="Times New Roman" w:hAnsi="Times New Roman" w:cs="Times New Roman"/>
          <w:sz w:val="24"/>
          <w:szCs w:val="24"/>
        </w:rPr>
        <w:t xml:space="preserve">5.2 Why </w:t>
      </w:r>
      <w:proofErr w:type="gramStart"/>
      <w:r w:rsidRPr="000829A5">
        <w:rPr>
          <w:rFonts w:ascii="Times New Roman" w:hAnsi="Times New Roman" w:cs="Times New Roman"/>
          <w:sz w:val="24"/>
          <w:szCs w:val="24"/>
        </w:rPr>
        <w:t>added neural complexity did</w:t>
      </w:r>
      <w:proofErr w:type="gramEnd"/>
      <w:r w:rsidRPr="000829A5">
        <w:rPr>
          <w:rFonts w:ascii="Times New Roman" w:hAnsi="Times New Roman" w:cs="Times New Roman"/>
          <w:sz w:val="24"/>
          <w:szCs w:val="24"/>
        </w:rPr>
        <w:t xml:space="preserve"> not guarantee improvement</w:t>
      </w:r>
    </w:p>
    <w:p w14:paraId="4BD70C2E" w14:textId="77777777" w:rsidR="00F14584" w:rsidRPr="000829A5" w:rsidRDefault="00000000">
      <w:pPr>
        <w:pStyle w:val="FirstParagraph"/>
        <w:rPr>
          <w:rFonts w:ascii="Times New Roman" w:hAnsi="Times New Roman" w:cs="Times New Roman"/>
        </w:rPr>
      </w:pPr>
      <w:r w:rsidRPr="000829A5">
        <w:rPr>
          <w:rFonts w:ascii="Times New Roman" w:hAnsi="Times New Roman" w:cs="Times New Roman"/>
        </w:rPr>
        <w:t xml:space="preserve">Next-day index direction offers a weak signal and a limited number of independent market years. Adding convolution or attention changes the inductive bias but does not create new information. A CNN can smooth local patterns and appear to follow price trends, while an LSTM can minimize next-price error. Their serial composition may nonetheless be worse if the convolution removes small sign-relevant deviations, if the regression loss rewards price proximity rather than directional calibration, or if the larger network increases fit variance. Attention can also </w:t>
      </w:r>
      <w:r w:rsidRPr="000829A5">
        <w:rPr>
          <w:rFonts w:ascii="Times New Roman" w:hAnsi="Times New Roman" w:cs="Times New Roman"/>
        </w:rPr>
        <w:lastRenderedPageBreak/>
        <w:t>concentrate on unstable timesteps or redundant technical transforms. These mechanisms are consistent with the observed endpoint divergence and the weak performance of the most complex architecture in several panels.</w:t>
      </w:r>
    </w:p>
    <w:p w14:paraId="13FB2199"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The partial-2026 results make the danger concrete. Raw accuracy near 58.7% looked higher than many historical results, but balanced accuracy and MCC revealed that several cells simply predicted the majority Up class. Any paper that reported accuracy alone could mistakenly frame collapse as improvement.</w:t>
      </w:r>
    </w:p>
    <w:p w14:paraId="244498BD" w14:textId="77777777" w:rsidR="00F14584" w:rsidRPr="000829A5" w:rsidRDefault="00000000">
      <w:pPr>
        <w:pStyle w:val="Heading2"/>
        <w:rPr>
          <w:rFonts w:ascii="Times New Roman" w:hAnsi="Times New Roman" w:cs="Times New Roman"/>
          <w:sz w:val="24"/>
          <w:szCs w:val="24"/>
        </w:rPr>
      </w:pPr>
      <w:bookmarkStart w:id="32" w:name="X786d1344b69c08b35ee61fbd99b40af1f501b3b"/>
      <w:bookmarkEnd w:id="31"/>
      <w:r w:rsidRPr="000829A5">
        <w:rPr>
          <w:rFonts w:ascii="Times New Roman" w:hAnsi="Times New Roman" w:cs="Times New Roman"/>
          <w:sz w:val="24"/>
          <w:szCs w:val="24"/>
        </w:rPr>
        <w:t>5.3 Denoising and news were useful hypotheses, not universal treatments</w:t>
      </w:r>
    </w:p>
    <w:p w14:paraId="76A4604D" w14:textId="77777777" w:rsidR="00F14584" w:rsidRPr="000829A5" w:rsidRDefault="00000000">
      <w:pPr>
        <w:pStyle w:val="FirstParagraph"/>
        <w:rPr>
          <w:rFonts w:ascii="Times New Roman" w:hAnsi="Times New Roman" w:cs="Times New Roman"/>
        </w:rPr>
      </w:pPr>
      <w:r w:rsidRPr="000829A5">
        <w:rPr>
          <w:rFonts w:ascii="Times New Roman" w:hAnsi="Times New Roman" w:cs="Times New Roman"/>
        </w:rPr>
        <w:t>Rolling VMD obeyed the information boundary and sometimes improved price error, so the decomposition was not technically unsuccessful. Its failure was more specific: better reconstruction or lower RMSE did not reliably improve the next-day sign. The highest-frequency component may contain both noise and short-horizon directional information, and the relevant frequency band may vary across regimes and architectures. A fixed five-mode, one-mode-removal rule should therefore be interpreted as a controlled treatment, not an optimal universal decomposition.</w:t>
      </w:r>
    </w:p>
    <w:p w14:paraId="1B0F5B6B"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 xml:space="preserve">The text results show a similar separation. The local classifier achieved approximately 80–83% annual sentiment accuracy, demonstrating that the label task was learnable. Yet daily aggregation, conservative next-session mapping, limited news availability, and source shift attenuated the signal available to the forecasting models. </w:t>
      </w:r>
      <w:proofErr w:type="gramStart"/>
      <w:r w:rsidRPr="000829A5">
        <w:rPr>
          <w:rFonts w:ascii="Times New Roman" w:hAnsi="Times New Roman" w:cs="Times New Roman"/>
        </w:rPr>
        <w:t>Shuffled-news</w:t>
      </w:r>
      <w:proofErr w:type="gramEnd"/>
      <w:r w:rsidRPr="000829A5">
        <w:rPr>
          <w:rFonts w:ascii="Times New Roman" w:hAnsi="Times New Roman" w:cs="Times New Roman"/>
        </w:rPr>
        <w:t xml:space="preserve"> controls further showed that adding a high-dimensional block can change predictions without preserving useful chronology. The appropriate conclusion is not that financial news is irrelevant, but that sentiment accuracy alone is insufficient evidence for incremental index-direction value. Recent multimodal work likewise reports that news interactions, delayed diffusion, and information not captured by a single sentiment score can matter for market prediction (</w:t>
      </w:r>
      <w:hyperlink w:anchor="ref-wang2024finin">
        <w:r w:rsidRPr="000829A5">
          <w:rPr>
            <w:rStyle w:val="Hyperlink"/>
            <w:rFonts w:ascii="Times New Roman" w:hAnsi="Times New Roman" w:cs="Times New Roman"/>
          </w:rPr>
          <w:t>M. Wang et al., 2024</w:t>
        </w:r>
      </w:hyperlink>
      <w:r w:rsidRPr="000829A5">
        <w:rPr>
          <w:rFonts w:ascii="Times New Roman" w:hAnsi="Times New Roman" w:cs="Times New Roman"/>
        </w:rPr>
        <w:t>).</w:t>
      </w:r>
    </w:p>
    <w:p w14:paraId="3732CBA6" w14:textId="77777777" w:rsidR="00F14584" w:rsidRPr="000829A5" w:rsidRDefault="00000000">
      <w:pPr>
        <w:pStyle w:val="Heading2"/>
        <w:rPr>
          <w:rFonts w:ascii="Times New Roman" w:hAnsi="Times New Roman" w:cs="Times New Roman"/>
          <w:sz w:val="24"/>
          <w:szCs w:val="24"/>
        </w:rPr>
      </w:pPr>
      <w:bookmarkStart w:id="33" w:name="what-the-llm-comparison-establishes"/>
      <w:bookmarkEnd w:id="32"/>
      <w:r w:rsidRPr="000829A5">
        <w:rPr>
          <w:rFonts w:ascii="Times New Roman" w:hAnsi="Times New Roman" w:cs="Times New Roman"/>
          <w:sz w:val="24"/>
          <w:szCs w:val="24"/>
        </w:rPr>
        <w:t>5.4 What the LLM comparison establishes</w:t>
      </w:r>
    </w:p>
    <w:p w14:paraId="32BB667D" w14:textId="77777777" w:rsidR="00F14584" w:rsidRPr="000829A5" w:rsidRDefault="00000000">
      <w:pPr>
        <w:pStyle w:val="FirstParagraph"/>
        <w:rPr>
          <w:rFonts w:ascii="Times New Roman" w:hAnsi="Times New Roman" w:cs="Times New Roman"/>
        </w:rPr>
      </w:pPr>
      <w:r w:rsidRPr="000829A5">
        <w:rPr>
          <w:rFonts w:ascii="Times New Roman" w:hAnsi="Times New Roman" w:cs="Times New Roman"/>
        </w:rPr>
        <w:t>The role system’s 5.93–</w:t>
      </w:r>
      <w:proofErr w:type="gramStart"/>
      <w:r w:rsidRPr="000829A5">
        <w:rPr>
          <w:rFonts w:ascii="Times New Roman" w:hAnsi="Times New Roman" w:cs="Times New Roman"/>
        </w:rPr>
        <w:t>6.00 point</w:t>
      </w:r>
      <w:proofErr w:type="gramEnd"/>
      <w:r w:rsidRPr="000829A5">
        <w:rPr>
          <w:rFonts w:ascii="Times New Roman" w:hAnsi="Times New Roman" w:cs="Times New Roman"/>
        </w:rPr>
        <w:t xml:space="preserve"> advantage over compute-matched self-consistency is one of the clearest positive results. The cluster intervals exclude zero, the comparison respects the number/cost of calls, and the same locked cohort is used throughout. However, all three roles share one model, the prompts and ordered information differ, and no component-isolation study was performed. The intrinsic evidence establishes that the complete Bull/Bear/Leader configuration outperformed repeated identical-prompt inference on the locked sentiment task. It is not proof that independent models debated or that debate is the unique causal mechanism. Forecasting value is instead assessed by the separate Leader-derived feature arm, for which the common-cohort result and paired uncertainty must be reported in Table 3C.</w:t>
      </w:r>
    </w:p>
    <w:p w14:paraId="5A579250"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For a cost-sensitive operational system, the local classifier remains the low-cost comparator because it was more accurate on the intrinsic 2023 labels and inexpensive to rerun. The Debate Leader is justified as a downstream layer only to the extent that its added SET50 gain survives identical-cohort controls and is commensurate with its API cost and latency. This system-level framing is consistent with current financial-agent research, which treats cost, latency, prompt sensitivity, and real-world constraints as part of the evaluation target (</w:t>
      </w:r>
      <w:hyperlink w:anchor="ref-dong2025financeagents">
        <w:r w:rsidRPr="000829A5">
          <w:rPr>
            <w:rStyle w:val="Hyperlink"/>
            <w:rFonts w:ascii="Times New Roman" w:hAnsi="Times New Roman" w:cs="Times New Roman"/>
          </w:rPr>
          <w:t>Dong et al., 2025</w:t>
        </w:r>
      </w:hyperlink>
      <w:r w:rsidRPr="000829A5">
        <w:rPr>
          <w:rFonts w:ascii="Times New Roman" w:hAnsi="Times New Roman" w:cs="Times New Roman"/>
        </w:rPr>
        <w:t>).</w:t>
      </w:r>
    </w:p>
    <w:p w14:paraId="6C94FD26" w14:textId="77777777" w:rsidR="00F14584" w:rsidRPr="000829A5" w:rsidRDefault="00000000">
      <w:pPr>
        <w:pStyle w:val="Heading2"/>
        <w:rPr>
          <w:rFonts w:ascii="Times New Roman" w:hAnsi="Times New Roman" w:cs="Times New Roman"/>
          <w:sz w:val="24"/>
          <w:szCs w:val="24"/>
        </w:rPr>
      </w:pPr>
      <w:bookmarkStart w:id="34" w:name="X77c1f62c4e474abfc747b905330cd15093ddfa4"/>
      <w:bookmarkEnd w:id="33"/>
      <w:r w:rsidRPr="000829A5">
        <w:rPr>
          <w:rFonts w:ascii="Times New Roman" w:hAnsi="Times New Roman" w:cs="Times New Roman"/>
          <w:sz w:val="24"/>
          <w:szCs w:val="24"/>
        </w:rPr>
        <w:lastRenderedPageBreak/>
        <w:t>5.5 Regimes and explanations are model-conditional</w:t>
      </w:r>
    </w:p>
    <w:p w14:paraId="2AC07ED6" w14:textId="77777777" w:rsidR="00F14584" w:rsidRPr="000829A5" w:rsidRDefault="00000000">
      <w:pPr>
        <w:pStyle w:val="FirstParagraph"/>
        <w:rPr>
          <w:rFonts w:ascii="Times New Roman" w:hAnsi="Times New Roman" w:cs="Times New Roman"/>
        </w:rPr>
      </w:pPr>
      <w:r w:rsidRPr="000829A5">
        <w:rPr>
          <w:rFonts w:ascii="Times New Roman" w:hAnsi="Times New Roman" w:cs="Times New Roman"/>
        </w:rPr>
        <w:t>The regime router itself passed semantic and temporal checks. Sideway was not an afterthought: it comprised 36.49% of outer observations, and its mean 20-day return stayed nearest zero. This provides a defensible context variable for conditional analysis. The predictive consequence, however, depended on the backbone. CNN benefited most from the regime-specific SHAP subsets, whereas LSTM and LSTM–Attention did not. The LSTM–CNN Spearman comparator even exceeded its SHAP counterpart descriptively, reinforcing that a sophisticated attribution method is not automatically a superior feature selector.</w:t>
      </w:r>
    </w:p>
    <w:p w14:paraId="35CE9E1A"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SHAP rankings describe how a fitted network distributes attribution under a specified background; they do not establish that a feature causes a market move. The poor LIME fidelity further warns against building a strong economic narrative from local explanation agreement. Retaining the failed LIME rows in the Supplement converts an apparent weakness into a reproducibility result: the explanations themselves were subjected to an audit and did not pass it consistently. This qualification follows current financial-XAI reviews that distinguish post-hoc explanation from transparency and trustworthy adoption (</w:t>
      </w:r>
      <w:hyperlink w:anchor="ref-yeo2025finxai">
        <w:r w:rsidRPr="000829A5">
          <w:rPr>
            <w:rStyle w:val="Hyperlink"/>
            <w:rFonts w:ascii="Times New Roman" w:hAnsi="Times New Roman" w:cs="Times New Roman"/>
          </w:rPr>
          <w:t>Yeo et al., 2025</w:t>
        </w:r>
      </w:hyperlink>
      <w:r w:rsidRPr="000829A5">
        <w:rPr>
          <w:rFonts w:ascii="Times New Roman" w:hAnsi="Times New Roman" w:cs="Times New Roman"/>
        </w:rPr>
        <w:t>).</w:t>
      </w:r>
    </w:p>
    <w:p w14:paraId="5294146D" w14:textId="77777777" w:rsidR="00F14584" w:rsidRPr="000829A5" w:rsidRDefault="00000000">
      <w:pPr>
        <w:pStyle w:val="Heading2"/>
        <w:rPr>
          <w:rFonts w:ascii="Times New Roman" w:hAnsi="Times New Roman" w:cs="Times New Roman"/>
          <w:sz w:val="24"/>
          <w:szCs w:val="24"/>
        </w:rPr>
      </w:pPr>
      <w:bookmarkStart w:id="35" w:name="X13088133dc025e67aafc296a84c357aa2940420"/>
      <w:bookmarkEnd w:id="34"/>
      <w:r w:rsidRPr="000829A5">
        <w:rPr>
          <w:rFonts w:ascii="Times New Roman" w:hAnsi="Times New Roman" w:cs="Times New Roman"/>
          <w:sz w:val="24"/>
          <w:szCs w:val="24"/>
        </w:rPr>
        <w:t>5.6 Implications for SET-focused forecasting research</w:t>
      </w:r>
    </w:p>
    <w:p w14:paraId="15E0704B" w14:textId="77777777" w:rsidR="00F14584" w:rsidRPr="000829A5" w:rsidRDefault="00000000">
      <w:pPr>
        <w:pStyle w:val="FirstParagraph"/>
        <w:rPr>
          <w:rFonts w:ascii="Times New Roman" w:hAnsi="Times New Roman" w:cs="Times New Roman"/>
        </w:rPr>
      </w:pPr>
      <w:r w:rsidRPr="000829A5">
        <w:rPr>
          <w:rFonts w:ascii="Times New Roman" w:hAnsi="Times New Roman" w:cs="Times New Roman"/>
        </w:rPr>
        <w:t>The SET50 focus is substantively appropriate for a study of Thailand’s large- capitalization market, and SET100 provides a useful same-market breadth test. The latter does not solve external validity because the indices share exchange microstructure, macroeconomic conditions, dates, and constituents. Its value is narrower: a frozen feature/model protocol did not become stronger merely by moving to a broader index on the same exchange. Future work seeking independent external replication should add a separately governed ASEAN or other emerging- market index, preferably with a reduced but fully frozen protocol.</w:t>
      </w:r>
    </w:p>
    <w:p w14:paraId="5E40A6CA"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The low absolute balanced accuracies are also economically plausible. Daily index moves incorporate many unobserved shocks, and market efficiency limits stable predictive structure (</w:t>
      </w:r>
      <w:hyperlink w:anchor="ref-fama1970efficient">
        <w:r w:rsidRPr="000829A5">
          <w:rPr>
            <w:rStyle w:val="Hyperlink"/>
            <w:rFonts w:ascii="Times New Roman" w:hAnsi="Times New Roman" w:cs="Times New Roman"/>
          </w:rPr>
          <w:t>Fama, 1970</w:t>
        </w:r>
      </w:hyperlink>
      <w:r w:rsidRPr="000829A5">
        <w:rPr>
          <w:rFonts w:ascii="Times New Roman" w:hAnsi="Times New Roman" w:cs="Times New Roman"/>
        </w:rPr>
        <w:t xml:space="preserve">). The correct response is not to </w:t>
      </w:r>
      <w:proofErr w:type="gramStart"/>
      <w:r w:rsidRPr="000829A5">
        <w:rPr>
          <w:rFonts w:ascii="Times New Roman" w:hAnsi="Times New Roman" w:cs="Times New Roman"/>
        </w:rPr>
        <w:t>tune</w:t>
      </w:r>
      <w:proofErr w:type="gramEnd"/>
      <w:r w:rsidRPr="000829A5">
        <w:rPr>
          <w:rFonts w:ascii="Times New Roman" w:hAnsi="Times New Roman" w:cs="Times New Roman"/>
        </w:rPr>
        <w:t xml:space="preserve"> until a desired accuracy appears. More informative extensions are longer prospective testing, uncertainty-aware abstention, cross-market validation, and explicitly matched objectives and execution rules; uncertainty quantification remains an active issue in deep financial time-series models (</w:t>
      </w:r>
      <w:hyperlink w:anchor="ref-blasco2024uncertainty">
        <w:r w:rsidRPr="000829A5">
          <w:rPr>
            <w:rStyle w:val="Hyperlink"/>
            <w:rFonts w:ascii="Times New Roman" w:hAnsi="Times New Roman" w:cs="Times New Roman"/>
          </w:rPr>
          <w:t>Blasco et al., 2024</w:t>
        </w:r>
      </w:hyperlink>
      <w:r w:rsidRPr="000829A5">
        <w:rPr>
          <w:rFonts w:ascii="Times New Roman" w:hAnsi="Times New Roman" w:cs="Times New Roman"/>
        </w:rPr>
        <w:t>).</w:t>
      </w:r>
    </w:p>
    <w:p w14:paraId="714B8067" w14:textId="77777777" w:rsidR="00F14584" w:rsidRPr="000829A5" w:rsidRDefault="00000000">
      <w:pPr>
        <w:pStyle w:val="Heading1"/>
        <w:rPr>
          <w:rFonts w:ascii="Times New Roman" w:hAnsi="Times New Roman" w:cs="Times New Roman"/>
          <w:sz w:val="24"/>
          <w:szCs w:val="24"/>
        </w:rPr>
      </w:pPr>
      <w:bookmarkStart w:id="36" w:name="limitations"/>
      <w:bookmarkEnd w:id="29"/>
      <w:bookmarkEnd w:id="35"/>
      <w:r w:rsidRPr="000829A5">
        <w:rPr>
          <w:rFonts w:ascii="Times New Roman" w:hAnsi="Times New Roman" w:cs="Times New Roman"/>
          <w:sz w:val="24"/>
          <w:szCs w:val="24"/>
        </w:rPr>
        <w:t>6. Limitations</w:t>
      </w:r>
    </w:p>
    <w:p w14:paraId="7889D445" w14:textId="77777777" w:rsidR="00F14584" w:rsidRPr="000829A5" w:rsidRDefault="00000000">
      <w:pPr>
        <w:pStyle w:val="FirstParagraph"/>
        <w:rPr>
          <w:rFonts w:ascii="Times New Roman" w:hAnsi="Times New Roman" w:cs="Times New Roman"/>
        </w:rPr>
      </w:pPr>
      <w:r w:rsidRPr="000829A5">
        <w:rPr>
          <w:rFonts w:ascii="Times New Roman" w:hAnsi="Times New Roman" w:cs="Times New Roman"/>
        </w:rPr>
        <w:t>First, the primary temporal inference uses four outer years. Exact sign-flip tests consequently have a minimum two-sided p-value of 0.125, and confidence intervals are wide. Daily moving-block analyses use more observations but do not create additional independent economic regimes. Conclusions emphasize effect stability rather than proof of equivalence.</w:t>
      </w:r>
    </w:p>
    <w:p w14:paraId="5AA147C9"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Second, the study is centred on one exchange. SET100 broadens index membership but is strongly related to SET50 and must not be called independent external validation. News coverage is also heterogeneous: comparable labelled text begins in 2018, official 2024–2025 headlines are unlabelled and shorter, and no defensible 2012–2014 text source was included.</w:t>
      </w:r>
    </w:p>
    <w:p w14:paraId="784BD96F"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lastRenderedPageBreak/>
        <w:t xml:space="preserve">Third, daily news dates in the labelled source lack reliable publication times. Shifting every item to the next trading session is conservative and reduces leakage risk, but it may also discard same-day information that would be available in a </w:t>
      </w:r>
      <w:proofErr w:type="gramStart"/>
      <w:r w:rsidRPr="000829A5">
        <w:rPr>
          <w:rFonts w:ascii="Times New Roman" w:hAnsi="Times New Roman" w:cs="Times New Roman"/>
        </w:rPr>
        <w:t>timestamped real</w:t>
      </w:r>
      <w:proofErr w:type="gramEnd"/>
      <w:r w:rsidRPr="000829A5">
        <w:rPr>
          <w:rFonts w:ascii="Times New Roman" w:hAnsi="Times New Roman" w:cs="Times New Roman"/>
        </w:rPr>
        <w:t>-time system.</w:t>
      </w:r>
    </w:p>
    <w:p w14:paraId="10E17B5A"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Fourth, the five neural architectures and compact training budget are a controlled benchmark panel, not an exhaustive comparison with every current forecasting model. No Optuna search was performed in the frozen audit. This reduces search-induced optimism but does not prove that a different, pre-specified architecture could not perform better.</w:t>
      </w:r>
    </w:p>
    <w:p w14:paraId="3545E145"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Fifth, the regime rule is a causal semantic classifier developed after an earlier hidden-state router failed construct-validity checks. The corrected regime/SHAP analysis is therefore post-hoc robustness evidence. Soft regime memberships are distance scores rather than calibrated state probabilities.</w:t>
      </w:r>
    </w:p>
    <w:p w14:paraId="54DFE909"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Sixth, SHAP and LIME describe the fitted model, not the causal market process. LIME had low fidelity in most registered repeats. Feature-level explanation claims should therefore be treated as conditional diagnostics.</w:t>
      </w:r>
    </w:p>
    <w:p w14:paraId="2CFBD75C"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 xml:space="preserve">Seventh, the partial-2026 forward period is short and source-contingent. A registered data source </w:t>
      </w:r>
      <w:proofErr w:type="gramStart"/>
      <w:r w:rsidRPr="000829A5">
        <w:rPr>
          <w:rFonts w:ascii="Times New Roman" w:hAnsi="Times New Roman" w:cs="Times New Roman"/>
        </w:rPr>
        <w:t>failed</w:t>
      </w:r>
      <w:proofErr w:type="gramEnd"/>
      <w:r w:rsidRPr="000829A5">
        <w:rPr>
          <w:rFonts w:ascii="Times New Roman" w:hAnsi="Times New Roman" w:cs="Times New Roman"/>
        </w:rPr>
        <w:t xml:space="preserve"> and a dated alternative was used after a protocol deviation. The economic proxy covers only 137 executable rows, uses simplified open-to-close positions and fixed costs, and omits slippage, liquidity, tax, and capacity. It is exploratory and cannot support a live- trading claim.</w:t>
      </w:r>
    </w:p>
    <w:p w14:paraId="5481BD23"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Finally, provider-hosted market rows cannot be redistributed. The public package supplies code, schemas, hashes, manifests, split contracts, and aggregate results, enabling validation and fresh reconstruction but not a one-click exact rerun without independently reacquiring the data.</w:t>
      </w:r>
    </w:p>
    <w:p w14:paraId="1041C3F4" w14:textId="77777777" w:rsidR="00F14584" w:rsidRPr="000829A5" w:rsidRDefault="00000000">
      <w:pPr>
        <w:pStyle w:val="Heading1"/>
        <w:rPr>
          <w:rFonts w:ascii="Times New Roman" w:hAnsi="Times New Roman" w:cs="Times New Roman"/>
          <w:sz w:val="24"/>
          <w:szCs w:val="24"/>
        </w:rPr>
      </w:pPr>
      <w:bookmarkStart w:id="37" w:name="reproducibility-and-data-availability"/>
      <w:bookmarkEnd w:id="36"/>
      <w:r w:rsidRPr="000829A5">
        <w:rPr>
          <w:rFonts w:ascii="Times New Roman" w:hAnsi="Times New Roman" w:cs="Times New Roman"/>
          <w:sz w:val="24"/>
          <w:szCs w:val="24"/>
        </w:rPr>
        <w:t>7. Reproducibility and data availability</w:t>
      </w:r>
    </w:p>
    <w:p w14:paraId="4607321F" w14:textId="77777777" w:rsidR="00F14584" w:rsidRPr="000829A5" w:rsidRDefault="00000000">
      <w:pPr>
        <w:pStyle w:val="FirstParagraph"/>
        <w:rPr>
          <w:rFonts w:ascii="Times New Roman" w:hAnsi="Times New Roman" w:cs="Times New Roman"/>
        </w:rPr>
      </w:pPr>
      <w:r w:rsidRPr="000829A5">
        <w:rPr>
          <w:rFonts w:ascii="Times New Roman" w:hAnsi="Times New Roman" w:cs="Times New Roman"/>
        </w:rPr>
        <w:t>The repository separates persisted-artifact verification from a fresh reconstruction. Frozen protocols record feature counts, windows, seeds, training budgets, temporal boundaries, label-date rules, environment versions, source and code hashes, and output manifests. Aggregate tables are generated from authoritative CSV/JSON artifacts and paired with SHA-256 source/output hashes. Deterministic operations, explicit seeds, finite-output gates, expected cell counts, date-pair checks, and restricted-path/secret scans are automated.</w:t>
      </w:r>
    </w:p>
    <w:p w14:paraId="1D1A97DF"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Market-index observations were obtained from the identified publicly accessible Investing.com historical-data pages (</w:t>
      </w:r>
      <w:hyperlink w:anchor="ref-investingSet50">
        <w:r w:rsidRPr="000829A5">
          <w:rPr>
            <w:rStyle w:val="Hyperlink"/>
            <w:rFonts w:ascii="Times New Roman" w:hAnsi="Times New Roman" w:cs="Times New Roman"/>
          </w:rPr>
          <w:t>Investing.com, n.d.-b</w:t>
        </w:r>
      </w:hyperlink>
      <w:r w:rsidRPr="000829A5">
        <w:rPr>
          <w:rFonts w:ascii="Times New Roman" w:hAnsi="Times New Roman" w:cs="Times New Roman"/>
        </w:rPr>
        <w:t xml:space="preserve">, </w:t>
      </w:r>
      <w:hyperlink w:anchor="ref-investingSet100">
        <w:r w:rsidRPr="000829A5">
          <w:rPr>
            <w:rStyle w:val="Hyperlink"/>
            <w:rFonts w:ascii="Times New Roman" w:hAnsi="Times New Roman" w:cs="Times New Roman"/>
          </w:rPr>
          <w:t>n.d.-a</w:t>
        </w:r>
      </w:hyperlink>
      <w:r w:rsidRPr="000829A5">
        <w:rPr>
          <w:rFonts w:ascii="Times New Roman" w:hAnsi="Times New Roman" w:cs="Times New Roman"/>
        </w:rPr>
        <w:t>). Access and reuse remain subject to provider terms; public accessibility is not represented as an open-data licence. Raw and reconstructive market rows are excluded from the public package. Researchers may obtain the series independently and validate them against the published schemas, date ranges, row counts, and hashes. Raw news text, private LLM responses, response identifiers, checkpoints, and credentials are likewise excluded. The public package includes model and evaluation code, protocols, aggregate evidence, data contracts, non-reconstructive integrity summaries, and exact temporal split specifications.</w:t>
      </w:r>
    </w:p>
    <w:p w14:paraId="2040F9DD" w14:textId="77777777" w:rsidR="00F14584" w:rsidRPr="000829A5" w:rsidRDefault="00000000">
      <w:pPr>
        <w:pStyle w:val="Heading1"/>
        <w:rPr>
          <w:rFonts w:ascii="Times New Roman" w:hAnsi="Times New Roman" w:cs="Times New Roman"/>
          <w:sz w:val="24"/>
          <w:szCs w:val="24"/>
        </w:rPr>
      </w:pPr>
      <w:bookmarkStart w:id="38" w:name="conclusion"/>
      <w:bookmarkEnd w:id="37"/>
      <w:r w:rsidRPr="000829A5">
        <w:rPr>
          <w:rFonts w:ascii="Times New Roman" w:hAnsi="Times New Roman" w:cs="Times New Roman"/>
          <w:sz w:val="24"/>
          <w:szCs w:val="24"/>
        </w:rPr>
        <w:lastRenderedPageBreak/>
        <w:t>8. Conclusion</w:t>
      </w:r>
    </w:p>
    <w:p w14:paraId="77BE616F" w14:textId="77777777" w:rsidR="00F14584" w:rsidRPr="000829A5" w:rsidRDefault="00000000">
      <w:pPr>
        <w:pStyle w:val="FirstParagraph"/>
        <w:rPr>
          <w:rFonts w:ascii="Times New Roman" w:hAnsi="Times New Roman" w:cs="Times New Roman"/>
        </w:rPr>
      </w:pPr>
      <w:r w:rsidRPr="000829A5">
        <w:rPr>
          <w:rFonts w:ascii="Times New Roman" w:hAnsi="Times New Roman" w:cs="Times New Roman"/>
        </w:rPr>
        <w:t xml:space="preserve">This study evaluated a full multimodal and regime-aware forecasting pipeline without reducing the question to its best-looking model. Under a corrected point-in-time contract, causal VMD, predicted news, regime-specific SHAP selection, direct direction training, and additional neural complexity each produced selected positive results, but none yielded a forecasting balanced- accuracy advantage that was reliable across </w:t>
      </w:r>
      <w:proofErr w:type="gramStart"/>
      <w:r w:rsidRPr="000829A5">
        <w:rPr>
          <w:rFonts w:ascii="Times New Roman" w:hAnsi="Times New Roman" w:cs="Times New Roman"/>
        </w:rPr>
        <w:t>architectures</w:t>
      </w:r>
      <w:proofErr w:type="gramEnd"/>
      <w:r w:rsidRPr="000829A5">
        <w:rPr>
          <w:rFonts w:ascii="Times New Roman" w:hAnsi="Times New Roman" w:cs="Times New Roman"/>
        </w:rPr>
        <w:t xml:space="preserve"> and survived the registered multiplicity controls. The LLM Bull/Bear/Leader system survived compute-matched intrinsic sentiment controls, remained below the local classifier on the intrinsic labels, and was subsequently used as the news source in an additional downstream SET50 evaluation. The author reports a positive forecasting effect; the final claim will use the exact </w:t>
      </w:r>
      <w:proofErr w:type="gramStart"/>
      <w:r w:rsidRPr="000829A5">
        <w:rPr>
          <w:rFonts w:ascii="Times New Roman" w:hAnsi="Times New Roman" w:cs="Times New Roman"/>
        </w:rPr>
        <w:t>common-cohort</w:t>
      </w:r>
      <w:proofErr w:type="gramEnd"/>
      <w:r w:rsidRPr="000829A5">
        <w:rPr>
          <w:rFonts w:ascii="Times New Roman" w:hAnsi="Times New Roman" w:cs="Times New Roman"/>
        </w:rPr>
        <w:t xml:space="preserve"> estimate and uncertainty after artifact reconciliation. Partial-2026 and SET100 tests further exposed class-collapse and transfer fragility.</w:t>
      </w:r>
    </w:p>
    <w:p w14:paraId="5DACCA78" w14:textId="77777777" w:rsidR="00F14584" w:rsidRPr="000829A5" w:rsidRDefault="00000000">
      <w:pPr>
        <w:pStyle w:val="BodyText"/>
        <w:rPr>
          <w:rFonts w:ascii="Times New Roman" w:hAnsi="Times New Roman" w:cs="Times New Roman"/>
        </w:rPr>
      </w:pPr>
      <w:r w:rsidRPr="000829A5">
        <w:rPr>
          <w:rFonts w:ascii="Times New Roman" w:hAnsi="Times New Roman" w:cs="Times New Roman"/>
        </w:rPr>
        <w:t>The main contribution is therefore methodological and empirical: an auditable framework for distinguishing an attractive component result from a reliable forecasting improvement. For next-day SET direction, the evidence supports modest, architecture-dependent predictive structure rather than a universal high-accuracy model. Future claims should be strengthened through a frozen new architecture, longer prospective observation, and independent-market replication—not through additional selection on the already inspected 2022–2026 outcomes.</w:t>
      </w:r>
    </w:p>
    <w:p w14:paraId="48E05434" w14:textId="77777777" w:rsidR="00F14584" w:rsidRPr="000829A5" w:rsidRDefault="00000000">
      <w:pPr>
        <w:pStyle w:val="Heading1"/>
        <w:rPr>
          <w:rFonts w:ascii="Times New Roman" w:hAnsi="Times New Roman" w:cs="Times New Roman"/>
          <w:sz w:val="24"/>
          <w:szCs w:val="24"/>
        </w:rPr>
      </w:pPr>
      <w:bookmarkStart w:id="39" w:name="acknowledgements"/>
      <w:bookmarkEnd w:id="38"/>
      <w:r w:rsidRPr="000829A5">
        <w:rPr>
          <w:rFonts w:ascii="Times New Roman" w:hAnsi="Times New Roman" w:cs="Times New Roman"/>
          <w:sz w:val="24"/>
          <w:szCs w:val="24"/>
        </w:rPr>
        <w:t>Acknowledgements</w:t>
      </w:r>
    </w:p>
    <w:p w14:paraId="610B3D55" w14:textId="77777777" w:rsidR="00F14584" w:rsidRPr="000829A5" w:rsidRDefault="00000000">
      <w:pPr>
        <w:pStyle w:val="FirstParagraph"/>
        <w:rPr>
          <w:rFonts w:ascii="Times New Roman" w:hAnsi="Times New Roman" w:cs="Times New Roman"/>
        </w:rPr>
      </w:pPr>
      <w:r w:rsidRPr="000829A5">
        <w:rPr>
          <w:rFonts w:ascii="Times New Roman" w:hAnsi="Times New Roman" w:cs="Times New Roman"/>
        </w:rPr>
        <w:t>[Insert only the authors’ actual acknowledgements.]</w:t>
      </w:r>
    </w:p>
    <w:p w14:paraId="073CDC0B" w14:textId="77777777" w:rsidR="00F14584" w:rsidRPr="000829A5" w:rsidRDefault="00000000">
      <w:pPr>
        <w:pStyle w:val="Heading1"/>
        <w:rPr>
          <w:rFonts w:ascii="Times New Roman" w:hAnsi="Times New Roman" w:cs="Times New Roman"/>
          <w:sz w:val="24"/>
          <w:szCs w:val="24"/>
        </w:rPr>
      </w:pPr>
      <w:bookmarkStart w:id="40" w:name="X6650a9f10d28b9c1743b58a8c1de4a3148bcb5e"/>
      <w:bookmarkEnd w:id="39"/>
      <w:r w:rsidRPr="000829A5">
        <w:rPr>
          <w:rFonts w:ascii="Times New Roman" w:hAnsi="Times New Roman" w:cs="Times New Roman"/>
          <w:sz w:val="24"/>
          <w:szCs w:val="24"/>
        </w:rPr>
        <w:t>Submission fields to complete for the selected journal</w:t>
      </w:r>
    </w:p>
    <w:p w14:paraId="44D256A1" w14:textId="77777777" w:rsidR="00F14584" w:rsidRPr="000829A5" w:rsidRDefault="00000000">
      <w:pPr>
        <w:pStyle w:val="Compact"/>
        <w:numPr>
          <w:ilvl w:val="0"/>
          <w:numId w:val="5"/>
        </w:numPr>
        <w:rPr>
          <w:rFonts w:ascii="Times New Roman" w:hAnsi="Times New Roman" w:cs="Times New Roman"/>
        </w:rPr>
      </w:pPr>
      <w:r w:rsidRPr="000829A5">
        <w:rPr>
          <w:rFonts w:ascii="Times New Roman" w:hAnsi="Times New Roman" w:cs="Times New Roman"/>
        </w:rPr>
        <w:t>Author contributions: [to be completed from actual roles].</w:t>
      </w:r>
    </w:p>
    <w:p w14:paraId="54524703" w14:textId="77777777" w:rsidR="00F14584" w:rsidRPr="000829A5" w:rsidRDefault="00000000">
      <w:pPr>
        <w:pStyle w:val="Compact"/>
        <w:numPr>
          <w:ilvl w:val="0"/>
          <w:numId w:val="5"/>
        </w:numPr>
        <w:rPr>
          <w:rFonts w:ascii="Times New Roman" w:hAnsi="Times New Roman" w:cs="Times New Roman"/>
        </w:rPr>
      </w:pPr>
      <w:r w:rsidRPr="000829A5">
        <w:rPr>
          <w:rFonts w:ascii="Times New Roman" w:hAnsi="Times New Roman" w:cs="Times New Roman"/>
        </w:rPr>
        <w:t>Funding: [to be completed; do not state “none” unless verified].</w:t>
      </w:r>
    </w:p>
    <w:p w14:paraId="737B26D6" w14:textId="77777777" w:rsidR="00F14584" w:rsidRPr="000829A5" w:rsidRDefault="00000000">
      <w:pPr>
        <w:pStyle w:val="Compact"/>
        <w:numPr>
          <w:ilvl w:val="0"/>
          <w:numId w:val="5"/>
        </w:numPr>
        <w:rPr>
          <w:rFonts w:ascii="Times New Roman" w:hAnsi="Times New Roman" w:cs="Times New Roman"/>
        </w:rPr>
      </w:pPr>
      <w:r w:rsidRPr="000829A5">
        <w:rPr>
          <w:rFonts w:ascii="Times New Roman" w:hAnsi="Times New Roman" w:cs="Times New Roman"/>
        </w:rPr>
        <w:t>Competing interests: [to be completed according to the target journal].</w:t>
      </w:r>
    </w:p>
    <w:p w14:paraId="568DDD65" w14:textId="77777777" w:rsidR="00F14584" w:rsidRPr="000829A5" w:rsidRDefault="00000000">
      <w:pPr>
        <w:pStyle w:val="Compact"/>
        <w:numPr>
          <w:ilvl w:val="0"/>
          <w:numId w:val="5"/>
        </w:numPr>
        <w:rPr>
          <w:rFonts w:ascii="Times New Roman" w:hAnsi="Times New Roman" w:cs="Times New Roman"/>
        </w:rPr>
      </w:pPr>
      <w:r w:rsidRPr="000829A5">
        <w:rPr>
          <w:rFonts w:ascii="Times New Roman" w:hAnsi="Times New Roman" w:cs="Times New Roman"/>
        </w:rPr>
        <w:t>Corresponding author and ORCID identifiers: [to be completed].</w:t>
      </w:r>
    </w:p>
    <w:p w14:paraId="1B735D0F" w14:textId="77777777" w:rsidR="00F14584" w:rsidRPr="000829A5" w:rsidRDefault="00000000">
      <w:pPr>
        <w:pStyle w:val="Compact"/>
        <w:numPr>
          <w:ilvl w:val="0"/>
          <w:numId w:val="5"/>
        </w:numPr>
        <w:rPr>
          <w:rFonts w:ascii="Times New Roman" w:hAnsi="Times New Roman" w:cs="Times New Roman"/>
        </w:rPr>
      </w:pPr>
      <w:r w:rsidRPr="000829A5">
        <w:rPr>
          <w:rFonts w:ascii="Times New Roman" w:hAnsi="Times New Roman" w:cs="Times New Roman"/>
        </w:rPr>
        <w:t>Code-repository DOI or archival URL: [to be added after public-package release].</w:t>
      </w:r>
    </w:p>
    <w:p w14:paraId="33C5DB79" w14:textId="77777777" w:rsidR="00F14584" w:rsidRPr="000829A5" w:rsidRDefault="00000000">
      <w:pPr>
        <w:pStyle w:val="Heading1"/>
        <w:rPr>
          <w:rFonts w:ascii="Times New Roman" w:hAnsi="Times New Roman" w:cs="Times New Roman"/>
          <w:sz w:val="24"/>
          <w:szCs w:val="24"/>
        </w:rPr>
      </w:pPr>
      <w:bookmarkStart w:id="41" w:name="references"/>
      <w:bookmarkEnd w:id="40"/>
      <w:r w:rsidRPr="000829A5">
        <w:rPr>
          <w:rFonts w:ascii="Times New Roman" w:hAnsi="Times New Roman" w:cs="Times New Roman"/>
          <w:sz w:val="24"/>
          <w:szCs w:val="24"/>
        </w:rPr>
        <w:t>References</w:t>
      </w:r>
    </w:p>
    <w:p w14:paraId="48816E53" w14:textId="77777777" w:rsidR="00F14584" w:rsidRPr="000829A5" w:rsidRDefault="00000000">
      <w:pPr>
        <w:pStyle w:val="Bibliography"/>
        <w:rPr>
          <w:rFonts w:ascii="Times New Roman" w:hAnsi="Times New Roman" w:cs="Times New Roman"/>
        </w:rPr>
      </w:pPr>
      <w:bookmarkStart w:id="42" w:name="ref-adebayo2018sanity"/>
      <w:bookmarkStart w:id="43" w:name="refs"/>
      <w:r w:rsidRPr="000829A5">
        <w:rPr>
          <w:rFonts w:ascii="Times New Roman" w:hAnsi="Times New Roman" w:cs="Times New Roman"/>
        </w:rPr>
        <w:t xml:space="preserve">Adebayo, J., Gilmer, J., Muelly, M., Goodfellow, I., Hardt, M., &amp; Kim, B. (2018). Sanity checks for saliency maps. </w:t>
      </w:r>
      <w:r w:rsidRPr="000829A5">
        <w:rPr>
          <w:rFonts w:ascii="Times New Roman" w:hAnsi="Times New Roman" w:cs="Times New Roman"/>
          <w:i/>
          <w:iCs/>
        </w:rPr>
        <w:t>Advances in Neural Information Processing Systems</w:t>
      </w:r>
      <w:r w:rsidRPr="000829A5">
        <w:rPr>
          <w:rFonts w:ascii="Times New Roman" w:hAnsi="Times New Roman" w:cs="Times New Roman"/>
        </w:rPr>
        <w:t xml:space="preserve">, </w:t>
      </w:r>
      <w:r w:rsidRPr="000829A5">
        <w:rPr>
          <w:rFonts w:ascii="Times New Roman" w:hAnsi="Times New Roman" w:cs="Times New Roman"/>
          <w:i/>
          <w:iCs/>
        </w:rPr>
        <w:t>31</w:t>
      </w:r>
      <w:r w:rsidRPr="000829A5">
        <w:rPr>
          <w:rFonts w:ascii="Times New Roman" w:hAnsi="Times New Roman" w:cs="Times New Roman"/>
        </w:rPr>
        <w:t xml:space="preserve">. </w:t>
      </w:r>
      <w:hyperlink r:id="rId5">
        <w:r w:rsidRPr="000829A5">
          <w:rPr>
            <w:rStyle w:val="Hyperlink"/>
            <w:rFonts w:ascii="Times New Roman" w:hAnsi="Times New Roman" w:cs="Times New Roman"/>
          </w:rPr>
          <w:t>https://proceedings.neurips.cc/paper_files/paper/2018/hash/294a8ed24b1ad22ec2e7efea049b8737-Abstract.html</w:t>
        </w:r>
      </w:hyperlink>
    </w:p>
    <w:p w14:paraId="287236ED" w14:textId="77777777" w:rsidR="00F14584" w:rsidRPr="000829A5" w:rsidRDefault="00000000">
      <w:pPr>
        <w:pStyle w:val="Bibliography"/>
        <w:rPr>
          <w:rFonts w:ascii="Times New Roman" w:hAnsi="Times New Roman" w:cs="Times New Roman"/>
        </w:rPr>
      </w:pPr>
      <w:bookmarkStart w:id="44" w:name="ref-arnott2019backtest"/>
      <w:bookmarkEnd w:id="42"/>
      <w:r w:rsidRPr="000829A5">
        <w:rPr>
          <w:rFonts w:ascii="Times New Roman" w:hAnsi="Times New Roman" w:cs="Times New Roman"/>
        </w:rPr>
        <w:t xml:space="preserve">Arnott, R. D., Harvey, C. R., &amp; Markowitz, H. (2019). A backtesting protocol in the era of machine learning. </w:t>
      </w:r>
      <w:r w:rsidRPr="000829A5">
        <w:rPr>
          <w:rFonts w:ascii="Times New Roman" w:hAnsi="Times New Roman" w:cs="Times New Roman"/>
          <w:i/>
          <w:iCs/>
        </w:rPr>
        <w:t>The Journal of Financial Data Science</w:t>
      </w:r>
      <w:r w:rsidRPr="000829A5">
        <w:rPr>
          <w:rFonts w:ascii="Times New Roman" w:hAnsi="Times New Roman" w:cs="Times New Roman"/>
        </w:rPr>
        <w:t xml:space="preserve">, </w:t>
      </w:r>
      <w:r w:rsidRPr="000829A5">
        <w:rPr>
          <w:rFonts w:ascii="Times New Roman" w:hAnsi="Times New Roman" w:cs="Times New Roman"/>
          <w:i/>
          <w:iCs/>
        </w:rPr>
        <w:t>1</w:t>
      </w:r>
      <w:r w:rsidRPr="000829A5">
        <w:rPr>
          <w:rFonts w:ascii="Times New Roman" w:hAnsi="Times New Roman" w:cs="Times New Roman"/>
        </w:rPr>
        <w:t xml:space="preserve">(1), 64–74. </w:t>
      </w:r>
      <w:hyperlink r:id="rId6">
        <w:r w:rsidRPr="000829A5">
          <w:rPr>
            <w:rStyle w:val="Hyperlink"/>
            <w:rFonts w:ascii="Times New Roman" w:hAnsi="Times New Roman" w:cs="Times New Roman"/>
          </w:rPr>
          <w:t>https://doi.org/10.3905/jfds.2019.1.064</w:t>
        </w:r>
      </w:hyperlink>
    </w:p>
    <w:p w14:paraId="40B1F498" w14:textId="77777777" w:rsidR="00F14584" w:rsidRPr="000829A5" w:rsidRDefault="00000000">
      <w:pPr>
        <w:pStyle w:val="Bibliography"/>
        <w:rPr>
          <w:rFonts w:ascii="Times New Roman" w:hAnsi="Times New Roman" w:cs="Times New Roman"/>
        </w:rPr>
      </w:pPr>
      <w:bookmarkStart w:id="45" w:name="ref-bailey2014dsr"/>
      <w:bookmarkEnd w:id="44"/>
      <w:r w:rsidRPr="000829A5">
        <w:rPr>
          <w:rFonts w:ascii="Times New Roman" w:hAnsi="Times New Roman" w:cs="Times New Roman"/>
        </w:rPr>
        <w:t xml:space="preserve">Bailey, D. H., &amp; López de Prado, M. (2014). The deflated sharpe ratio: Correcting for selection bias, backtest overfitting, and non-normality. </w:t>
      </w:r>
      <w:r w:rsidRPr="000829A5">
        <w:rPr>
          <w:rFonts w:ascii="Times New Roman" w:hAnsi="Times New Roman" w:cs="Times New Roman"/>
          <w:i/>
          <w:iCs/>
        </w:rPr>
        <w:t>The Journal of Portfolio Management</w:t>
      </w:r>
      <w:r w:rsidRPr="000829A5">
        <w:rPr>
          <w:rFonts w:ascii="Times New Roman" w:hAnsi="Times New Roman" w:cs="Times New Roman"/>
        </w:rPr>
        <w:t xml:space="preserve">, </w:t>
      </w:r>
      <w:r w:rsidRPr="000829A5">
        <w:rPr>
          <w:rFonts w:ascii="Times New Roman" w:hAnsi="Times New Roman" w:cs="Times New Roman"/>
          <w:i/>
          <w:iCs/>
        </w:rPr>
        <w:t>40</w:t>
      </w:r>
      <w:r w:rsidRPr="000829A5">
        <w:rPr>
          <w:rFonts w:ascii="Times New Roman" w:hAnsi="Times New Roman" w:cs="Times New Roman"/>
        </w:rPr>
        <w:t xml:space="preserve">(5), 94–107. </w:t>
      </w:r>
      <w:hyperlink r:id="rId7">
        <w:r w:rsidRPr="000829A5">
          <w:rPr>
            <w:rStyle w:val="Hyperlink"/>
            <w:rFonts w:ascii="Times New Roman" w:hAnsi="Times New Roman" w:cs="Times New Roman"/>
          </w:rPr>
          <w:t>https://doi.org/10.3905/jpm.2014.40.5.094</w:t>
        </w:r>
      </w:hyperlink>
    </w:p>
    <w:p w14:paraId="0601448A" w14:textId="77777777" w:rsidR="00F14584" w:rsidRPr="000829A5" w:rsidRDefault="00000000">
      <w:pPr>
        <w:pStyle w:val="Bibliography"/>
        <w:rPr>
          <w:rFonts w:ascii="Times New Roman" w:hAnsi="Times New Roman" w:cs="Times New Roman"/>
        </w:rPr>
      </w:pPr>
      <w:bookmarkStart w:id="46" w:name="ref-bergmeir2018cv"/>
      <w:bookmarkEnd w:id="45"/>
      <w:r w:rsidRPr="000829A5">
        <w:rPr>
          <w:rFonts w:ascii="Times New Roman" w:hAnsi="Times New Roman" w:cs="Times New Roman"/>
        </w:rPr>
        <w:lastRenderedPageBreak/>
        <w:t xml:space="preserve">Bergmeir, C., Hyndman, R. J., &amp; Koo, B. (2018). A note on the validity of cross-validation for evaluating autoregressive time series prediction. </w:t>
      </w:r>
      <w:r w:rsidRPr="000829A5">
        <w:rPr>
          <w:rFonts w:ascii="Times New Roman" w:hAnsi="Times New Roman" w:cs="Times New Roman"/>
          <w:i/>
          <w:iCs/>
        </w:rPr>
        <w:t>Computational Statistics &amp; Data Analysis</w:t>
      </w:r>
      <w:r w:rsidRPr="000829A5">
        <w:rPr>
          <w:rFonts w:ascii="Times New Roman" w:hAnsi="Times New Roman" w:cs="Times New Roman"/>
        </w:rPr>
        <w:t xml:space="preserve">, </w:t>
      </w:r>
      <w:r w:rsidRPr="000829A5">
        <w:rPr>
          <w:rFonts w:ascii="Times New Roman" w:hAnsi="Times New Roman" w:cs="Times New Roman"/>
          <w:i/>
          <w:iCs/>
        </w:rPr>
        <w:t>120</w:t>
      </w:r>
      <w:r w:rsidRPr="000829A5">
        <w:rPr>
          <w:rFonts w:ascii="Times New Roman" w:hAnsi="Times New Roman" w:cs="Times New Roman"/>
        </w:rPr>
        <w:t xml:space="preserve">, 70–83. </w:t>
      </w:r>
      <w:hyperlink r:id="rId8">
        <w:r w:rsidRPr="000829A5">
          <w:rPr>
            <w:rStyle w:val="Hyperlink"/>
            <w:rFonts w:ascii="Times New Roman" w:hAnsi="Times New Roman" w:cs="Times New Roman"/>
          </w:rPr>
          <w:t>https://doi.org/10.1016/j.csda.2017.11.003</w:t>
        </w:r>
      </w:hyperlink>
    </w:p>
    <w:p w14:paraId="79AF0306" w14:textId="77777777" w:rsidR="00F14584" w:rsidRPr="000829A5" w:rsidRDefault="00000000">
      <w:pPr>
        <w:pStyle w:val="Bibliography"/>
        <w:rPr>
          <w:rFonts w:ascii="Times New Roman" w:hAnsi="Times New Roman" w:cs="Times New Roman"/>
        </w:rPr>
      </w:pPr>
      <w:bookmarkStart w:id="47" w:name="ref-blasco2024uncertainty"/>
      <w:bookmarkEnd w:id="46"/>
      <w:r w:rsidRPr="000829A5">
        <w:rPr>
          <w:rFonts w:ascii="Times New Roman" w:hAnsi="Times New Roman" w:cs="Times New Roman"/>
        </w:rPr>
        <w:t xml:space="preserve">Blasco, T., Sánchez, J. S., &amp; García, V. (2024). A survey on uncertainty quantification in deep learning for financial time series prediction. </w:t>
      </w:r>
      <w:r w:rsidRPr="000829A5">
        <w:rPr>
          <w:rFonts w:ascii="Times New Roman" w:hAnsi="Times New Roman" w:cs="Times New Roman"/>
          <w:i/>
          <w:iCs/>
        </w:rPr>
        <w:t>Neurocomputing</w:t>
      </w:r>
      <w:r w:rsidRPr="000829A5">
        <w:rPr>
          <w:rFonts w:ascii="Times New Roman" w:hAnsi="Times New Roman" w:cs="Times New Roman"/>
        </w:rPr>
        <w:t xml:space="preserve">, </w:t>
      </w:r>
      <w:r w:rsidRPr="000829A5">
        <w:rPr>
          <w:rFonts w:ascii="Times New Roman" w:hAnsi="Times New Roman" w:cs="Times New Roman"/>
          <w:i/>
          <w:iCs/>
        </w:rPr>
        <w:t>576</w:t>
      </w:r>
      <w:r w:rsidRPr="000829A5">
        <w:rPr>
          <w:rFonts w:ascii="Times New Roman" w:hAnsi="Times New Roman" w:cs="Times New Roman"/>
        </w:rPr>
        <w:t xml:space="preserve">, 127339. </w:t>
      </w:r>
      <w:hyperlink r:id="rId9">
        <w:r w:rsidRPr="000829A5">
          <w:rPr>
            <w:rStyle w:val="Hyperlink"/>
            <w:rFonts w:ascii="Times New Roman" w:hAnsi="Times New Roman" w:cs="Times New Roman"/>
          </w:rPr>
          <w:t>https://doi.org/10.1016/j.neucom.2024.127339</w:t>
        </w:r>
      </w:hyperlink>
    </w:p>
    <w:p w14:paraId="4A13F36B" w14:textId="77777777" w:rsidR="00F14584" w:rsidRPr="000829A5" w:rsidRDefault="00000000">
      <w:pPr>
        <w:pStyle w:val="Bibliography"/>
        <w:rPr>
          <w:rFonts w:ascii="Times New Roman" w:hAnsi="Times New Roman" w:cs="Times New Roman"/>
        </w:rPr>
      </w:pPr>
      <w:bookmarkStart w:id="48" w:name="ref-brodersen2010balanced"/>
      <w:bookmarkEnd w:id="47"/>
      <w:r w:rsidRPr="000829A5">
        <w:rPr>
          <w:rFonts w:ascii="Times New Roman" w:hAnsi="Times New Roman" w:cs="Times New Roman"/>
        </w:rPr>
        <w:t xml:space="preserve">Brodersen, K. H., Ong, C. S., Stephan, K. E., &amp; Buhmann, J. M. (2010). The balanced accuracy and its posterior distribution. </w:t>
      </w:r>
      <w:r w:rsidRPr="000829A5">
        <w:rPr>
          <w:rFonts w:ascii="Times New Roman" w:hAnsi="Times New Roman" w:cs="Times New Roman"/>
          <w:i/>
          <w:iCs/>
        </w:rPr>
        <w:t>2010 20th International Conference on Pattern Recognition</w:t>
      </w:r>
      <w:r w:rsidRPr="000829A5">
        <w:rPr>
          <w:rFonts w:ascii="Times New Roman" w:hAnsi="Times New Roman" w:cs="Times New Roman"/>
        </w:rPr>
        <w:t xml:space="preserve">, 3121–3124. </w:t>
      </w:r>
      <w:hyperlink r:id="rId10">
        <w:r w:rsidRPr="000829A5">
          <w:rPr>
            <w:rStyle w:val="Hyperlink"/>
            <w:rFonts w:ascii="Times New Roman" w:hAnsi="Times New Roman" w:cs="Times New Roman"/>
          </w:rPr>
          <w:t>https://doi.org/10.1109/ICPR.2010.764</w:t>
        </w:r>
      </w:hyperlink>
    </w:p>
    <w:p w14:paraId="7A6E1B9F" w14:textId="77777777" w:rsidR="00F14584" w:rsidRPr="000829A5" w:rsidRDefault="00000000">
      <w:pPr>
        <w:pStyle w:val="Bibliography"/>
        <w:rPr>
          <w:rFonts w:ascii="Times New Roman" w:hAnsi="Times New Roman" w:cs="Times New Roman"/>
        </w:rPr>
      </w:pPr>
      <w:bookmarkStart w:id="49" w:name="ref-dong2025financeagents"/>
      <w:bookmarkEnd w:id="48"/>
      <w:r w:rsidRPr="000829A5">
        <w:rPr>
          <w:rFonts w:ascii="Times New Roman" w:hAnsi="Times New Roman" w:cs="Times New Roman"/>
        </w:rPr>
        <w:t xml:space="preserve">Dong, Y., Wu, F., Zhang, K., Dai, Y., Zhang, S., Ye, W., Chen, S., &amp; Cheng, Z.-Q. (2025). Large language model agents in finance: A survey bridging research, practice, and real-world deployment. </w:t>
      </w:r>
      <w:r w:rsidRPr="000829A5">
        <w:rPr>
          <w:rFonts w:ascii="Times New Roman" w:hAnsi="Times New Roman" w:cs="Times New Roman"/>
          <w:i/>
          <w:iCs/>
        </w:rPr>
        <w:t>Findings of the Association for Computational Linguistics: EMNLP 2025</w:t>
      </w:r>
      <w:r w:rsidRPr="000829A5">
        <w:rPr>
          <w:rFonts w:ascii="Times New Roman" w:hAnsi="Times New Roman" w:cs="Times New Roman"/>
        </w:rPr>
        <w:t xml:space="preserve">, 17889–17907. </w:t>
      </w:r>
      <w:hyperlink r:id="rId11">
        <w:r w:rsidRPr="000829A5">
          <w:rPr>
            <w:rStyle w:val="Hyperlink"/>
            <w:rFonts w:ascii="Times New Roman" w:hAnsi="Times New Roman" w:cs="Times New Roman"/>
          </w:rPr>
          <w:t>https://doi.org/10.18653/v1/2025.findings-emnlp.972</w:t>
        </w:r>
      </w:hyperlink>
    </w:p>
    <w:p w14:paraId="6D26951A" w14:textId="77777777" w:rsidR="00F14584" w:rsidRPr="000829A5" w:rsidRDefault="00000000">
      <w:pPr>
        <w:pStyle w:val="Bibliography"/>
        <w:rPr>
          <w:rFonts w:ascii="Times New Roman" w:hAnsi="Times New Roman" w:cs="Times New Roman"/>
        </w:rPr>
      </w:pPr>
      <w:bookmarkStart w:id="50" w:name="ref-dragomiretskiy2014vmd"/>
      <w:bookmarkEnd w:id="49"/>
      <w:r w:rsidRPr="000829A5">
        <w:rPr>
          <w:rFonts w:ascii="Times New Roman" w:hAnsi="Times New Roman" w:cs="Times New Roman"/>
        </w:rPr>
        <w:t xml:space="preserve">Dragomiretskiy, K., &amp; Zosso, D. (2014). Variational mode decomposition. </w:t>
      </w:r>
      <w:r w:rsidRPr="000829A5">
        <w:rPr>
          <w:rFonts w:ascii="Times New Roman" w:hAnsi="Times New Roman" w:cs="Times New Roman"/>
          <w:i/>
          <w:iCs/>
        </w:rPr>
        <w:t>IEEE Transactions on Signal Processing</w:t>
      </w:r>
      <w:r w:rsidRPr="000829A5">
        <w:rPr>
          <w:rFonts w:ascii="Times New Roman" w:hAnsi="Times New Roman" w:cs="Times New Roman"/>
        </w:rPr>
        <w:t xml:space="preserve">, </w:t>
      </w:r>
      <w:r w:rsidRPr="000829A5">
        <w:rPr>
          <w:rFonts w:ascii="Times New Roman" w:hAnsi="Times New Roman" w:cs="Times New Roman"/>
          <w:i/>
          <w:iCs/>
        </w:rPr>
        <w:t>62</w:t>
      </w:r>
      <w:r w:rsidRPr="000829A5">
        <w:rPr>
          <w:rFonts w:ascii="Times New Roman" w:hAnsi="Times New Roman" w:cs="Times New Roman"/>
        </w:rPr>
        <w:t xml:space="preserve">(3), 531–544. </w:t>
      </w:r>
      <w:hyperlink r:id="rId12">
        <w:r w:rsidRPr="000829A5">
          <w:rPr>
            <w:rStyle w:val="Hyperlink"/>
            <w:rFonts w:ascii="Times New Roman" w:hAnsi="Times New Roman" w:cs="Times New Roman"/>
          </w:rPr>
          <w:t>https://doi.org/10.1109/TSP.2013.2288675</w:t>
        </w:r>
      </w:hyperlink>
    </w:p>
    <w:p w14:paraId="7C32E779" w14:textId="77777777" w:rsidR="00F14584" w:rsidRPr="000829A5" w:rsidRDefault="00000000">
      <w:pPr>
        <w:pStyle w:val="Bibliography"/>
        <w:rPr>
          <w:rFonts w:ascii="Times New Roman" w:hAnsi="Times New Roman" w:cs="Times New Roman"/>
        </w:rPr>
      </w:pPr>
      <w:bookmarkStart w:id="51" w:name="ref-du2024debate"/>
      <w:bookmarkEnd w:id="50"/>
      <w:r w:rsidRPr="000829A5">
        <w:rPr>
          <w:rFonts w:ascii="Times New Roman" w:hAnsi="Times New Roman" w:cs="Times New Roman"/>
        </w:rPr>
        <w:t xml:space="preserve">Du, Y., Li, S., Torralba, A., Tenenbaum, J. B., &amp; Mordatch, I. (2024). Improving factuality and reasoning in language models through multiagent debate. </w:t>
      </w:r>
      <w:r w:rsidRPr="000829A5">
        <w:rPr>
          <w:rFonts w:ascii="Times New Roman" w:hAnsi="Times New Roman" w:cs="Times New Roman"/>
          <w:i/>
          <w:iCs/>
        </w:rPr>
        <w:t>Proceedings of the 41st International Conference on Machine Learning, Proceedings of Machine Learning Research</w:t>
      </w:r>
      <w:r w:rsidRPr="000829A5">
        <w:rPr>
          <w:rFonts w:ascii="Times New Roman" w:hAnsi="Times New Roman" w:cs="Times New Roman"/>
        </w:rPr>
        <w:t xml:space="preserve">, </w:t>
      </w:r>
      <w:r w:rsidRPr="000829A5">
        <w:rPr>
          <w:rFonts w:ascii="Times New Roman" w:hAnsi="Times New Roman" w:cs="Times New Roman"/>
          <w:i/>
          <w:iCs/>
        </w:rPr>
        <w:t>235</w:t>
      </w:r>
      <w:r w:rsidRPr="000829A5">
        <w:rPr>
          <w:rFonts w:ascii="Times New Roman" w:hAnsi="Times New Roman" w:cs="Times New Roman"/>
        </w:rPr>
        <w:t xml:space="preserve">, 11733–11763. </w:t>
      </w:r>
      <w:hyperlink r:id="rId13">
        <w:r w:rsidRPr="000829A5">
          <w:rPr>
            <w:rStyle w:val="Hyperlink"/>
            <w:rFonts w:ascii="Times New Roman" w:hAnsi="Times New Roman" w:cs="Times New Roman"/>
          </w:rPr>
          <w:t>https://proceedings.mlr.press/v235/du24e.html</w:t>
        </w:r>
      </w:hyperlink>
    </w:p>
    <w:p w14:paraId="47E715DA" w14:textId="77777777" w:rsidR="00F14584" w:rsidRPr="000829A5" w:rsidRDefault="00000000">
      <w:pPr>
        <w:pStyle w:val="Bibliography"/>
        <w:rPr>
          <w:rFonts w:ascii="Times New Roman" w:hAnsi="Times New Roman" w:cs="Times New Roman"/>
        </w:rPr>
      </w:pPr>
      <w:bookmarkStart w:id="52" w:name="ref-fama1970efficient"/>
      <w:bookmarkEnd w:id="51"/>
      <w:r w:rsidRPr="000829A5">
        <w:rPr>
          <w:rFonts w:ascii="Times New Roman" w:hAnsi="Times New Roman" w:cs="Times New Roman"/>
        </w:rPr>
        <w:t xml:space="preserve">Fama, E. F. (1970). Efficient capital markets: A review of theory and empirical work. </w:t>
      </w:r>
      <w:r w:rsidRPr="000829A5">
        <w:rPr>
          <w:rFonts w:ascii="Times New Roman" w:hAnsi="Times New Roman" w:cs="Times New Roman"/>
          <w:i/>
          <w:iCs/>
        </w:rPr>
        <w:t>The Journal of Finance</w:t>
      </w:r>
      <w:r w:rsidRPr="000829A5">
        <w:rPr>
          <w:rFonts w:ascii="Times New Roman" w:hAnsi="Times New Roman" w:cs="Times New Roman"/>
        </w:rPr>
        <w:t xml:space="preserve">, </w:t>
      </w:r>
      <w:r w:rsidRPr="000829A5">
        <w:rPr>
          <w:rFonts w:ascii="Times New Roman" w:hAnsi="Times New Roman" w:cs="Times New Roman"/>
          <w:i/>
          <w:iCs/>
        </w:rPr>
        <w:t>25</w:t>
      </w:r>
      <w:r w:rsidRPr="000829A5">
        <w:rPr>
          <w:rFonts w:ascii="Times New Roman" w:hAnsi="Times New Roman" w:cs="Times New Roman"/>
        </w:rPr>
        <w:t xml:space="preserve">(2), 383–417. </w:t>
      </w:r>
      <w:hyperlink r:id="rId14">
        <w:r w:rsidRPr="000829A5">
          <w:rPr>
            <w:rStyle w:val="Hyperlink"/>
            <w:rFonts w:ascii="Times New Roman" w:hAnsi="Times New Roman" w:cs="Times New Roman"/>
          </w:rPr>
          <w:t>https://doi.org/10.1111/j.1540-6261.1970.tb00518.x</w:t>
        </w:r>
      </w:hyperlink>
    </w:p>
    <w:p w14:paraId="073E20A5" w14:textId="77777777" w:rsidR="00F14584" w:rsidRPr="000829A5" w:rsidRDefault="00000000">
      <w:pPr>
        <w:pStyle w:val="Bibliography"/>
        <w:rPr>
          <w:rFonts w:ascii="Times New Roman" w:hAnsi="Times New Roman" w:cs="Times New Roman"/>
        </w:rPr>
      </w:pPr>
      <w:bookmarkStart w:id="53" w:name="ref-fischer2018lstmfinance"/>
      <w:bookmarkEnd w:id="52"/>
      <w:r w:rsidRPr="000829A5">
        <w:rPr>
          <w:rFonts w:ascii="Times New Roman" w:hAnsi="Times New Roman" w:cs="Times New Roman"/>
        </w:rPr>
        <w:t xml:space="preserve">Fischer, T., &amp; Krauss, C. (2018). Deep learning with long short-term memory networks for financial market predictions. </w:t>
      </w:r>
      <w:r w:rsidRPr="000829A5">
        <w:rPr>
          <w:rFonts w:ascii="Times New Roman" w:hAnsi="Times New Roman" w:cs="Times New Roman"/>
          <w:i/>
          <w:iCs/>
        </w:rPr>
        <w:t>European Journal of Operational Research</w:t>
      </w:r>
      <w:r w:rsidRPr="000829A5">
        <w:rPr>
          <w:rFonts w:ascii="Times New Roman" w:hAnsi="Times New Roman" w:cs="Times New Roman"/>
        </w:rPr>
        <w:t xml:space="preserve">, </w:t>
      </w:r>
      <w:r w:rsidRPr="000829A5">
        <w:rPr>
          <w:rFonts w:ascii="Times New Roman" w:hAnsi="Times New Roman" w:cs="Times New Roman"/>
          <w:i/>
          <w:iCs/>
        </w:rPr>
        <w:t>270</w:t>
      </w:r>
      <w:r w:rsidRPr="000829A5">
        <w:rPr>
          <w:rFonts w:ascii="Times New Roman" w:hAnsi="Times New Roman" w:cs="Times New Roman"/>
        </w:rPr>
        <w:t xml:space="preserve">(2), 654–669. </w:t>
      </w:r>
      <w:hyperlink r:id="rId15">
        <w:r w:rsidRPr="000829A5">
          <w:rPr>
            <w:rStyle w:val="Hyperlink"/>
            <w:rFonts w:ascii="Times New Roman" w:hAnsi="Times New Roman" w:cs="Times New Roman"/>
          </w:rPr>
          <w:t>https://doi.org/10.1016/j.ejor.2017.11.054</w:t>
        </w:r>
      </w:hyperlink>
    </w:p>
    <w:p w14:paraId="75770240" w14:textId="77777777" w:rsidR="00F14584" w:rsidRPr="000829A5" w:rsidRDefault="00000000">
      <w:pPr>
        <w:pStyle w:val="Bibliography"/>
        <w:rPr>
          <w:rFonts w:ascii="Times New Roman" w:hAnsi="Times New Roman" w:cs="Times New Roman"/>
        </w:rPr>
      </w:pPr>
      <w:bookmarkStart w:id="54" w:name="ref-hochreiter1997lstm"/>
      <w:bookmarkEnd w:id="53"/>
      <w:r w:rsidRPr="000829A5">
        <w:rPr>
          <w:rFonts w:ascii="Times New Roman" w:hAnsi="Times New Roman" w:cs="Times New Roman"/>
        </w:rPr>
        <w:t xml:space="preserve">Hochreiter, S., &amp; Schmidhuber, J. (1997). Long short-term memory. </w:t>
      </w:r>
      <w:r w:rsidRPr="000829A5">
        <w:rPr>
          <w:rFonts w:ascii="Times New Roman" w:hAnsi="Times New Roman" w:cs="Times New Roman"/>
          <w:i/>
          <w:iCs/>
        </w:rPr>
        <w:t>Neural Computation</w:t>
      </w:r>
      <w:r w:rsidRPr="000829A5">
        <w:rPr>
          <w:rFonts w:ascii="Times New Roman" w:hAnsi="Times New Roman" w:cs="Times New Roman"/>
        </w:rPr>
        <w:t xml:space="preserve">, </w:t>
      </w:r>
      <w:r w:rsidRPr="000829A5">
        <w:rPr>
          <w:rFonts w:ascii="Times New Roman" w:hAnsi="Times New Roman" w:cs="Times New Roman"/>
          <w:i/>
          <w:iCs/>
        </w:rPr>
        <w:t>9</w:t>
      </w:r>
      <w:r w:rsidRPr="000829A5">
        <w:rPr>
          <w:rFonts w:ascii="Times New Roman" w:hAnsi="Times New Roman" w:cs="Times New Roman"/>
        </w:rPr>
        <w:t xml:space="preserve">(8), 1735–1780. </w:t>
      </w:r>
      <w:hyperlink r:id="rId16">
        <w:r w:rsidRPr="000829A5">
          <w:rPr>
            <w:rStyle w:val="Hyperlink"/>
            <w:rFonts w:ascii="Times New Roman" w:hAnsi="Times New Roman" w:cs="Times New Roman"/>
          </w:rPr>
          <w:t>https://doi.org/10.1162/neco.1997.9.8.1735</w:t>
        </w:r>
      </w:hyperlink>
    </w:p>
    <w:p w14:paraId="719E46CF" w14:textId="77777777" w:rsidR="00F14584" w:rsidRPr="000829A5" w:rsidRDefault="00000000">
      <w:pPr>
        <w:pStyle w:val="Bibliography"/>
        <w:rPr>
          <w:rFonts w:ascii="Times New Roman" w:hAnsi="Times New Roman" w:cs="Times New Roman"/>
        </w:rPr>
      </w:pPr>
      <w:bookmarkStart w:id="55" w:name="ref-holm1979procedure"/>
      <w:bookmarkEnd w:id="54"/>
      <w:r w:rsidRPr="000829A5">
        <w:rPr>
          <w:rFonts w:ascii="Times New Roman" w:hAnsi="Times New Roman" w:cs="Times New Roman"/>
        </w:rPr>
        <w:t xml:space="preserve">Holm, S. (1979). A simple sequentially rejective multiple test procedure. </w:t>
      </w:r>
      <w:r w:rsidRPr="000829A5">
        <w:rPr>
          <w:rFonts w:ascii="Times New Roman" w:hAnsi="Times New Roman" w:cs="Times New Roman"/>
          <w:i/>
          <w:iCs/>
        </w:rPr>
        <w:t>Scandinavian Journal of Statistics</w:t>
      </w:r>
      <w:r w:rsidRPr="000829A5">
        <w:rPr>
          <w:rFonts w:ascii="Times New Roman" w:hAnsi="Times New Roman" w:cs="Times New Roman"/>
        </w:rPr>
        <w:t xml:space="preserve">, </w:t>
      </w:r>
      <w:r w:rsidRPr="000829A5">
        <w:rPr>
          <w:rFonts w:ascii="Times New Roman" w:hAnsi="Times New Roman" w:cs="Times New Roman"/>
          <w:i/>
          <w:iCs/>
        </w:rPr>
        <w:t>6</w:t>
      </w:r>
      <w:r w:rsidRPr="000829A5">
        <w:rPr>
          <w:rFonts w:ascii="Times New Roman" w:hAnsi="Times New Roman" w:cs="Times New Roman"/>
        </w:rPr>
        <w:t xml:space="preserve">(2), 65–70. </w:t>
      </w:r>
      <w:hyperlink r:id="rId17">
        <w:r w:rsidRPr="000829A5">
          <w:rPr>
            <w:rStyle w:val="Hyperlink"/>
            <w:rFonts w:ascii="Times New Roman" w:hAnsi="Times New Roman" w:cs="Times New Roman"/>
          </w:rPr>
          <w:t>https://www.jstor.org/stable/4615733</w:t>
        </w:r>
      </w:hyperlink>
    </w:p>
    <w:p w14:paraId="600F7340" w14:textId="77777777" w:rsidR="00F14584" w:rsidRPr="000829A5" w:rsidRDefault="00000000">
      <w:pPr>
        <w:pStyle w:val="Bibliography"/>
        <w:rPr>
          <w:rFonts w:ascii="Times New Roman" w:hAnsi="Times New Roman" w:cs="Times New Roman"/>
        </w:rPr>
      </w:pPr>
      <w:bookmarkStart w:id="56" w:name="ref-hoseinzade2019cnnpred"/>
      <w:bookmarkEnd w:id="55"/>
      <w:r w:rsidRPr="000829A5">
        <w:rPr>
          <w:rFonts w:ascii="Times New Roman" w:hAnsi="Times New Roman" w:cs="Times New Roman"/>
        </w:rPr>
        <w:t xml:space="preserve">Hoseinzade, E., &amp; Haratizadeh, S. (2019). CNNpred: CNN-based stock market prediction using a diverse set of variables. </w:t>
      </w:r>
      <w:r w:rsidRPr="000829A5">
        <w:rPr>
          <w:rFonts w:ascii="Times New Roman" w:hAnsi="Times New Roman" w:cs="Times New Roman"/>
          <w:i/>
          <w:iCs/>
        </w:rPr>
        <w:t>Expert Systems with Applications</w:t>
      </w:r>
      <w:r w:rsidRPr="000829A5">
        <w:rPr>
          <w:rFonts w:ascii="Times New Roman" w:hAnsi="Times New Roman" w:cs="Times New Roman"/>
        </w:rPr>
        <w:t xml:space="preserve">, </w:t>
      </w:r>
      <w:r w:rsidRPr="000829A5">
        <w:rPr>
          <w:rFonts w:ascii="Times New Roman" w:hAnsi="Times New Roman" w:cs="Times New Roman"/>
          <w:i/>
          <w:iCs/>
        </w:rPr>
        <w:t>129</w:t>
      </w:r>
      <w:r w:rsidRPr="000829A5">
        <w:rPr>
          <w:rFonts w:ascii="Times New Roman" w:hAnsi="Times New Roman" w:cs="Times New Roman"/>
        </w:rPr>
        <w:t xml:space="preserve">, 273–285. </w:t>
      </w:r>
      <w:hyperlink r:id="rId18">
        <w:r w:rsidRPr="000829A5">
          <w:rPr>
            <w:rStyle w:val="Hyperlink"/>
            <w:rFonts w:ascii="Times New Roman" w:hAnsi="Times New Roman" w:cs="Times New Roman"/>
          </w:rPr>
          <w:t>https://doi.org/10.1016/j.eswa.2019.03.029</w:t>
        </w:r>
      </w:hyperlink>
    </w:p>
    <w:p w14:paraId="4BC5486C" w14:textId="77777777" w:rsidR="00F14584" w:rsidRPr="000829A5" w:rsidRDefault="00000000">
      <w:pPr>
        <w:pStyle w:val="Bibliography"/>
        <w:rPr>
          <w:rFonts w:ascii="Times New Roman" w:hAnsi="Times New Roman" w:cs="Times New Roman"/>
        </w:rPr>
      </w:pPr>
      <w:bookmarkStart w:id="57" w:name="ref-investingSet100"/>
      <w:bookmarkEnd w:id="56"/>
      <w:r w:rsidRPr="000829A5">
        <w:rPr>
          <w:rFonts w:ascii="Times New Roman" w:hAnsi="Times New Roman" w:cs="Times New Roman"/>
        </w:rPr>
        <w:t xml:space="preserve">Investing.com. (n.d.-a). </w:t>
      </w:r>
      <w:r w:rsidRPr="000829A5">
        <w:rPr>
          <w:rFonts w:ascii="Times New Roman" w:hAnsi="Times New Roman" w:cs="Times New Roman"/>
          <w:i/>
          <w:iCs/>
        </w:rPr>
        <w:t>SET 100 Historical Data</w:t>
      </w:r>
      <w:r w:rsidRPr="000829A5">
        <w:rPr>
          <w:rFonts w:ascii="Times New Roman" w:hAnsi="Times New Roman" w:cs="Times New Roman"/>
        </w:rPr>
        <w:t xml:space="preserve">. </w:t>
      </w:r>
      <w:proofErr w:type="gramStart"/>
      <w:r w:rsidRPr="000829A5">
        <w:rPr>
          <w:rFonts w:ascii="Times New Roman" w:hAnsi="Times New Roman" w:cs="Times New Roman"/>
        </w:rPr>
        <w:t>Historical-data</w:t>
      </w:r>
      <w:proofErr w:type="gramEnd"/>
      <w:r w:rsidRPr="000829A5">
        <w:rPr>
          <w:rFonts w:ascii="Times New Roman" w:hAnsi="Times New Roman" w:cs="Times New Roman"/>
        </w:rPr>
        <w:t xml:space="preserve"> webpage. Retrieved </w:t>
      </w:r>
      <w:hyperlink r:id="rId19">
        <w:r w:rsidRPr="000829A5">
          <w:rPr>
            <w:rStyle w:val="Hyperlink"/>
            <w:rFonts w:ascii="Times New Roman" w:hAnsi="Times New Roman" w:cs="Times New Roman"/>
          </w:rPr>
          <w:t>https://www.investing.com/indices/set-100-historical-data</w:t>
        </w:r>
      </w:hyperlink>
    </w:p>
    <w:p w14:paraId="6A783FD5" w14:textId="77777777" w:rsidR="00F14584" w:rsidRPr="000829A5" w:rsidRDefault="00000000">
      <w:pPr>
        <w:pStyle w:val="Bibliography"/>
        <w:rPr>
          <w:rFonts w:ascii="Times New Roman" w:hAnsi="Times New Roman" w:cs="Times New Roman"/>
        </w:rPr>
      </w:pPr>
      <w:bookmarkStart w:id="58" w:name="ref-investingSet50"/>
      <w:bookmarkEnd w:id="57"/>
      <w:r w:rsidRPr="000829A5">
        <w:rPr>
          <w:rFonts w:ascii="Times New Roman" w:hAnsi="Times New Roman" w:cs="Times New Roman"/>
        </w:rPr>
        <w:t xml:space="preserve">Investing.com. (n.d.-b). </w:t>
      </w:r>
      <w:r w:rsidRPr="000829A5">
        <w:rPr>
          <w:rFonts w:ascii="Times New Roman" w:hAnsi="Times New Roman" w:cs="Times New Roman"/>
          <w:i/>
          <w:iCs/>
        </w:rPr>
        <w:t>SET 50 Historical Data</w:t>
      </w:r>
      <w:r w:rsidRPr="000829A5">
        <w:rPr>
          <w:rFonts w:ascii="Times New Roman" w:hAnsi="Times New Roman" w:cs="Times New Roman"/>
        </w:rPr>
        <w:t xml:space="preserve">. </w:t>
      </w:r>
      <w:proofErr w:type="gramStart"/>
      <w:r w:rsidRPr="000829A5">
        <w:rPr>
          <w:rFonts w:ascii="Times New Roman" w:hAnsi="Times New Roman" w:cs="Times New Roman"/>
        </w:rPr>
        <w:t>Historical-data</w:t>
      </w:r>
      <w:proofErr w:type="gramEnd"/>
      <w:r w:rsidRPr="000829A5">
        <w:rPr>
          <w:rFonts w:ascii="Times New Roman" w:hAnsi="Times New Roman" w:cs="Times New Roman"/>
        </w:rPr>
        <w:t xml:space="preserve"> webpage. Retrieved </w:t>
      </w:r>
      <w:hyperlink r:id="rId20">
        <w:r w:rsidRPr="000829A5">
          <w:rPr>
            <w:rStyle w:val="Hyperlink"/>
            <w:rFonts w:ascii="Times New Roman" w:hAnsi="Times New Roman" w:cs="Times New Roman"/>
          </w:rPr>
          <w:t>https://th.investing.com/indices/set-50-historical-data</w:t>
        </w:r>
      </w:hyperlink>
    </w:p>
    <w:p w14:paraId="2235BE19" w14:textId="77777777" w:rsidR="00F14584" w:rsidRPr="000829A5" w:rsidRDefault="00000000">
      <w:pPr>
        <w:pStyle w:val="Bibliography"/>
        <w:rPr>
          <w:rFonts w:ascii="Times New Roman" w:hAnsi="Times New Roman" w:cs="Times New Roman"/>
        </w:rPr>
      </w:pPr>
      <w:bookmarkStart w:id="59" w:name="ref-liang2024debate"/>
      <w:bookmarkEnd w:id="58"/>
      <w:r w:rsidRPr="000829A5">
        <w:rPr>
          <w:rFonts w:ascii="Times New Roman" w:hAnsi="Times New Roman" w:cs="Times New Roman"/>
        </w:rPr>
        <w:t xml:space="preserve">Liang, T., He, Z., Jiao, W., Wang, X., Wang, Y., Wang, R., Yang, Y., Shi, S., &amp; Tu, Z. (2024). Encouraging divergent thinking in large language models through multi-agent debate. </w:t>
      </w:r>
      <w:r w:rsidRPr="000829A5">
        <w:rPr>
          <w:rFonts w:ascii="Times New Roman" w:hAnsi="Times New Roman" w:cs="Times New Roman"/>
          <w:i/>
          <w:iCs/>
        </w:rPr>
        <w:lastRenderedPageBreak/>
        <w:t>Proceedings of the 2024 Conference on Empirical Methods in Natural Language Processing</w:t>
      </w:r>
      <w:r w:rsidRPr="000829A5">
        <w:rPr>
          <w:rFonts w:ascii="Times New Roman" w:hAnsi="Times New Roman" w:cs="Times New Roman"/>
        </w:rPr>
        <w:t xml:space="preserve">, 17889–17904. </w:t>
      </w:r>
      <w:hyperlink r:id="rId21">
        <w:r w:rsidRPr="000829A5">
          <w:rPr>
            <w:rStyle w:val="Hyperlink"/>
            <w:rFonts w:ascii="Times New Roman" w:hAnsi="Times New Roman" w:cs="Times New Roman"/>
          </w:rPr>
          <w:t>https://doi.org/10.18653/v1/2024.emnlp-main.992</w:t>
        </w:r>
      </w:hyperlink>
    </w:p>
    <w:p w14:paraId="02CA9842" w14:textId="77777777" w:rsidR="00F14584" w:rsidRPr="000829A5" w:rsidRDefault="00000000">
      <w:pPr>
        <w:pStyle w:val="Bibliography"/>
        <w:rPr>
          <w:rFonts w:ascii="Times New Roman" w:hAnsi="Times New Roman" w:cs="Times New Roman"/>
        </w:rPr>
      </w:pPr>
      <w:bookmarkStart w:id="60" w:name="ref-liu2022vml"/>
      <w:bookmarkEnd w:id="59"/>
      <w:r w:rsidRPr="000829A5">
        <w:rPr>
          <w:rFonts w:ascii="Times New Roman" w:hAnsi="Times New Roman" w:cs="Times New Roman"/>
        </w:rPr>
        <w:t xml:space="preserve">Liu, T., Ma, X., Li, S., Li, X., &amp; Zhang, C. (2022). A stock price prediction method based on meta-learning and variational mode decomposition. </w:t>
      </w:r>
      <w:r w:rsidRPr="000829A5">
        <w:rPr>
          <w:rFonts w:ascii="Times New Roman" w:hAnsi="Times New Roman" w:cs="Times New Roman"/>
          <w:i/>
          <w:iCs/>
        </w:rPr>
        <w:t>Knowledge-Based Systems</w:t>
      </w:r>
      <w:r w:rsidRPr="000829A5">
        <w:rPr>
          <w:rFonts w:ascii="Times New Roman" w:hAnsi="Times New Roman" w:cs="Times New Roman"/>
        </w:rPr>
        <w:t xml:space="preserve">, </w:t>
      </w:r>
      <w:r w:rsidRPr="000829A5">
        <w:rPr>
          <w:rFonts w:ascii="Times New Roman" w:hAnsi="Times New Roman" w:cs="Times New Roman"/>
          <w:i/>
          <w:iCs/>
        </w:rPr>
        <w:t>252</w:t>
      </w:r>
      <w:r w:rsidRPr="000829A5">
        <w:rPr>
          <w:rFonts w:ascii="Times New Roman" w:hAnsi="Times New Roman" w:cs="Times New Roman"/>
        </w:rPr>
        <w:t xml:space="preserve">, 109324. </w:t>
      </w:r>
      <w:hyperlink r:id="rId22">
        <w:r w:rsidRPr="000829A5">
          <w:rPr>
            <w:rStyle w:val="Hyperlink"/>
            <w:rFonts w:ascii="Times New Roman" w:hAnsi="Times New Roman" w:cs="Times New Roman"/>
          </w:rPr>
          <w:t>https://doi.org/10.1016/j.knosys.2022.109324</w:t>
        </w:r>
      </w:hyperlink>
    </w:p>
    <w:p w14:paraId="313FC0EB" w14:textId="77777777" w:rsidR="00F14584" w:rsidRPr="000829A5" w:rsidRDefault="00000000">
      <w:pPr>
        <w:pStyle w:val="Bibliography"/>
        <w:rPr>
          <w:rFonts w:ascii="Times New Roman" w:hAnsi="Times New Roman" w:cs="Times New Roman"/>
        </w:rPr>
      </w:pPr>
      <w:bookmarkStart w:id="61" w:name="ref-liu2024newsattention"/>
      <w:bookmarkEnd w:id="60"/>
      <w:r w:rsidRPr="000829A5">
        <w:rPr>
          <w:rFonts w:ascii="Times New Roman" w:hAnsi="Times New Roman" w:cs="Times New Roman"/>
        </w:rPr>
        <w:t xml:space="preserve">Liu, W.-J., Ge, Y.-B., &amp; Gu, Y.-C. (2024). News-driven stock market index prediction based on trellis network and sentiment attention mechanism. </w:t>
      </w:r>
      <w:r w:rsidRPr="000829A5">
        <w:rPr>
          <w:rFonts w:ascii="Times New Roman" w:hAnsi="Times New Roman" w:cs="Times New Roman"/>
          <w:i/>
          <w:iCs/>
        </w:rPr>
        <w:t>Expert Systems with Applications</w:t>
      </w:r>
      <w:r w:rsidRPr="000829A5">
        <w:rPr>
          <w:rFonts w:ascii="Times New Roman" w:hAnsi="Times New Roman" w:cs="Times New Roman"/>
        </w:rPr>
        <w:t xml:space="preserve">, </w:t>
      </w:r>
      <w:r w:rsidRPr="000829A5">
        <w:rPr>
          <w:rFonts w:ascii="Times New Roman" w:hAnsi="Times New Roman" w:cs="Times New Roman"/>
          <w:i/>
          <w:iCs/>
        </w:rPr>
        <w:t>250</w:t>
      </w:r>
      <w:r w:rsidRPr="000829A5">
        <w:rPr>
          <w:rFonts w:ascii="Times New Roman" w:hAnsi="Times New Roman" w:cs="Times New Roman"/>
        </w:rPr>
        <w:t xml:space="preserve">, 123966. </w:t>
      </w:r>
      <w:hyperlink r:id="rId23">
        <w:r w:rsidRPr="000829A5">
          <w:rPr>
            <w:rStyle w:val="Hyperlink"/>
            <w:rFonts w:ascii="Times New Roman" w:hAnsi="Times New Roman" w:cs="Times New Roman"/>
          </w:rPr>
          <w:t>https://doi.org/10.1016/j.eswa.2024.123966</w:t>
        </w:r>
      </w:hyperlink>
    </w:p>
    <w:p w14:paraId="75D8BFE7" w14:textId="77777777" w:rsidR="00F14584" w:rsidRPr="000829A5" w:rsidRDefault="00000000">
      <w:pPr>
        <w:pStyle w:val="Bibliography"/>
        <w:rPr>
          <w:rFonts w:ascii="Times New Roman" w:hAnsi="Times New Roman" w:cs="Times New Roman"/>
        </w:rPr>
      </w:pPr>
      <w:bookmarkStart w:id="62" w:name="ref-liu2024vmdattention"/>
      <w:bookmarkEnd w:id="61"/>
      <w:r w:rsidRPr="000829A5">
        <w:rPr>
          <w:rFonts w:ascii="Times New Roman" w:hAnsi="Times New Roman" w:cs="Times New Roman"/>
        </w:rPr>
        <w:t xml:space="preserve">Liu, Y., Huang, S., Tian, X., Zhang, F., Zhao, F., &amp; Zhang, C. (2024). A stock series prediction model based on variational mode decomposition and dual-channel attention network. </w:t>
      </w:r>
      <w:r w:rsidRPr="000829A5">
        <w:rPr>
          <w:rFonts w:ascii="Times New Roman" w:hAnsi="Times New Roman" w:cs="Times New Roman"/>
          <w:i/>
          <w:iCs/>
        </w:rPr>
        <w:t>Expert Systems with Applications</w:t>
      </w:r>
      <w:r w:rsidRPr="000829A5">
        <w:rPr>
          <w:rFonts w:ascii="Times New Roman" w:hAnsi="Times New Roman" w:cs="Times New Roman"/>
        </w:rPr>
        <w:t xml:space="preserve">, </w:t>
      </w:r>
      <w:r w:rsidRPr="000829A5">
        <w:rPr>
          <w:rFonts w:ascii="Times New Roman" w:hAnsi="Times New Roman" w:cs="Times New Roman"/>
          <w:i/>
          <w:iCs/>
        </w:rPr>
        <w:t>238</w:t>
      </w:r>
      <w:r w:rsidRPr="000829A5">
        <w:rPr>
          <w:rFonts w:ascii="Times New Roman" w:hAnsi="Times New Roman" w:cs="Times New Roman"/>
        </w:rPr>
        <w:t xml:space="preserve">, 121708. </w:t>
      </w:r>
      <w:hyperlink r:id="rId24">
        <w:r w:rsidRPr="000829A5">
          <w:rPr>
            <w:rStyle w:val="Hyperlink"/>
            <w:rFonts w:ascii="Times New Roman" w:hAnsi="Times New Roman" w:cs="Times New Roman"/>
          </w:rPr>
          <w:t>https://doi.org/10.1016/j.eswa.2023.121708</w:t>
        </w:r>
      </w:hyperlink>
    </w:p>
    <w:p w14:paraId="1746EB2B" w14:textId="77777777" w:rsidR="00F14584" w:rsidRPr="000829A5" w:rsidRDefault="00000000">
      <w:pPr>
        <w:pStyle w:val="Bibliography"/>
        <w:rPr>
          <w:rFonts w:ascii="Times New Roman" w:hAnsi="Times New Roman" w:cs="Times New Roman"/>
        </w:rPr>
      </w:pPr>
      <w:bookmarkStart w:id="63" w:name="ref-lundberg2017shap"/>
      <w:bookmarkEnd w:id="62"/>
      <w:r w:rsidRPr="000829A5">
        <w:rPr>
          <w:rFonts w:ascii="Times New Roman" w:hAnsi="Times New Roman" w:cs="Times New Roman"/>
        </w:rPr>
        <w:t xml:space="preserve">Lundberg, S. M., &amp; Lee, S.-I. (2017). A unified approach to interpreting model predictions. </w:t>
      </w:r>
      <w:r w:rsidRPr="000829A5">
        <w:rPr>
          <w:rFonts w:ascii="Times New Roman" w:hAnsi="Times New Roman" w:cs="Times New Roman"/>
          <w:i/>
          <w:iCs/>
        </w:rPr>
        <w:t>Advances in Neural Information Processing Systems</w:t>
      </w:r>
      <w:r w:rsidRPr="000829A5">
        <w:rPr>
          <w:rFonts w:ascii="Times New Roman" w:hAnsi="Times New Roman" w:cs="Times New Roman"/>
        </w:rPr>
        <w:t xml:space="preserve">, </w:t>
      </w:r>
      <w:r w:rsidRPr="000829A5">
        <w:rPr>
          <w:rFonts w:ascii="Times New Roman" w:hAnsi="Times New Roman" w:cs="Times New Roman"/>
          <w:i/>
          <w:iCs/>
        </w:rPr>
        <w:t>30</w:t>
      </w:r>
      <w:r w:rsidRPr="000829A5">
        <w:rPr>
          <w:rFonts w:ascii="Times New Roman" w:hAnsi="Times New Roman" w:cs="Times New Roman"/>
        </w:rPr>
        <w:t xml:space="preserve">. </w:t>
      </w:r>
      <w:hyperlink r:id="rId25">
        <w:r w:rsidRPr="000829A5">
          <w:rPr>
            <w:rStyle w:val="Hyperlink"/>
            <w:rFonts w:ascii="Times New Roman" w:hAnsi="Times New Roman" w:cs="Times New Roman"/>
          </w:rPr>
          <w:t>https://proceedings.neurips.cc/paper_files/paper/2017/hash/8a20a8621978632d76c43dfd28b67767-Abstract.html</w:t>
        </w:r>
      </w:hyperlink>
    </w:p>
    <w:p w14:paraId="16B899FB" w14:textId="77777777" w:rsidR="00F14584" w:rsidRPr="000829A5" w:rsidRDefault="00000000">
      <w:pPr>
        <w:pStyle w:val="Bibliography"/>
        <w:rPr>
          <w:rFonts w:ascii="Times New Roman" w:hAnsi="Times New Roman" w:cs="Times New Roman"/>
        </w:rPr>
      </w:pPr>
      <w:bookmarkStart w:id="64" w:name="ref-luo2023cmin"/>
      <w:bookmarkEnd w:id="63"/>
      <w:r w:rsidRPr="000829A5">
        <w:rPr>
          <w:rFonts w:ascii="Times New Roman" w:hAnsi="Times New Roman" w:cs="Times New Roman"/>
        </w:rPr>
        <w:t xml:space="preserve">Luo, D., Liao, W., Li, S., Cheng, X., &amp; Yan, R. (2023). Causality-guided multi-memory interaction network for multivariate stock price movement prediction. </w:t>
      </w:r>
      <w:r w:rsidRPr="000829A5">
        <w:rPr>
          <w:rFonts w:ascii="Times New Roman" w:hAnsi="Times New Roman" w:cs="Times New Roman"/>
          <w:i/>
          <w:iCs/>
        </w:rPr>
        <w:t>Proceedings of the 61st Annual Meeting of the Association for Computational Linguistics (Volume 1: Long Papers)</w:t>
      </w:r>
      <w:r w:rsidRPr="000829A5">
        <w:rPr>
          <w:rFonts w:ascii="Times New Roman" w:hAnsi="Times New Roman" w:cs="Times New Roman"/>
        </w:rPr>
        <w:t xml:space="preserve">, 12164–12176. </w:t>
      </w:r>
      <w:hyperlink r:id="rId26">
        <w:r w:rsidRPr="000829A5">
          <w:rPr>
            <w:rStyle w:val="Hyperlink"/>
            <w:rFonts w:ascii="Times New Roman" w:hAnsi="Times New Roman" w:cs="Times New Roman"/>
          </w:rPr>
          <w:t>https://doi.org/10.18653/v1/2023.acl-long.679</w:t>
        </w:r>
      </w:hyperlink>
    </w:p>
    <w:p w14:paraId="42F7DEFE" w14:textId="77777777" w:rsidR="00F14584" w:rsidRPr="000829A5" w:rsidRDefault="00000000">
      <w:pPr>
        <w:pStyle w:val="Bibliography"/>
        <w:rPr>
          <w:rFonts w:ascii="Times New Roman" w:hAnsi="Times New Roman" w:cs="Times New Roman"/>
        </w:rPr>
      </w:pPr>
      <w:bookmarkStart w:id="65" w:name="ref-moskowitz2012tsm"/>
      <w:bookmarkEnd w:id="64"/>
      <w:r w:rsidRPr="000829A5">
        <w:rPr>
          <w:rFonts w:ascii="Times New Roman" w:hAnsi="Times New Roman" w:cs="Times New Roman"/>
        </w:rPr>
        <w:t xml:space="preserve">Moskowitz, T. J., Ooi, Y. H., &amp; Pedersen, L. H. (2012). Time series momentum. </w:t>
      </w:r>
      <w:r w:rsidRPr="000829A5">
        <w:rPr>
          <w:rFonts w:ascii="Times New Roman" w:hAnsi="Times New Roman" w:cs="Times New Roman"/>
          <w:i/>
          <w:iCs/>
        </w:rPr>
        <w:t>Journal of Financial Economics</w:t>
      </w:r>
      <w:r w:rsidRPr="000829A5">
        <w:rPr>
          <w:rFonts w:ascii="Times New Roman" w:hAnsi="Times New Roman" w:cs="Times New Roman"/>
        </w:rPr>
        <w:t xml:space="preserve">, </w:t>
      </w:r>
      <w:r w:rsidRPr="000829A5">
        <w:rPr>
          <w:rFonts w:ascii="Times New Roman" w:hAnsi="Times New Roman" w:cs="Times New Roman"/>
          <w:i/>
          <w:iCs/>
        </w:rPr>
        <w:t>104</w:t>
      </w:r>
      <w:r w:rsidRPr="000829A5">
        <w:rPr>
          <w:rFonts w:ascii="Times New Roman" w:hAnsi="Times New Roman" w:cs="Times New Roman"/>
        </w:rPr>
        <w:t xml:space="preserve">(2), 228–250. </w:t>
      </w:r>
      <w:hyperlink r:id="rId27">
        <w:r w:rsidRPr="000829A5">
          <w:rPr>
            <w:rStyle w:val="Hyperlink"/>
            <w:rFonts w:ascii="Times New Roman" w:hAnsi="Times New Roman" w:cs="Times New Roman"/>
          </w:rPr>
          <w:t>https://doi.org/10.1016/j.jfineco.2011.11.003</w:t>
        </w:r>
      </w:hyperlink>
    </w:p>
    <w:p w14:paraId="3A328194" w14:textId="77777777" w:rsidR="00F14584" w:rsidRPr="000829A5" w:rsidRDefault="00000000">
      <w:pPr>
        <w:pStyle w:val="Bibliography"/>
        <w:rPr>
          <w:rFonts w:ascii="Times New Roman" w:hAnsi="Times New Roman" w:cs="Times New Roman"/>
        </w:rPr>
      </w:pPr>
      <w:bookmarkStart w:id="66" w:name="ref-olorunnimbe2023survey"/>
      <w:bookmarkEnd w:id="65"/>
      <w:r w:rsidRPr="000829A5">
        <w:rPr>
          <w:rFonts w:ascii="Times New Roman" w:hAnsi="Times New Roman" w:cs="Times New Roman"/>
        </w:rPr>
        <w:t xml:space="preserve">Olorunnimbe, K., &amp; Viktor, H. (2023). Deep learning in the stock </w:t>
      </w:r>
      <w:proofErr w:type="gramStart"/>
      <w:r w:rsidRPr="000829A5">
        <w:rPr>
          <w:rFonts w:ascii="Times New Roman" w:hAnsi="Times New Roman" w:cs="Times New Roman"/>
        </w:rPr>
        <w:t>market—a</w:t>
      </w:r>
      <w:proofErr w:type="gramEnd"/>
      <w:r w:rsidRPr="000829A5">
        <w:rPr>
          <w:rFonts w:ascii="Times New Roman" w:hAnsi="Times New Roman" w:cs="Times New Roman"/>
        </w:rPr>
        <w:t xml:space="preserve"> systematic survey of practice, backtesting, and applications. </w:t>
      </w:r>
      <w:r w:rsidRPr="000829A5">
        <w:rPr>
          <w:rFonts w:ascii="Times New Roman" w:hAnsi="Times New Roman" w:cs="Times New Roman"/>
          <w:i/>
          <w:iCs/>
        </w:rPr>
        <w:t>Artificial Intelligence Review</w:t>
      </w:r>
      <w:r w:rsidRPr="000829A5">
        <w:rPr>
          <w:rFonts w:ascii="Times New Roman" w:hAnsi="Times New Roman" w:cs="Times New Roman"/>
        </w:rPr>
        <w:t xml:space="preserve">, </w:t>
      </w:r>
      <w:r w:rsidRPr="000829A5">
        <w:rPr>
          <w:rFonts w:ascii="Times New Roman" w:hAnsi="Times New Roman" w:cs="Times New Roman"/>
          <w:i/>
          <w:iCs/>
        </w:rPr>
        <w:t>56</w:t>
      </w:r>
      <w:r w:rsidRPr="000829A5">
        <w:rPr>
          <w:rFonts w:ascii="Times New Roman" w:hAnsi="Times New Roman" w:cs="Times New Roman"/>
        </w:rPr>
        <w:t xml:space="preserve">(3), 2057–2109. </w:t>
      </w:r>
      <w:hyperlink r:id="rId28">
        <w:r w:rsidRPr="000829A5">
          <w:rPr>
            <w:rStyle w:val="Hyperlink"/>
            <w:rFonts w:ascii="Times New Roman" w:hAnsi="Times New Roman" w:cs="Times New Roman"/>
          </w:rPr>
          <w:t>https://doi.org/10.1007/s10462-022-10226-0</w:t>
        </w:r>
      </w:hyperlink>
    </w:p>
    <w:p w14:paraId="3EA1D34C" w14:textId="77777777" w:rsidR="00F14584" w:rsidRPr="000829A5" w:rsidRDefault="00000000">
      <w:pPr>
        <w:pStyle w:val="Bibliography"/>
        <w:rPr>
          <w:rFonts w:ascii="Times New Roman" w:hAnsi="Times New Roman" w:cs="Times New Roman"/>
        </w:rPr>
      </w:pPr>
      <w:bookmarkStart w:id="67" w:name="ref-pagan2003bullbear"/>
      <w:bookmarkEnd w:id="66"/>
      <w:r w:rsidRPr="000829A5">
        <w:rPr>
          <w:rFonts w:ascii="Times New Roman" w:hAnsi="Times New Roman" w:cs="Times New Roman"/>
        </w:rPr>
        <w:t xml:space="preserve">Pagan, A. R., &amp; Sossounov, K. A. (2003). A simple framework for analysing bull and bear markets. </w:t>
      </w:r>
      <w:r w:rsidRPr="000829A5">
        <w:rPr>
          <w:rFonts w:ascii="Times New Roman" w:hAnsi="Times New Roman" w:cs="Times New Roman"/>
          <w:i/>
          <w:iCs/>
        </w:rPr>
        <w:t>Journal of Applied Econometrics</w:t>
      </w:r>
      <w:r w:rsidRPr="000829A5">
        <w:rPr>
          <w:rFonts w:ascii="Times New Roman" w:hAnsi="Times New Roman" w:cs="Times New Roman"/>
        </w:rPr>
        <w:t xml:space="preserve">, </w:t>
      </w:r>
      <w:r w:rsidRPr="000829A5">
        <w:rPr>
          <w:rFonts w:ascii="Times New Roman" w:hAnsi="Times New Roman" w:cs="Times New Roman"/>
          <w:i/>
          <w:iCs/>
        </w:rPr>
        <w:t>18</w:t>
      </w:r>
      <w:r w:rsidRPr="000829A5">
        <w:rPr>
          <w:rFonts w:ascii="Times New Roman" w:hAnsi="Times New Roman" w:cs="Times New Roman"/>
        </w:rPr>
        <w:t xml:space="preserve">(1), 23–46. </w:t>
      </w:r>
      <w:hyperlink r:id="rId29">
        <w:r w:rsidRPr="000829A5">
          <w:rPr>
            <w:rStyle w:val="Hyperlink"/>
            <w:rFonts w:ascii="Times New Roman" w:hAnsi="Times New Roman" w:cs="Times New Roman"/>
          </w:rPr>
          <w:t>https://doi.org/10.1002/jae.664</w:t>
        </w:r>
      </w:hyperlink>
    </w:p>
    <w:p w14:paraId="6133DDDA" w14:textId="77777777" w:rsidR="00F14584" w:rsidRPr="000829A5" w:rsidRDefault="00000000">
      <w:pPr>
        <w:pStyle w:val="Bibliography"/>
        <w:rPr>
          <w:rFonts w:ascii="Times New Roman" w:hAnsi="Times New Roman" w:cs="Times New Roman"/>
        </w:rPr>
      </w:pPr>
      <w:bookmarkStart w:id="68" w:name="ref-politis1992circular"/>
      <w:bookmarkEnd w:id="67"/>
      <w:r w:rsidRPr="000829A5">
        <w:rPr>
          <w:rFonts w:ascii="Times New Roman" w:hAnsi="Times New Roman" w:cs="Times New Roman"/>
        </w:rPr>
        <w:t xml:space="preserve">Politis, D. N., &amp; Romano, J. P. (1992). A circular block-resampling procedure for stationary data. In R. LePage &amp; L. Billard (Eds.), </w:t>
      </w:r>
      <w:r w:rsidRPr="000829A5">
        <w:rPr>
          <w:rFonts w:ascii="Times New Roman" w:hAnsi="Times New Roman" w:cs="Times New Roman"/>
          <w:i/>
          <w:iCs/>
        </w:rPr>
        <w:t>Exploring the limits of bootstrap</w:t>
      </w:r>
      <w:r w:rsidRPr="000829A5">
        <w:rPr>
          <w:rFonts w:ascii="Times New Roman" w:hAnsi="Times New Roman" w:cs="Times New Roman"/>
        </w:rPr>
        <w:t xml:space="preserve"> (pp. 263–270). John Wiley &amp; Sons.</w:t>
      </w:r>
    </w:p>
    <w:p w14:paraId="1DD2ECD5" w14:textId="77777777" w:rsidR="00F14584" w:rsidRPr="000829A5" w:rsidRDefault="00000000">
      <w:pPr>
        <w:pStyle w:val="Bibliography"/>
        <w:rPr>
          <w:rFonts w:ascii="Times New Roman" w:hAnsi="Times New Roman" w:cs="Times New Roman"/>
        </w:rPr>
      </w:pPr>
      <w:bookmarkStart w:id="69" w:name="ref-qin2017darnn"/>
      <w:bookmarkEnd w:id="68"/>
      <w:r w:rsidRPr="000829A5">
        <w:rPr>
          <w:rFonts w:ascii="Times New Roman" w:hAnsi="Times New Roman" w:cs="Times New Roman"/>
        </w:rPr>
        <w:t xml:space="preserve">Qin, Y., Song, D., Chen, H., Cheng, W., Jiang, G., &amp; Cottrell, G. W. (2017). A dual-stage attention-based recurrent neural network for time series prediction. </w:t>
      </w:r>
      <w:r w:rsidRPr="000829A5">
        <w:rPr>
          <w:rFonts w:ascii="Times New Roman" w:hAnsi="Times New Roman" w:cs="Times New Roman"/>
          <w:i/>
          <w:iCs/>
        </w:rPr>
        <w:t>Proceedings of the Twenty-Sixth International Joint Conference on Artificial Intelligence</w:t>
      </w:r>
      <w:r w:rsidRPr="000829A5">
        <w:rPr>
          <w:rFonts w:ascii="Times New Roman" w:hAnsi="Times New Roman" w:cs="Times New Roman"/>
        </w:rPr>
        <w:t xml:space="preserve">, 2627–2633. </w:t>
      </w:r>
      <w:hyperlink r:id="rId30">
        <w:r w:rsidRPr="000829A5">
          <w:rPr>
            <w:rStyle w:val="Hyperlink"/>
            <w:rFonts w:ascii="Times New Roman" w:hAnsi="Times New Roman" w:cs="Times New Roman"/>
          </w:rPr>
          <w:t>https://doi.org/10.24963/ijcai.2017/366</w:t>
        </w:r>
      </w:hyperlink>
    </w:p>
    <w:p w14:paraId="3FD46BCA" w14:textId="77777777" w:rsidR="00F14584" w:rsidRPr="000829A5" w:rsidRDefault="00000000">
      <w:pPr>
        <w:pStyle w:val="Bibliography"/>
        <w:rPr>
          <w:rFonts w:ascii="Times New Roman" w:hAnsi="Times New Roman" w:cs="Times New Roman"/>
        </w:rPr>
      </w:pPr>
      <w:bookmarkStart w:id="70" w:name="ref-ribeiro2016lime"/>
      <w:bookmarkEnd w:id="69"/>
      <w:r w:rsidRPr="000829A5">
        <w:rPr>
          <w:rFonts w:ascii="Times New Roman" w:hAnsi="Times New Roman" w:cs="Times New Roman"/>
        </w:rPr>
        <w:t xml:space="preserve">Ribeiro, M. T., Singh, S., &amp; Guestrin, C. (2016). "Why </w:t>
      </w:r>
      <w:proofErr w:type="gramStart"/>
      <w:r w:rsidRPr="000829A5">
        <w:rPr>
          <w:rFonts w:ascii="Times New Roman" w:hAnsi="Times New Roman" w:cs="Times New Roman"/>
        </w:rPr>
        <w:t>should i</w:t>
      </w:r>
      <w:proofErr w:type="gramEnd"/>
      <w:r w:rsidRPr="000829A5">
        <w:rPr>
          <w:rFonts w:ascii="Times New Roman" w:hAnsi="Times New Roman" w:cs="Times New Roman"/>
        </w:rPr>
        <w:t xml:space="preserve"> trust you?": Explaining the predictions of any classifier. </w:t>
      </w:r>
      <w:r w:rsidRPr="000829A5">
        <w:rPr>
          <w:rFonts w:ascii="Times New Roman" w:hAnsi="Times New Roman" w:cs="Times New Roman"/>
          <w:i/>
          <w:iCs/>
        </w:rPr>
        <w:t>Proceedings of the 22nd ACM SIGKDD International Conference on Knowledge Discovery and Data Mining</w:t>
      </w:r>
      <w:r w:rsidRPr="000829A5">
        <w:rPr>
          <w:rFonts w:ascii="Times New Roman" w:hAnsi="Times New Roman" w:cs="Times New Roman"/>
        </w:rPr>
        <w:t xml:space="preserve">, 1135–1144. </w:t>
      </w:r>
      <w:hyperlink r:id="rId31">
        <w:r w:rsidRPr="000829A5">
          <w:rPr>
            <w:rStyle w:val="Hyperlink"/>
            <w:rFonts w:ascii="Times New Roman" w:hAnsi="Times New Roman" w:cs="Times New Roman"/>
          </w:rPr>
          <w:t>https://doi.org/10.1145/2939672.2939778</w:t>
        </w:r>
      </w:hyperlink>
    </w:p>
    <w:p w14:paraId="5337F800" w14:textId="77777777" w:rsidR="00F14584" w:rsidRPr="000829A5" w:rsidRDefault="00000000">
      <w:pPr>
        <w:pStyle w:val="Bibliography"/>
        <w:rPr>
          <w:rFonts w:ascii="Times New Roman" w:hAnsi="Times New Roman" w:cs="Times New Roman"/>
        </w:rPr>
      </w:pPr>
      <w:bookmarkStart w:id="71" w:name="ref-sawhney2020stockmovement"/>
      <w:bookmarkEnd w:id="70"/>
      <w:r w:rsidRPr="000829A5">
        <w:rPr>
          <w:rFonts w:ascii="Times New Roman" w:hAnsi="Times New Roman" w:cs="Times New Roman"/>
        </w:rPr>
        <w:lastRenderedPageBreak/>
        <w:t xml:space="preserve">Sawhney, R., Agarwal, S., Wadhwa, A., &amp; Shah, R. R. (2020). Deep attentive learning for stock movement prediction from social media text and company correlations. </w:t>
      </w:r>
      <w:r w:rsidRPr="000829A5">
        <w:rPr>
          <w:rFonts w:ascii="Times New Roman" w:hAnsi="Times New Roman" w:cs="Times New Roman"/>
          <w:i/>
          <w:iCs/>
        </w:rPr>
        <w:t>Proceedings of the 2020 Conference on Empirical Methods in Natural Language Processing</w:t>
      </w:r>
      <w:r w:rsidRPr="000829A5">
        <w:rPr>
          <w:rFonts w:ascii="Times New Roman" w:hAnsi="Times New Roman" w:cs="Times New Roman"/>
        </w:rPr>
        <w:t xml:space="preserve">, 8415–8426. </w:t>
      </w:r>
      <w:hyperlink r:id="rId32">
        <w:r w:rsidRPr="000829A5">
          <w:rPr>
            <w:rStyle w:val="Hyperlink"/>
            <w:rFonts w:ascii="Times New Roman" w:hAnsi="Times New Roman" w:cs="Times New Roman"/>
          </w:rPr>
          <w:t>https://doi.org/10.18653/v1/2020.emnlp-main.676</w:t>
        </w:r>
      </w:hyperlink>
    </w:p>
    <w:p w14:paraId="25320D1D" w14:textId="77777777" w:rsidR="00F14584" w:rsidRPr="000829A5" w:rsidRDefault="00000000">
      <w:pPr>
        <w:pStyle w:val="Bibliography"/>
        <w:rPr>
          <w:rFonts w:ascii="Times New Roman" w:hAnsi="Times New Roman" w:cs="Times New Roman"/>
        </w:rPr>
      </w:pPr>
      <w:bookmarkStart w:id="72" w:name="ref-sezer2020review"/>
      <w:bookmarkEnd w:id="71"/>
      <w:r w:rsidRPr="000829A5">
        <w:rPr>
          <w:rFonts w:ascii="Times New Roman" w:hAnsi="Times New Roman" w:cs="Times New Roman"/>
        </w:rPr>
        <w:t xml:space="preserve">Sezer, O. B., Gudelek, M. U., &amp; Ozbayoglu, A. M. (2020). Financial time series forecasting with deep learning: A systematic literature review: 2005–2019. </w:t>
      </w:r>
      <w:r w:rsidRPr="000829A5">
        <w:rPr>
          <w:rFonts w:ascii="Times New Roman" w:hAnsi="Times New Roman" w:cs="Times New Roman"/>
          <w:i/>
          <w:iCs/>
        </w:rPr>
        <w:t>Applied Soft Computing</w:t>
      </w:r>
      <w:r w:rsidRPr="000829A5">
        <w:rPr>
          <w:rFonts w:ascii="Times New Roman" w:hAnsi="Times New Roman" w:cs="Times New Roman"/>
        </w:rPr>
        <w:t xml:space="preserve">, </w:t>
      </w:r>
      <w:r w:rsidRPr="000829A5">
        <w:rPr>
          <w:rFonts w:ascii="Times New Roman" w:hAnsi="Times New Roman" w:cs="Times New Roman"/>
          <w:i/>
          <w:iCs/>
        </w:rPr>
        <w:t>90</w:t>
      </w:r>
      <w:r w:rsidRPr="000829A5">
        <w:rPr>
          <w:rFonts w:ascii="Times New Roman" w:hAnsi="Times New Roman" w:cs="Times New Roman"/>
        </w:rPr>
        <w:t xml:space="preserve">, 106181. </w:t>
      </w:r>
      <w:hyperlink r:id="rId33">
        <w:r w:rsidRPr="000829A5">
          <w:rPr>
            <w:rStyle w:val="Hyperlink"/>
            <w:rFonts w:ascii="Times New Roman" w:hAnsi="Times New Roman" w:cs="Times New Roman"/>
          </w:rPr>
          <w:t>https://doi.org/10.1016/j.asoc.2020.106181</w:t>
        </w:r>
      </w:hyperlink>
    </w:p>
    <w:p w14:paraId="0C2DE7B5" w14:textId="77777777" w:rsidR="00F14584" w:rsidRPr="000829A5" w:rsidRDefault="00000000">
      <w:pPr>
        <w:pStyle w:val="Bibliography"/>
        <w:rPr>
          <w:rFonts w:ascii="Times New Roman" w:hAnsi="Times New Roman" w:cs="Times New Roman"/>
        </w:rPr>
      </w:pPr>
      <w:bookmarkStart w:id="73" w:name="ref-setNews"/>
      <w:bookmarkEnd w:id="72"/>
      <w:r w:rsidRPr="000829A5">
        <w:rPr>
          <w:rFonts w:ascii="Times New Roman" w:hAnsi="Times New Roman" w:cs="Times New Roman"/>
        </w:rPr>
        <w:t xml:space="preserve">The Stock Exchange of Thailand. (n.d.-a). </w:t>
      </w:r>
      <w:r w:rsidRPr="000829A5">
        <w:rPr>
          <w:rFonts w:ascii="Times New Roman" w:hAnsi="Times New Roman" w:cs="Times New Roman"/>
          <w:i/>
          <w:iCs/>
        </w:rPr>
        <w:t>Listed-company news and alerts</w:t>
      </w:r>
      <w:r w:rsidRPr="000829A5">
        <w:rPr>
          <w:rFonts w:ascii="Times New Roman" w:hAnsi="Times New Roman" w:cs="Times New Roman"/>
        </w:rPr>
        <w:t xml:space="preserve">. Official </w:t>
      </w:r>
      <w:proofErr w:type="gramStart"/>
      <w:r w:rsidRPr="000829A5">
        <w:rPr>
          <w:rFonts w:ascii="Times New Roman" w:hAnsi="Times New Roman" w:cs="Times New Roman"/>
        </w:rPr>
        <w:t>market-information</w:t>
      </w:r>
      <w:proofErr w:type="gramEnd"/>
      <w:r w:rsidRPr="000829A5">
        <w:rPr>
          <w:rFonts w:ascii="Times New Roman" w:hAnsi="Times New Roman" w:cs="Times New Roman"/>
        </w:rPr>
        <w:t xml:space="preserve"> service. Retrieved </w:t>
      </w:r>
      <w:hyperlink r:id="rId34">
        <w:r w:rsidRPr="000829A5">
          <w:rPr>
            <w:rStyle w:val="Hyperlink"/>
            <w:rFonts w:ascii="Times New Roman" w:hAnsi="Times New Roman" w:cs="Times New Roman"/>
          </w:rPr>
          <w:t>https://www.set.or.th/en/market/news-and-alert/news</w:t>
        </w:r>
      </w:hyperlink>
    </w:p>
    <w:p w14:paraId="581EB9E2" w14:textId="77777777" w:rsidR="00F14584" w:rsidRPr="000829A5" w:rsidRDefault="00000000">
      <w:pPr>
        <w:pStyle w:val="Bibliography"/>
        <w:rPr>
          <w:rFonts w:ascii="Times New Roman" w:hAnsi="Times New Roman" w:cs="Times New Roman"/>
        </w:rPr>
      </w:pPr>
      <w:bookmarkStart w:id="74" w:name="ref-set100Profile"/>
      <w:bookmarkEnd w:id="73"/>
      <w:r w:rsidRPr="000829A5">
        <w:rPr>
          <w:rFonts w:ascii="Times New Roman" w:hAnsi="Times New Roman" w:cs="Times New Roman"/>
        </w:rPr>
        <w:t xml:space="preserve">The Stock Exchange of Thailand. (n.d.-b). </w:t>
      </w:r>
      <w:r w:rsidRPr="000829A5">
        <w:rPr>
          <w:rFonts w:ascii="Times New Roman" w:hAnsi="Times New Roman" w:cs="Times New Roman"/>
          <w:i/>
          <w:iCs/>
        </w:rPr>
        <w:t>SET100 index and SET100FF index profile</w:t>
      </w:r>
      <w:r w:rsidRPr="000829A5">
        <w:rPr>
          <w:rFonts w:ascii="Times New Roman" w:hAnsi="Times New Roman" w:cs="Times New Roman"/>
        </w:rPr>
        <w:t xml:space="preserve">. Official index profile webpage. Retrieved </w:t>
      </w:r>
      <w:hyperlink r:id="rId35">
        <w:r w:rsidRPr="000829A5">
          <w:rPr>
            <w:rStyle w:val="Hyperlink"/>
            <w:rFonts w:ascii="Times New Roman" w:hAnsi="Times New Roman" w:cs="Times New Roman"/>
          </w:rPr>
          <w:t>https://www.set.or.th/en/market/index/set100/profile</w:t>
        </w:r>
      </w:hyperlink>
    </w:p>
    <w:p w14:paraId="2DCDF69C" w14:textId="77777777" w:rsidR="00F14584" w:rsidRPr="000829A5" w:rsidRDefault="00000000">
      <w:pPr>
        <w:pStyle w:val="Bibliography"/>
        <w:rPr>
          <w:rFonts w:ascii="Times New Roman" w:hAnsi="Times New Roman" w:cs="Times New Roman"/>
        </w:rPr>
      </w:pPr>
      <w:bookmarkStart w:id="75" w:name="ref-set50Profile"/>
      <w:bookmarkEnd w:id="74"/>
      <w:r w:rsidRPr="000829A5">
        <w:rPr>
          <w:rFonts w:ascii="Times New Roman" w:hAnsi="Times New Roman" w:cs="Times New Roman"/>
        </w:rPr>
        <w:t xml:space="preserve">The Stock Exchange of Thailand. (n.d.-c). </w:t>
      </w:r>
      <w:r w:rsidRPr="000829A5">
        <w:rPr>
          <w:rFonts w:ascii="Times New Roman" w:hAnsi="Times New Roman" w:cs="Times New Roman"/>
          <w:i/>
          <w:iCs/>
        </w:rPr>
        <w:t>SET50 index and SET50FF index profile</w:t>
      </w:r>
      <w:r w:rsidRPr="000829A5">
        <w:rPr>
          <w:rFonts w:ascii="Times New Roman" w:hAnsi="Times New Roman" w:cs="Times New Roman"/>
        </w:rPr>
        <w:t xml:space="preserve">. Official index profile webpage. Retrieved </w:t>
      </w:r>
      <w:hyperlink r:id="rId36">
        <w:r w:rsidRPr="000829A5">
          <w:rPr>
            <w:rStyle w:val="Hyperlink"/>
            <w:rFonts w:ascii="Times New Roman" w:hAnsi="Times New Roman" w:cs="Times New Roman"/>
          </w:rPr>
          <w:t>https://www.set.or.th/en/market/index/set50/profile</w:t>
        </w:r>
      </w:hyperlink>
    </w:p>
    <w:p w14:paraId="517A7A8A" w14:textId="77777777" w:rsidR="00F14584" w:rsidRPr="000829A5" w:rsidRDefault="00000000">
      <w:pPr>
        <w:pStyle w:val="Bibliography"/>
        <w:rPr>
          <w:rFonts w:ascii="Times New Roman" w:hAnsi="Times New Roman" w:cs="Times New Roman"/>
        </w:rPr>
      </w:pPr>
      <w:bookmarkStart w:id="76" w:name="ref-uthayopas2025stocktbsa"/>
      <w:bookmarkEnd w:id="75"/>
      <w:r w:rsidRPr="000829A5">
        <w:rPr>
          <w:rFonts w:ascii="Times New Roman" w:hAnsi="Times New Roman" w:cs="Times New Roman"/>
        </w:rPr>
        <w:t xml:space="preserve">Uthayopas, C., Mai-On, C., Phatthiyaphaibun, W., Buaphet, W., Sawatphol, J., Sae Lim, S., Vongkulbhisal, J., Vorawathanabuncha, J., Nutanong, S., &amp; Udomcharoenchaikit, C. (2025). </w:t>
      </w:r>
      <w:r w:rsidRPr="000829A5">
        <w:rPr>
          <w:rFonts w:ascii="Times New Roman" w:hAnsi="Times New Roman" w:cs="Times New Roman"/>
          <w:i/>
          <w:iCs/>
        </w:rPr>
        <w:t>Thai-english target-based stock sentiment dataset for financial news with ICL-based evaluation</w:t>
      </w:r>
      <w:r w:rsidRPr="000829A5">
        <w:rPr>
          <w:rFonts w:ascii="Times New Roman" w:hAnsi="Times New Roman" w:cs="Times New Roman"/>
        </w:rPr>
        <w:t xml:space="preserve">. Bilingual StockTBSA dataset and repository. </w:t>
      </w:r>
      <w:hyperlink r:id="rId37">
        <w:r w:rsidRPr="000829A5">
          <w:rPr>
            <w:rStyle w:val="Hyperlink"/>
            <w:rFonts w:ascii="Times New Roman" w:hAnsi="Times New Roman" w:cs="Times New Roman"/>
          </w:rPr>
          <w:t>https://huggingface.co/datasets/airesearch/Bilingual_StockTBSA</w:t>
        </w:r>
      </w:hyperlink>
    </w:p>
    <w:p w14:paraId="62BBDEFE" w14:textId="77777777" w:rsidR="00F14584" w:rsidRPr="000829A5" w:rsidRDefault="00000000">
      <w:pPr>
        <w:pStyle w:val="Bibliography"/>
        <w:rPr>
          <w:rFonts w:ascii="Times New Roman" w:hAnsi="Times New Roman" w:cs="Times New Roman"/>
        </w:rPr>
      </w:pPr>
      <w:bookmarkStart w:id="77" w:name="ref-vaswani2017attention"/>
      <w:bookmarkEnd w:id="76"/>
      <w:r w:rsidRPr="000829A5">
        <w:rPr>
          <w:rFonts w:ascii="Times New Roman" w:hAnsi="Times New Roman" w:cs="Times New Roman"/>
        </w:rPr>
        <w:t xml:space="preserve">Vaswani, A., Shazeer, N., Parmar, N., Uszkoreit, J., Jones, L., Gomez, A. N., Kaiser, Ł., &amp; Polosukhin, I. (2017). Attention is all you need. </w:t>
      </w:r>
      <w:r w:rsidRPr="000829A5">
        <w:rPr>
          <w:rFonts w:ascii="Times New Roman" w:hAnsi="Times New Roman" w:cs="Times New Roman"/>
          <w:i/>
          <w:iCs/>
        </w:rPr>
        <w:t>Advances in Neural Information Processing Systems</w:t>
      </w:r>
      <w:r w:rsidRPr="000829A5">
        <w:rPr>
          <w:rFonts w:ascii="Times New Roman" w:hAnsi="Times New Roman" w:cs="Times New Roman"/>
        </w:rPr>
        <w:t xml:space="preserve">, </w:t>
      </w:r>
      <w:r w:rsidRPr="000829A5">
        <w:rPr>
          <w:rFonts w:ascii="Times New Roman" w:hAnsi="Times New Roman" w:cs="Times New Roman"/>
          <w:i/>
          <w:iCs/>
        </w:rPr>
        <w:t>30</w:t>
      </w:r>
      <w:r w:rsidRPr="000829A5">
        <w:rPr>
          <w:rFonts w:ascii="Times New Roman" w:hAnsi="Times New Roman" w:cs="Times New Roman"/>
        </w:rPr>
        <w:t xml:space="preserve">. </w:t>
      </w:r>
      <w:hyperlink r:id="rId38">
        <w:r w:rsidRPr="000829A5">
          <w:rPr>
            <w:rStyle w:val="Hyperlink"/>
            <w:rFonts w:ascii="Times New Roman" w:hAnsi="Times New Roman" w:cs="Times New Roman"/>
          </w:rPr>
          <w:t>https://proceedings.neurips.cc/paper_files/paper/2017/hash/3f5ee243547dee91fbd053c1c4a845aa-Abstract.html</w:t>
        </w:r>
      </w:hyperlink>
    </w:p>
    <w:p w14:paraId="5C668E76" w14:textId="77777777" w:rsidR="00F14584" w:rsidRPr="000829A5" w:rsidRDefault="00000000">
      <w:pPr>
        <w:pStyle w:val="Bibliography"/>
        <w:rPr>
          <w:rFonts w:ascii="Times New Roman" w:hAnsi="Times New Roman" w:cs="Times New Roman"/>
        </w:rPr>
      </w:pPr>
      <w:bookmarkStart w:id="78" w:name="ref-wang2020opinionsignals"/>
      <w:bookmarkEnd w:id="77"/>
      <w:r w:rsidRPr="000829A5">
        <w:rPr>
          <w:rFonts w:ascii="Times New Roman" w:hAnsi="Times New Roman" w:cs="Times New Roman"/>
        </w:rPr>
        <w:t xml:space="preserve">Wang, H., Wang, T., &amp; Li, Y. (2020). Incorporating expert-based investment opinion signals in stock prediction: A deep learning framework. </w:t>
      </w:r>
      <w:r w:rsidRPr="000829A5">
        <w:rPr>
          <w:rFonts w:ascii="Times New Roman" w:hAnsi="Times New Roman" w:cs="Times New Roman"/>
          <w:i/>
          <w:iCs/>
        </w:rPr>
        <w:t>Proceedings of the AAAI Conference on Artificial Intelligence</w:t>
      </w:r>
      <w:r w:rsidRPr="000829A5">
        <w:rPr>
          <w:rFonts w:ascii="Times New Roman" w:hAnsi="Times New Roman" w:cs="Times New Roman"/>
        </w:rPr>
        <w:t xml:space="preserve">, </w:t>
      </w:r>
      <w:r w:rsidRPr="000829A5">
        <w:rPr>
          <w:rFonts w:ascii="Times New Roman" w:hAnsi="Times New Roman" w:cs="Times New Roman"/>
          <w:i/>
          <w:iCs/>
        </w:rPr>
        <w:t>34</w:t>
      </w:r>
      <w:r w:rsidRPr="000829A5">
        <w:rPr>
          <w:rFonts w:ascii="Times New Roman" w:hAnsi="Times New Roman" w:cs="Times New Roman"/>
        </w:rPr>
        <w:t xml:space="preserve">, 971–978. </w:t>
      </w:r>
      <w:hyperlink r:id="rId39">
        <w:r w:rsidRPr="000829A5">
          <w:rPr>
            <w:rStyle w:val="Hyperlink"/>
            <w:rFonts w:ascii="Times New Roman" w:hAnsi="Times New Roman" w:cs="Times New Roman"/>
          </w:rPr>
          <w:t>https://doi.org/10.1609/aaai.v34i01.5445</w:t>
        </w:r>
      </w:hyperlink>
    </w:p>
    <w:p w14:paraId="65743D0D" w14:textId="77777777" w:rsidR="00F14584" w:rsidRPr="000829A5" w:rsidRDefault="00000000">
      <w:pPr>
        <w:pStyle w:val="Bibliography"/>
        <w:rPr>
          <w:rFonts w:ascii="Times New Roman" w:hAnsi="Times New Roman" w:cs="Times New Roman"/>
        </w:rPr>
      </w:pPr>
      <w:bookmarkStart w:id="79" w:name="ref-wang2024finin"/>
      <w:bookmarkEnd w:id="78"/>
      <w:r w:rsidRPr="000829A5">
        <w:rPr>
          <w:rFonts w:ascii="Times New Roman" w:hAnsi="Times New Roman" w:cs="Times New Roman"/>
        </w:rPr>
        <w:t xml:space="preserve">Wang, M., Cohen, S. B., &amp; Ma, T. (2024). Modeling news interactions and influence for financial market prediction. </w:t>
      </w:r>
      <w:r w:rsidRPr="000829A5">
        <w:rPr>
          <w:rFonts w:ascii="Times New Roman" w:hAnsi="Times New Roman" w:cs="Times New Roman"/>
          <w:i/>
          <w:iCs/>
        </w:rPr>
        <w:t>Findings of the Association for Computational Linguistics: EMNLP 2024</w:t>
      </w:r>
      <w:r w:rsidRPr="000829A5">
        <w:rPr>
          <w:rFonts w:ascii="Times New Roman" w:hAnsi="Times New Roman" w:cs="Times New Roman"/>
        </w:rPr>
        <w:t xml:space="preserve">, 3302–3314. </w:t>
      </w:r>
      <w:hyperlink r:id="rId40">
        <w:r w:rsidRPr="000829A5">
          <w:rPr>
            <w:rStyle w:val="Hyperlink"/>
            <w:rFonts w:ascii="Times New Roman" w:hAnsi="Times New Roman" w:cs="Times New Roman"/>
          </w:rPr>
          <w:t>https://doi.org/10.18653/v1/2024.findings-emnlp.189</w:t>
        </w:r>
      </w:hyperlink>
    </w:p>
    <w:p w14:paraId="3757030D" w14:textId="77777777" w:rsidR="00F14584" w:rsidRPr="000829A5" w:rsidRDefault="00000000">
      <w:pPr>
        <w:pStyle w:val="Bibliography"/>
        <w:rPr>
          <w:rFonts w:ascii="Times New Roman" w:hAnsi="Times New Roman" w:cs="Times New Roman"/>
        </w:rPr>
      </w:pPr>
      <w:bookmarkStart w:id="80" w:name="ref-wang2023selfconsistency"/>
      <w:bookmarkEnd w:id="79"/>
      <w:r w:rsidRPr="000829A5">
        <w:rPr>
          <w:rFonts w:ascii="Times New Roman" w:hAnsi="Times New Roman" w:cs="Times New Roman"/>
        </w:rPr>
        <w:t xml:space="preserve">Wang, X., Wei, J., Schuurmans, D., Le, Q. V., Chi, E. H., Narang, S., Chowdhery, A., &amp; Zhou, D. (2023). Self-consistency improves chain of thought reasoning in language models. </w:t>
      </w:r>
      <w:r w:rsidRPr="000829A5">
        <w:rPr>
          <w:rFonts w:ascii="Times New Roman" w:hAnsi="Times New Roman" w:cs="Times New Roman"/>
          <w:i/>
          <w:iCs/>
        </w:rPr>
        <w:t>The Eleventh International Conference on Learning Representations</w:t>
      </w:r>
      <w:r w:rsidRPr="000829A5">
        <w:rPr>
          <w:rFonts w:ascii="Times New Roman" w:hAnsi="Times New Roman" w:cs="Times New Roman"/>
        </w:rPr>
        <w:t xml:space="preserve">. </w:t>
      </w:r>
      <w:hyperlink r:id="rId41">
        <w:r w:rsidRPr="000829A5">
          <w:rPr>
            <w:rStyle w:val="Hyperlink"/>
            <w:rFonts w:ascii="Times New Roman" w:hAnsi="Times New Roman" w:cs="Times New Roman"/>
          </w:rPr>
          <w:t>https://openreview.net/forum?id=1PL1NIMMrw</w:t>
        </w:r>
      </w:hyperlink>
    </w:p>
    <w:p w14:paraId="201CCFB5" w14:textId="77777777" w:rsidR="00F14584" w:rsidRPr="000829A5" w:rsidRDefault="00000000">
      <w:pPr>
        <w:pStyle w:val="Bibliography"/>
        <w:rPr>
          <w:rFonts w:ascii="Times New Roman" w:hAnsi="Times New Roman" w:cs="Times New Roman"/>
        </w:rPr>
      </w:pPr>
      <w:bookmarkStart w:id="81" w:name="ref-wilder1978concepts"/>
      <w:bookmarkEnd w:id="80"/>
      <w:r w:rsidRPr="000829A5">
        <w:rPr>
          <w:rFonts w:ascii="Times New Roman" w:hAnsi="Times New Roman" w:cs="Times New Roman"/>
        </w:rPr>
        <w:t xml:space="preserve">Wilder, J. W. Jr. (1978). </w:t>
      </w:r>
      <w:r w:rsidRPr="000829A5">
        <w:rPr>
          <w:rFonts w:ascii="Times New Roman" w:hAnsi="Times New Roman" w:cs="Times New Roman"/>
          <w:i/>
          <w:iCs/>
        </w:rPr>
        <w:t>New concepts in technical trading systems</w:t>
      </w:r>
      <w:r w:rsidRPr="000829A5">
        <w:rPr>
          <w:rFonts w:ascii="Times New Roman" w:hAnsi="Times New Roman" w:cs="Times New Roman"/>
        </w:rPr>
        <w:t>. Trend Research.</w:t>
      </w:r>
    </w:p>
    <w:p w14:paraId="0C591F42" w14:textId="77777777" w:rsidR="00F14584" w:rsidRPr="000829A5" w:rsidRDefault="00000000">
      <w:pPr>
        <w:pStyle w:val="Bibliography"/>
        <w:rPr>
          <w:rFonts w:ascii="Times New Roman" w:hAnsi="Times New Roman" w:cs="Times New Roman"/>
        </w:rPr>
      </w:pPr>
      <w:bookmarkStart w:id="82" w:name="ref-yeo2025finxai"/>
      <w:bookmarkEnd w:id="81"/>
      <w:r w:rsidRPr="000829A5">
        <w:rPr>
          <w:rFonts w:ascii="Times New Roman" w:hAnsi="Times New Roman" w:cs="Times New Roman"/>
        </w:rPr>
        <w:t xml:space="preserve">Yeo, W. J., Van Der Heever, W., Mao, R., Cambria, E., Satapathy, R., &amp; Mengaldo, G. (2025). A comprehensive review on financial explainable AI. </w:t>
      </w:r>
      <w:r w:rsidRPr="000829A5">
        <w:rPr>
          <w:rFonts w:ascii="Times New Roman" w:hAnsi="Times New Roman" w:cs="Times New Roman"/>
          <w:i/>
          <w:iCs/>
        </w:rPr>
        <w:t>Artificial Intelligence Review</w:t>
      </w:r>
      <w:r w:rsidRPr="000829A5">
        <w:rPr>
          <w:rFonts w:ascii="Times New Roman" w:hAnsi="Times New Roman" w:cs="Times New Roman"/>
        </w:rPr>
        <w:t xml:space="preserve">, </w:t>
      </w:r>
      <w:r w:rsidRPr="000829A5">
        <w:rPr>
          <w:rFonts w:ascii="Times New Roman" w:hAnsi="Times New Roman" w:cs="Times New Roman"/>
          <w:i/>
          <w:iCs/>
        </w:rPr>
        <w:t>58</w:t>
      </w:r>
      <w:r w:rsidRPr="000829A5">
        <w:rPr>
          <w:rFonts w:ascii="Times New Roman" w:hAnsi="Times New Roman" w:cs="Times New Roman"/>
        </w:rPr>
        <w:t xml:space="preserve">(6), 189. </w:t>
      </w:r>
      <w:hyperlink r:id="rId42">
        <w:r w:rsidRPr="000829A5">
          <w:rPr>
            <w:rStyle w:val="Hyperlink"/>
            <w:rFonts w:ascii="Times New Roman" w:hAnsi="Times New Roman" w:cs="Times New Roman"/>
          </w:rPr>
          <w:t>https://doi.org/10.1007/s10462-024-11077-7</w:t>
        </w:r>
      </w:hyperlink>
      <w:bookmarkEnd w:id="41"/>
      <w:bookmarkEnd w:id="43"/>
      <w:bookmarkEnd w:id="82"/>
    </w:p>
    <w:sectPr w:rsidR="00F14584" w:rsidRPr="000829A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9E68D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9D02BF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ACE82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28808583">
    <w:abstractNumId w:val="0"/>
  </w:num>
  <w:num w:numId="2" w16cid:durableId="5064101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96438132">
    <w:abstractNumId w:val="1"/>
  </w:num>
  <w:num w:numId="4" w16cid:durableId="18658260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838566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14584"/>
    <w:rsid w:val="000829A5"/>
    <w:rsid w:val="00654C14"/>
    <w:rsid w:val="007B4EB4"/>
    <w:rsid w:val="00C135C4"/>
    <w:rsid w:val="00D47D43"/>
    <w:rsid w:val="00F1458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ecimalSymbol w:val="."/>
  <w:listSeparator w:val=","/>
  <w14:docId w14:val="193D1F43"/>
  <w15:docId w15:val="{751EE97F-A490-43B0-8E8D-36C07FB38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0829A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roceedings.mlr.press/v235/du24e.html" TargetMode="External"/><Relationship Id="rId18" Type="http://schemas.openxmlformats.org/officeDocument/2006/relationships/hyperlink" Target="https://doi.org/10.1016/j.eswa.2019.03.029" TargetMode="External"/><Relationship Id="rId26" Type="http://schemas.openxmlformats.org/officeDocument/2006/relationships/hyperlink" Target="https://doi.org/10.18653/v1/2023.acl-long.679" TargetMode="External"/><Relationship Id="rId39" Type="http://schemas.openxmlformats.org/officeDocument/2006/relationships/hyperlink" Target="https://doi.org/10.1609/aaai.v34i01.5445" TargetMode="External"/><Relationship Id="rId21" Type="http://schemas.openxmlformats.org/officeDocument/2006/relationships/hyperlink" Target="https://doi.org/10.18653/v1/2024.emnlp-main.992" TargetMode="External"/><Relationship Id="rId34" Type="http://schemas.openxmlformats.org/officeDocument/2006/relationships/hyperlink" Target="https://www.set.or.th/en/market/news-and-alert/news" TargetMode="External"/><Relationship Id="rId42" Type="http://schemas.openxmlformats.org/officeDocument/2006/relationships/hyperlink" Target="https://doi.org/10.1007/s10462-024-11077-7" TargetMode="External"/><Relationship Id="rId7" Type="http://schemas.openxmlformats.org/officeDocument/2006/relationships/hyperlink" Target="https://doi.org/10.3905/jpm.2014.40.5.094" TargetMode="External"/><Relationship Id="rId2" Type="http://schemas.openxmlformats.org/officeDocument/2006/relationships/styles" Target="styles.xml"/><Relationship Id="rId16" Type="http://schemas.openxmlformats.org/officeDocument/2006/relationships/hyperlink" Target="https://doi.org/10.1162/neco.1997.9.8.1735" TargetMode="External"/><Relationship Id="rId20" Type="http://schemas.openxmlformats.org/officeDocument/2006/relationships/hyperlink" Target="https://th.investing.com/indices/set-50-historical-data" TargetMode="External"/><Relationship Id="rId29" Type="http://schemas.openxmlformats.org/officeDocument/2006/relationships/hyperlink" Target="https://doi.org/10.1002/jae.664" TargetMode="External"/><Relationship Id="rId41" Type="http://schemas.openxmlformats.org/officeDocument/2006/relationships/hyperlink" Target="https://openreview.net/forum?id=1PL1NIMMrw" TargetMode="External"/><Relationship Id="rId1" Type="http://schemas.openxmlformats.org/officeDocument/2006/relationships/numbering" Target="numbering.xml"/><Relationship Id="rId6" Type="http://schemas.openxmlformats.org/officeDocument/2006/relationships/hyperlink" Target="https://doi.org/10.3905/jfds.2019.1.064" TargetMode="External"/><Relationship Id="rId11" Type="http://schemas.openxmlformats.org/officeDocument/2006/relationships/hyperlink" Target="https://doi.org/10.18653/v1/2025.findings-emnlp.972" TargetMode="External"/><Relationship Id="rId24" Type="http://schemas.openxmlformats.org/officeDocument/2006/relationships/hyperlink" Target="https://doi.org/10.1016/j.eswa.2023.121708" TargetMode="External"/><Relationship Id="rId32" Type="http://schemas.openxmlformats.org/officeDocument/2006/relationships/hyperlink" Target="https://doi.org/10.18653/v1/2020.emnlp-main.676" TargetMode="External"/><Relationship Id="rId37" Type="http://schemas.openxmlformats.org/officeDocument/2006/relationships/hyperlink" Target="https://huggingface.co/datasets/airesearch/Bilingual_StockTBSA" TargetMode="External"/><Relationship Id="rId40" Type="http://schemas.openxmlformats.org/officeDocument/2006/relationships/hyperlink" Target="https://doi.org/10.18653/v1/2024.findings-emnlp.189" TargetMode="External"/><Relationship Id="rId5" Type="http://schemas.openxmlformats.org/officeDocument/2006/relationships/hyperlink" Target="https://proceedings.neurips.cc/paper_files/paper/2018/hash/294a8ed24b1ad22ec2e7efea049b8737-Abstract.html" TargetMode="External"/><Relationship Id="rId15" Type="http://schemas.openxmlformats.org/officeDocument/2006/relationships/hyperlink" Target="https://doi.org/10.1016/j.ejor.2017.11.054" TargetMode="External"/><Relationship Id="rId23" Type="http://schemas.openxmlformats.org/officeDocument/2006/relationships/hyperlink" Target="https://doi.org/10.1016/j.eswa.2024.123966" TargetMode="External"/><Relationship Id="rId28" Type="http://schemas.openxmlformats.org/officeDocument/2006/relationships/hyperlink" Target="https://doi.org/10.1007/s10462-022-10226-0" TargetMode="External"/><Relationship Id="rId36" Type="http://schemas.openxmlformats.org/officeDocument/2006/relationships/hyperlink" Target="https://www.set.or.th/en/market/index/set50/profile" TargetMode="External"/><Relationship Id="rId10" Type="http://schemas.openxmlformats.org/officeDocument/2006/relationships/hyperlink" Target="https://doi.org/10.1109/ICPR.2010.764" TargetMode="External"/><Relationship Id="rId19" Type="http://schemas.openxmlformats.org/officeDocument/2006/relationships/hyperlink" Target="https://www.investing.com/indices/set-100-historical-data" TargetMode="External"/><Relationship Id="rId31" Type="http://schemas.openxmlformats.org/officeDocument/2006/relationships/hyperlink" Target="https://doi.org/10.1145/2939672.2939778"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016/j.neucom.2024.127339" TargetMode="External"/><Relationship Id="rId14" Type="http://schemas.openxmlformats.org/officeDocument/2006/relationships/hyperlink" Target="https://doi.org/10.1111/j.1540-6261.1970.tb00518.x" TargetMode="External"/><Relationship Id="rId22" Type="http://schemas.openxmlformats.org/officeDocument/2006/relationships/hyperlink" Target="https://doi.org/10.1016/j.knosys.2022.109324" TargetMode="External"/><Relationship Id="rId27" Type="http://schemas.openxmlformats.org/officeDocument/2006/relationships/hyperlink" Target="https://doi.org/10.1016/j.jfineco.2011.11.003" TargetMode="External"/><Relationship Id="rId30" Type="http://schemas.openxmlformats.org/officeDocument/2006/relationships/hyperlink" Target="https://doi.org/10.24963/ijcai.2017/366" TargetMode="External"/><Relationship Id="rId35" Type="http://schemas.openxmlformats.org/officeDocument/2006/relationships/hyperlink" Target="https://www.set.or.th/en/market/index/set100/profile" TargetMode="External"/><Relationship Id="rId43" Type="http://schemas.openxmlformats.org/officeDocument/2006/relationships/fontTable" Target="fontTable.xml"/><Relationship Id="rId8" Type="http://schemas.openxmlformats.org/officeDocument/2006/relationships/hyperlink" Target="https://doi.org/10.1016/j.csda.2017.11.003" TargetMode="External"/><Relationship Id="rId3" Type="http://schemas.openxmlformats.org/officeDocument/2006/relationships/settings" Target="settings.xml"/><Relationship Id="rId12" Type="http://schemas.openxmlformats.org/officeDocument/2006/relationships/hyperlink" Target="https://doi.org/10.1109/TSP.2013.2288675" TargetMode="External"/><Relationship Id="rId17" Type="http://schemas.openxmlformats.org/officeDocument/2006/relationships/hyperlink" Target="https://www.jstor.org/stable/4615733" TargetMode="External"/><Relationship Id="rId25" Type="http://schemas.openxmlformats.org/officeDocument/2006/relationships/hyperlink" Target="https://proceedings.neurips.cc/paper_files/paper/2017/hash/8a20a8621978632d76c43dfd28b67767-Abstract.html" TargetMode="External"/><Relationship Id="rId33" Type="http://schemas.openxmlformats.org/officeDocument/2006/relationships/hyperlink" Target="https://doi.org/10.1016/j.asoc.2020.106181" TargetMode="External"/><Relationship Id="rId38" Type="http://schemas.openxmlformats.org/officeDocument/2006/relationships/hyperlink" Target="https://proceedings.neurips.cc/paper_files/paper/2017/hash/3f5ee243547dee91fbd053c1c4a845aa-Abstrac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155</TotalTime>
  <Pages>1</Pages>
  <Words>11236</Words>
  <Characters>64046</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A Point-in-Time Reliability Audit of Multimodal and Regime-Aware Deep Learning for Next-Day SET Index Direction Forecasting</vt:lpstr>
    </vt:vector>
  </TitlesOfParts>
  <Company/>
  <LinksUpToDate>false</LinksUpToDate>
  <CharactersWithSpaces>75132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Point-in-Time Reliability Audit of Multimodal and Regime-Aware Deep Learning for Next-Day SET Index Direction Forecasting</dc:title>
  <dc:subject/>
  <dc:creator>[Author name(s) to be inserted]</dc:creator>
  <cp:keywords/>
  <dc:description/>
  <cp:lastModifiedBy>Tanawat RUNGWALLAPA</cp:lastModifiedBy>
  <cp:revision>2</cp:revision>
  <dcterms:created xsi:type="dcterms:W3CDTF">2026-08-10T21:10:00Z</dcterms:created>
  <dcterms:modified xsi:type="dcterms:W3CDTF">2026-08-11T13:11:00Z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paper\references.bib</vt:lpwstr>
  </property>
  <property fmtid="{D5CDD505-2E9C-101B-9397-08002B2CF9AE}" pid="3" name="csl">
    <vt:lpwstr>https://www.zotero.org/styles/apa</vt:lpwstr>
  </property>
  <property fmtid="{D5CDD505-2E9C-101B-9397-08002B2CF9AE}" pid="4" name="date">
    <vt:lpwstr>Draft version 1 — 11 August 2026</vt:lpwstr>
  </property>
  <property fmtid="{D5CDD505-2E9C-101B-9397-08002B2CF9AE}" pid="5" name="link-citations">
    <vt:lpwstr>True</vt:lpwstr>
  </property>
</Properties>
</file>