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33149B55"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 Point-in-Time of Multimodal and Regime-Aware Deep Learning</w:t>
      </w:r>
      <w:r w:rsidR="00370E5E">
        <w:rPr>
          <w:rFonts w:ascii="Times New Roman" w:hAnsi="Times New Roman" w:cs="Times New Roman"/>
          <w:b/>
          <w:bCs/>
          <w:sz w:val="24"/>
          <w:szCs w:val="24"/>
          <w:shd w:val="clear" w:color="auto" w:fill="FFFFFF"/>
        </w:rPr>
        <w:t xml:space="preserve"> for</w:t>
      </w:r>
      <w:r w:rsidR="00D0143A">
        <w:rPr>
          <w:rFonts w:ascii="Times New Roman" w:hAnsi="Times New Roman" w:cs="Times New Roman"/>
          <w:b/>
          <w:bCs/>
          <w:sz w:val="24"/>
          <w:szCs w:val="24"/>
          <w:shd w:val="clear" w:color="auto" w:fill="FFFFFF"/>
        </w:rPr>
        <w:t xml:space="preserve"> </w:t>
      </w:r>
      <w:r w:rsidR="00370E5E">
        <w:rPr>
          <w:rFonts w:ascii="Times New Roman" w:hAnsi="Times New Roman" w:cs="Times New Roman"/>
          <w:b/>
          <w:bCs/>
          <w:sz w:val="24"/>
          <w:szCs w:val="24"/>
          <w:shd w:val="clear" w:color="auto" w:fill="FFFFFF"/>
        </w:rPr>
        <w:t>Next-Day SET Index Direction Forecasting</w:t>
      </w:r>
      <w:r w:rsidR="00D0143A">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466E3D" w:rsidRDefault="00710C26" w:rsidP="00710C26">
      <w:pPr>
        <w:spacing w:after="0" w:line="240" w:lineRule="auto"/>
        <w:jc w:val="center"/>
        <w:rPr>
          <w:rFonts w:ascii="Times New Roman" w:hAnsi="Times New Roman" w:cs="Times New Roman"/>
          <w:sz w:val="24"/>
          <w:szCs w:val="24"/>
          <w:vertAlign w:val="superscript"/>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Pr>
          <w:rFonts w:ascii="Times New Roman" w:eastAsia="Times New Roman" w:hAnsi="Times New Roman" w:cs="Times New Roman"/>
          <w:sz w:val="24"/>
          <w:szCs w:val="24"/>
        </w:rPr>
        <w:t>tanawat.run@ku.th</w:t>
      </w:r>
    </w:p>
    <w:p w14:paraId="3492B367" w14:textId="77777777" w:rsidR="00AB33B6" w:rsidRPr="00466E3D" w:rsidRDefault="001F1F8A" w:rsidP="00D0143A">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D0143A">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207E38" w:rsidRDefault="00DB3A79" w:rsidP="00D0143A">
      <w:pPr>
        <w:pBdr>
          <w:top w:val="nil"/>
          <w:left w:val="nil"/>
          <w:bottom w:val="nil"/>
          <w:right w:val="nil"/>
          <w:between w:val="nil"/>
        </w:pBdr>
        <w:spacing w:before="120" w:after="20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D0143A">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220EC408" w:rsidR="003361A4" w:rsidRDefault="003361A4" w:rsidP="00D0143A">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 xml:space="preserve">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 </w:t>
      </w:r>
      <w:r w:rsidR="00D0143A" w:rsidRPr="00D0143A">
        <w:rPr>
          <w:rFonts w:ascii="Times New Roman" w:hAnsi="Times New Roman" w:cs="Times New Roman"/>
          <w:b/>
          <w:sz w:val="24"/>
          <w:szCs w:val="24"/>
        </w:rPr>
        <w:t>(Fama, 1970; Olorunnimbe &amp; Viktor, 2023)</w:t>
      </w:r>
      <w:r w:rsidR="00D0143A" w:rsidRPr="00D0143A">
        <w:rPr>
          <w:rFonts w:ascii="Times New Roman" w:hAnsi="Times New Roman" w:cs="Times New Roman"/>
          <w:sz w:val="24"/>
          <w:szCs w:val="24"/>
        </w:rPr>
        <w:t>.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D0143A" w:rsidRPr="00D0143A">
        <w:rPr>
          <w:rFonts w:ascii="Times New Roman" w:eastAsia="Times New Roman" w:hAnsi="Times New Roman" w:cs="Times New Roman"/>
          <w:b/>
          <w:bCs/>
          <w:sz w:val="24"/>
          <w:szCs w:val="24"/>
        </w:rPr>
        <w:t>(Hochreiter &amp; Schmidhuber, 1997; Qin et al., 2017; Vaswani et al., 2017)</w:t>
      </w:r>
      <w:r w:rsidR="00D0143A" w:rsidRPr="00D0143A">
        <w:rPr>
          <w:rFonts w:ascii="Times New Roman" w:eastAsia="Times New Roman" w:hAnsi="Times New Roman" w:cs="Times New Roman"/>
          <w:bCs/>
          <w:sz w:val="24"/>
          <w:szCs w:val="24"/>
        </w:rPr>
        <w:t>.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D0143A" w:rsidRPr="00D0143A">
        <w:rPr>
          <w:rFonts w:ascii="Times New Roman" w:hAnsi="Times New Roman" w:cs="Times New Roman"/>
          <w:b/>
          <w:sz w:val="24"/>
          <w:szCs w:val="24"/>
        </w:rPr>
        <w:t>(Fischer &amp; Krauss, 2018; Hoseinzade &amp; Haratizadeh, 2019)</w:t>
      </w:r>
      <w:r w:rsidR="00D0143A" w:rsidRPr="00D0143A">
        <w:rPr>
          <w:rFonts w:ascii="Times New Roman" w:hAnsi="Times New Roman" w:cs="Times New Roman"/>
          <w:sz w:val="24"/>
          <w:szCs w:val="24"/>
        </w:rPr>
        <w:t>.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E0A338B" w:rsidR="00796B85" w:rsidRPr="00796B85" w:rsidRDefault="00560BEF"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D0143A" w:rsidRPr="00D0143A">
        <w:rPr>
          <w:rFonts w:ascii="Times New Roman" w:eastAsia="Times New Roman" w:hAnsi="Times New Roman" w:cs="Times New Roman"/>
          <w:b/>
          <w:bCs/>
          <w:sz w:val="24"/>
          <w:szCs w:val="24"/>
        </w:rPr>
        <w:t>(Olorunnimbe &amp; Viktor, 2023; Sezer et al., 2020)</w:t>
      </w:r>
      <w:r w:rsidR="00D0143A" w:rsidRPr="00D0143A">
        <w:rPr>
          <w:rFonts w:ascii="Times New Roman" w:eastAsia="Times New Roman" w:hAnsi="Times New Roman" w:cs="Times New Roman"/>
          <w:bCs/>
          <w:sz w:val="24"/>
          <w:szCs w:val="24"/>
        </w:rPr>
        <w:t>.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D0143A" w:rsidRPr="00D0143A">
        <w:rPr>
          <w:rFonts w:ascii="Times New Roman" w:hAnsi="Times New Roman" w:cs="Times New Roman"/>
          <w:b/>
          <w:sz w:val="24"/>
          <w:szCs w:val="24"/>
        </w:rPr>
        <w:t>(Luo et al., 2023; Sawhney et al., 2020; H. Wang et al., 2020)</w:t>
      </w:r>
      <w:r w:rsidR="00D0143A" w:rsidRPr="00D0143A">
        <w:rPr>
          <w:rFonts w:ascii="Times New Roman" w:hAnsi="Times New Roman" w:cs="Times New Roman"/>
          <w:sz w:val="24"/>
          <w:szCs w:val="24"/>
        </w:rPr>
        <w:t>.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D5534F">
        <w:rPr>
          <w:rFonts w:ascii="Times New Roman" w:hAnsi="Times New Roman" w:cs="Times New Roman"/>
          <w:sz w:val="24"/>
          <w:szCs w:val="24"/>
        </w:rPr>
        <w:t xml:space="preserve"> </w:t>
      </w:r>
      <w:r w:rsidR="00D0143A" w:rsidRPr="00D0143A">
        <w:rPr>
          <w:rFonts w:ascii="Times New Roman" w:hAnsi="Times New Roman" w:cs="Times New Roman"/>
          <w:b/>
          <w:sz w:val="24"/>
          <w:szCs w:val="24"/>
        </w:rPr>
        <w:t>(W.-J. Liu et al., 2024; M. Wang et al., 2024)</w:t>
      </w:r>
      <w:r w:rsidR="00D0143A" w:rsidRPr="00D0143A">
        <w:rPr>
          <w:rFonts w:ascii="Times New Roman" w:hAnsi="Times New Roman" w:cs="Times New Roman"/>
          <w:sz w:val="24"/>
          <w:szCs w:val="24"/>
        </w:rPr>
        <w:t>.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D0143A">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16AEBA11"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54CF7D1D" w:rsidR="009B2585"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65B5FC43" w:rsidR="001937FA" w:rsidRDefault="001937FA" w:rsidP="00D0143A">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D0143A">
      <w:pPr>
        <w:keepNext/>
        <w:spacing w:before="200" w:after="8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45B85A20" w:rsidR="00E97CD1" w:rsidRDefault="00B96D27" w:rsidP="00D0143A">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D0143A" w:rsidRPr="00D0143A">
        <w:rPr>
          <w:rFonts w:ascii="Times New Roman" w:hAnsi="Times New Roman" w:cs="Times New Roman"/>
          <w:b/>
          <w:sz w:val="24"/>
          <w:szCs w:val="24"/>
        </w:rPr>
        <w:t>(Hochreiter &amp; Schmidhuber, 1997)</w:t>
      </w:r>
      <w:r w:rsidR="00D0143A" w:rsidRPr="00D0143A">
        <w:rPr>
          <w:rFonts w:ascii="Times New Roman" w:hAnsi="Times New Roman" w:cs="Times New Roman"/>
          <w:sz w:val="24"/>
          <w:szCs w:val="24"/>
        </w:rPr>
        <w:t>.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D0143A" w:rsidRPr="00D0143A">
        <w:rPr>
          <w:rFonts w:ascii="Times New Roman" w:hAnsi="Times New Roman" w:cs="Times New Roman"/>
          <w:b/>
          <w:sz w:val="24"/>
          <w:szCs w:val="24"/>
        </w:rPr>
        <w:t>(Qin et al., 2017; Vaswani et al., 2017)</w:t>
      </w:r>
      <w:r w:rsidR="00D0143A" w:rsidRPr="00D0143A">
        <w:rPr>
          <w:rFonts w:ascii="Times New Roman" w:hAnsi="Times New Roman" w:cs="Times New Roman"/>
          <w:sz w:val="24"/>
          <w:szCs w:val="24"/>
        </w:rPr>
        <w:t>.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Pr>
          <w:rFonts w:ascii="Times New Roman" w:hAnsi="Times New Roman" w:cs="Times New Roman"/>
          <w:sz w:val="24"/>
          <w:szCs w:val="24"/>
        </w:rPr>
        <w:fldChar w:fldCharType="begin"/>
      </w:r>
      <w:r w:rsidR="00667D9C">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Pr>
          <w:rFonts w:ascii="Times New Roman" w:hAnsi="Times New Roman" w:cs="Times New Roman"/>
          <w:sz w:val="24"/>
          <w:szCs w:val="24"/>
        </w:rPr>
        <w:fldChar w:fldCharType="separate"/>
      </w:r>
      <w:r w:rsidR="00667D9C" w:rsidRPr="00D0143A">
        <w:rPr>
          <w:rFonts w:ascii="Times New Roman" w:hAnsi="Times New Roman" w:cs="Times New Roman"/>
          <w:b/>
          <w:sz w:val="24"/>
        </w:rPr>
        <w:t>(Fischer &amp; Krauss, 2018)</w:t>
      </w:r>
      <w:r w:rsidR="00667D9C">
        <w:rPr>
          <w:rFonts w:ascii="Times New Roman" w:hAnsi="Times New Roman" w:cs="Times New Roman"/>
          <w:sz w:val="24"/>
          <w:szCs w:val="24"/>
        </w:rPr>
        <w:fldChar w:fldCharType="end"/>
      </w:r>
      <w:r w:rsidR="001B4763">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D0143A" w:rsidRPr="00D0143A">
        <w:rPr>
          <w:rFonts w:ascii="Times New Roman" w:hAnsi="Times New Roman" w:cs="Times New Roman"/>
          <w:b/>
          <w:sz w:val="24"/>
          <w:szCs w:val="24"/>
        </w:rPr>
        <w:t xml:space="preserve">(Hoseinzade &amp; </w:t>
      </w:r>
      <w:r w:rsidR="00D0143A" w:rsidRPr="00D0143A">
        <w:rPr>
          <w:rFonts w:ascii="Times New Roman" w:hAnsi="Times New Roman" w:cs="Times New Roman"/>
          <w:b/>
          <w:sz w:val="24"/>
          <w:szCs w:val="24"/>
        </w:rPr>
        <w:lastRenderedPageBreak/>
        <w:t>Haratizadeh, 2019)</w:t>
      </w:r>
      <w:r w:rsidR="00D0143A" w:rsidRPr="00D0143A">
        <w:rPr>
          <w:rFonts w:ascii="Times New Roman" w:hAnsi="Times New Roman" w:cs="Times New Roman"/>
          <w:sz w:val="24"/>
          <w:szCs w:val="24"/>
        </w:rPr>
        <w:t>. 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(Olorunnimbe &amp; Viktor, 2023)</w:t>
      </w:r>
      <w:r w:rsidR="00FE3662">
        <w:rPr>
          <w:rFonts w:ascii="Times New Roman" w:hAnsi="Times New Roman" w:cs="Times New Roman"/>
          <w:sz w:val="24"/>
          <w:szCs w:val="24"/>
        </w:rPr>
        <w:fldChar w:fldCharType="end"/>
      </w:r>
      <w:r w:rsidR="00D0143A">
        <w:rPr>
          <w:rFonts w:ascii="Times New Roman" w:hAnsi="Times New Roman" w:cs="Times New Roman"/>
          <w:sz w:val="24"/>
          <w:szCs w:val="24"/>
        </w:rPr>
        <w:t>.</w:t>
      </w:r>
    </w:p>
    <w:p w14:paraId="67570C73" w14:textId="77777777" w:rsidR="00D0143A" w:rsidRDefault="00E97CD1"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0885095A" w:rsidR="00187B55" w:rsidRDefault="00F11ACE"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Variational mode decomposition separates a signal into band-limited intrinsic mode functions through a constrained variational formulation </w:t>
      </w:r>
      <w:r w:rsidR="00D0143A" w:rsidRPr="00D0143A">
        <w:rPr>
          <w:rFonts w:ascii="Times New Roman" w:eastAsia="Times New Roman" w:hAnsi="Times New Roman" w:cs="Times New Roman"/>
          <w:b/>
          <w:sz w:val="24"/>
          <w:szCs w:val="24"/>
        </w:rPr>
        <w:t>(Dragomiretskiy &amp; Zosso, 2014)</w:t>
      </w:r>
      <w:r w:rsidR="00D0143A" w:rsidRPr="00D0143A">
        <w:rPr>
          <w:rFonts w:ascii="Times New Roman" w:eastAsia="Times New Roman" w:hAnsi="Times New Roman" w:cs="Times New Roman"/>
          <w:sz w:val="24"/>
          <w:szCs w:val="24"/>
        </w:rPr>
        <w:t>.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D0143A" w:rsidRPr="00D0143A">
        <w:rPr>
          <w:rFonts w:ascii="Times New Roman" w:hAnsi="Times New Roman" w:cs="Times New Roman"/>
          <w:b/>
          <w:sz w:val="24"/>
          <w:szCs w:val="24"/>
        </w:rPr>
        <w:t>(T. Liu et al., 2022; Y. Liu et al., 2024)</w:t>
      </w:r>
      <w:r w:rsidR="00D0143A" w:rsidRPr="00D0143A">
        <w:rPr>
          <w:rFonts w:ascii="Times New Roman" w:hAnsi="Times New Roman" w:cs="Times New Roman"/>
          <w:sz w:val="24"/>
          <w:szCs w:val="24"/>
        </w:rPr>
        <w:t>.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D0143A" w:rsidRPr="00D0143A">
        <w:rPr>
          <w:rFonts w:ascii="Times New Roman" w:hAnsi="Times New Roman" w:cs="Times New Roman"/>
          <w:b/>
          <w:sz w:val="24"/>
          <w:szCs w:val="24"/>
        </w:rPr>
        <w:t>(T. Liu et al., 2022)</w:t>
      </w:r>
      <w:r w:rsidR="00D0143A" w:rsidRPr="00D0143A">
        <w:rPr>
          <w:rFonts w:ascii="Times New Roman" w:hAnsi="Times New Roman" w:cs="Times New Roman"/>
          <w:sz w:val="24"/>
          <w:szCs w:val="24"/>
        </w:rPr>
        <w:t>.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E4F5E0D" w:rsidR="00187B55" w:rsidRDefault="00FE5BD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D0143A" w:rsidRPr="00D0143A">
        <w:rPr>
          <w:rFonts w:ascii="Times New Roman" w:eastAsia="Times New Roman" w:hAnsi="Times New Roman" w:cs="Times New Roman"/>
          <w:b/>
          <w:sz w:val="24"/>
          <w:szCs w:val="24"/>
        </w:rPr>
        <w:t>(Luo et al., 2023; Sawhney et al., 2020; H. Wang et al., 2020)</w:t>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D0143A" w:rsidRPr="00D0143A">
        <w:rPr>
          <w:rFonts w:ascii="Times New Roman" w:hAnsi="Times New Roman" w:cs="Times New Roman"/>
          <w:b/>
          <w:sz w:val="24"/>
          <w:szCs w:val="24"/>
        </w:rPr>
        <w:t>(W.-J. Liu et al., 2024; M. Wang et al., 2024)</w:t>
      </w:r>
      <w:r w:rsidR="00D0143A" w:rsidRPr="00D0143A">
        <w:rPr>
          <w:rFonts w:ascii="Times New Roman" w:hAnsi="Times New Roman" w:cs="Times New Roman"/>
          <w:sz w:val="24"/>
          <w:szCs w:val="24"/>
        </w:rPr>
        <w:t>.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4C664EB2" w:rsidR="00C17ECC" w:rsidRDefault="00C17ECC" w:rsidP="00D0143A">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 xml:space="preserve">Multi-agent debate and judge-style LLM systems can improve reasoning by eliciting divergent intermediate positions before a final decision </w:t>
      </w:r>
      <w:r w:rsidR="00D0143A" w:rsidRPr="00D0143A">
        <w:rPr>
          <w:rFonts w:ascii="Times New Roman" w:eastAsia="Times New Roman" w:hAnsi="Times New Roman"/>
          <w:b/>
          <w:sz w:val="24"/>
          <w:szCs w:val="24"/>
          <w:cs/>
        </w:rPr>
        <w:t>(</w:t>
      </w:r>
      <w:r w:rsidR="00D0143A" w:rsidRPr="00D0143A">
        <w:rPr>
          <w:rFonts w:ascii="Times New Roman" w:eastAsia="Times New Roman" w:hAnsi="Times New Roman"/>
          <w:b/>
          <w:sz w:val="24"/>
          <w:szCs w:val="24"/>
        </w:rPr>
        <w:t xml:space="preserve">Du et al., </w:t>
      </w:r>
      <w:r w:rsidR="00D0143A" w:rsidRPr="00D0143A">
        <w:rPr>
          <w:rFonts w:ascii="Times New Roman" w:eastAsia="Times New Roman" w:hAnsi="Times New Roman"/>
          <w:b/>
          <w:sz w:val="24"/>
          <w:szCs w:val="24"/>
          <w:cs/>
        </w:rPr>
        <w:t>2024</w:t>
      </w:r>
      <w:r w:rsidR="00D0143A" w:rsidRPr="00D0143A">
        <w:rPr>
          <w:rFonts w:ascii="Times New Roman" w:eastAsia="Times New Roman" w:hAnsi="Times New Roman"/>
          <w:b/>
          <w:sz w:val="24"/>
          <w:szCs w:val="24"/>
        </w:rPr>
        <w:t xml:space="preserve">; Liang et al., </w:t>
      </w:r>
      <w:r w:rsidR="00D0143A" w:rsidRPr="00D0143A">
        <w:rPr>
          <w:rFonts w:ascii="Times New Roman" w:eastAsia="Times New Roman" w:hAnsi="Times New Roman"/>
          <w:b/>
          <w:sz w:val="24"/>
          <w:szCs w:val="24"/>
          <w:cs/>
        </w:rPr>
        <w:t>2024)</w:t>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E42D37">
        <w:rPr>
          <w:rFonts w:ascii="Times New Roman" w:hAnsi="Times New Roman" w:cs="Times New Roman"/>
          <w:sz w:val="24"/>
          <w:szCs w:val="24"/>
        </w:rPr>
        <w:t xml:space="preserve"> </w:t>
      </w:r>
      <w:r w:rsidR="00D0143A" w:rsidRPr="00D0143A">
        <w:rPr>
          <w:rFonts w:ascii="Times New Roman" w:hAnsi="Times New Roman" w:cs="Times New Roman"/>
          <w:b/>
          <w:sz w:val="24"/>
          <w:szCs w:val="24"/>
        </w:rPr>
        <w:t>(X. Wang et al., 2023)</w:t>
      </w:r>
      <w:r w:rsidR="00D0143A" w:rsidRPr="00D0143A">
        <w:rPr>
          <w:rFonts w:ascii="Times New Roman" w:hAnsi="Times New Roman" w:cs="Times New Roman"/>
          <w:sz w:val="24"/>
          <w:szCs w:val="24"/>
        </w:rPr>
        <w:t>.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Pr>
          <w:rFonts w:ascii="Times New Roman" w:hAnsi="Times New Roman" w:cs="Times New Roman"/>
          <w:sz w:val="24"/>
          <w:szCs w:val="24"/>
        </w:rPr>
        <w:fldChar w:fldCharType="begin"/>
      </w:r>
      <w:r w:rsidR="00FD0A3B">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Pr>
          <w:rFonts w:ascii="Times New Roman" w:hAnsi="Times New Roman" w:cs="Times New Roman"/>
          <w:sz w:val="24"/>
          <w:szCs w:val="24"/>
        </w:rPr>
        <w:fldChar w:fldCharType="separate"/>
      </w:r>
      <w:r w:rsidR="00FD0A3B" w:rsidRPr="00D0143A">
        <w:rPr>
          <w:rFonts w:ascii="Times New Roman" w:hAnsi="Times New Roman" w:cs="Times New Roman"/>
          <w:b/>
          <w:sz w:val="24"/>
        </w:rPr>
        <w:t>(Dong et al., 2025)</w:t>
      </w:r>
      <w:r w:rsidR="00FD0A3B">
        <w:rPr>
          <w:rFonts w:ascii="Times New Roman" w:hAnsi="Times New Roman" w:cs="Times New Roman"/>
          <w:sz w:val="24"/>
          <w:szCs w:val="24"/>
        </w:rPr>
        <w:fldChar w:fldCharType="end"/>
      </w:r>
      <w:r w:rsidR="00D0143A">
        <w:rPr>
          <w:rFonts w:ascii="Times New Roman" w:hAnsi="Times New Roman" w:cs="Times New Roman"/>
          <w:sz w:val="24"/>
          <w:szCs w:val="24"/>
        </w:rPr>
        <w:t>.</w:t>
      </w:r>
    </w:p>
    <w:p w14:paraId="05F3E485" w14:textId="2FF9F83B" w:rsidR="00FD0A3B" w:rsidRPr="00B11EDA" w:rsidRDefault="00FD0A3B"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5D1D6A46" w:rsidR="00F756DC" w:rsidRDefault="00F756DC" w:rsidP="00D0143A">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D0143A" w:rsidRPr="00D0143A">
        <w:rPr>
          <w:rFonts w:ascii="Times New Roman" w:eastAsia="Times New Roman" w:hAnsi="Times New Roman" w:cs="Times New Roman"/>
          <w:b/>
          <w:sz w:val="24"/>
          <w:szCs w:val="24"/>
        </w:rPr>
        <w:t>(Pagan &amp; Sossounov, 2003)</w:t>
      </w:r>
      <w:r w:rsidR="00D0143A" w:rsidRPr="00D0143A">
        <w:rPr>
          <w:rFonts w:ascii="Times New Roman" w:eastAsia="Times New Roman" w:hAnsi="Times New Roman" w:cs="Times New Roman"/>
          <w:sz w:val="24"/>
          <w:szCs w:val="24"/>
        </w:rPr>
        <w:t>.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Pr>
          <w:rFonts w:ascii="Times New Roman" w:hAnsi="Times New Roman" w:cs="Times New Roman"/>
          <w:sz w:val="24"/>
          <w:szCs w:val="24"/>
        </w:rPr>
        <w:fldChar w:fldCharType="begin"/>
      </w:r>
      <w:r w:rsidR="00575836">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Pr>
          <w:rFonts w:ascii="Times New Roman" w:hAnsi="Times New Roman" w:cs="Times New Roman"/>
          <w:sz w:val="24"/>
          <w:szCs w:val="24"/>
        </w:rPr>
        <w:fldChar w:fldCharType="separate"/>
      </w:r>
      <w:r w:rsidR="00575836" w:rsidRPr="00D0143A">
        <w:rPr>
          <w:rFonts w:ascii="Times New Roman" w:hAnsi="Times New Roman" w:cs="Times New Roman"/>
          <w:b/>
          <w:sz w:val="24"/>
        </w:rPr>
        <w:t>(Moskowitz et al., 2012)</w:t>
      </w:r>
      <w:r w:rsidR="00575836">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Pr>
          <w:rFonts w:ascii="Times New Roman" w:hAnsi="Times New Roman" w:cs="Times New Roman"/>
          <w:sz w:val="24"/>
          <w:szCs w:val="24"/>
        </w:rPr>
        <w:fldChar w:fldCharType="begin"/>
      </w:r>
      <w:r w:rsidR="000B166F">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Pr>
          <w:rFonts w:ascii="Times New Roman" w:hAnsi="Times New Roman" w:cs="Times New Roman"/>
          <w:sz w:val="24"/>
          <w:szCs w:val="24"/>
        </w:rPr>
        <w:fldChar w:fldCharType="separate"/>
      </w:r>
      <w:r w:rsidR="000B166F" w:rsidRPr="00D0143A">
        <w:rPr>
          <w:rFonts w:ascii="Times New Roman" w:hAnsi="Times New Roman" w:cs="Times New Roman"/>
          <w:b/>
          <w:sz w:val="24"/>
        </w:rPr>
        <w:t>(Wilder, 1978)</w:t>
      </w:r>
      <w:r w:rsidR="000B166F">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3DC97C59" w:rsidR="00E340C7" w:rsidRDefault="00A63E0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SHAP unifies feature attribution through Shapley values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Pr>
          <w:rFonts w:ascii="Times New Roman" w:hAnsi="Times New Roman" w:cs="Times New Roman"/>
          <w:sz w:val="24"/>
          <w:szCs w:val="24"/>
        </w:rPr>
        <w:fldChar w:fldCharType="separate"/>
      </w:r>
      <w:r w:rsidRPr="00D0143A">
        <w:rPr>
          <w:rFonts w:ascii="Times New Roman" w:hAnsi="Times New Roman" w:cs="Times New Roman"/>
          <w:b/>
          <w:sz w:val="24"/>
        </w:rPr>
        <w:t>(Lundberg &amp; Lee, 2017)</w:t>
      </w:r>
      <w:r>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D0143A" w:rsidRPr="00D0143A">
        <w:rPr>
          <w:rFonts w:ascii="Times New Roman" w:hAnsi="Times New Roman" w:cs="Times New Roman"/>
          <w:b/>
          <w:sz w:val="24"/>
          <w:szCs w:val="24"/>
        </w:rPr>
        <w:t>(Ribeiro et al., 2016)</w:t>
      </w:r>
      <w:r w:rsidR="00D0143A" w:rsidRPr="00D0143A">
        <w:rPr>
          <w:rFonts w:ascii="Times New Roman" w:hAnsi="Times New Roman" w:cs="Times New Roman"/>
          <w:sz w:val="24"/>
          <w:szCs w:val="24"/>
        </w:rPr>
        <w:t>.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D0143A" w:rsidRPr="00D0143A">
        <w:rPr>
          <w:rFonts w:ascii="Times New Roman" w:hAnsi="Times New Roman" w:cs="Times New Roman"/>
          <w:b/>
          <w:sz w:val="24"/>
          <w:szCs w:val="24"/>
        </w:rPr>
        <w:t>(Adebayo et al., 2018)</w:t>
      </w:r>
      <w:r w:rsidR="00D0143A" w:rsidRPr="00D0143A">
        <w:rPr>
          <w:rFonts w:ascii="Times New Roman" w:hAnsi="Times New Roman" w:cs="Times New Roman"/>
          <w:sz w:val="24"/>
          <w:szCs w:val="24"/>
        </w:rPr>
        <w:t>.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D0143A" w:rsidRPr="00D0143A">
        <w:rPr>
          <w:rFonts w:ascii="Times New Roman" w:hAnsi="Times New Roman" w:cs="Times New Roman"/>
          <w:b/>
          <w:sz w:val="24"/>
          <w:szCs w:val="24"/>
        </w:rPr>
        <w:t>(Yeo et al., 2025)</w:t>
      </w:r>
      <w:r w:rsidR="00D0143A" w:rsidRPr="00D0143A">
        <w:rPr>
          <w:rFonts w:ascii="Times New Roman" w:hAnsi="Times New Roman" w:cs="Times New Roman"/>
          <w:sz w:val="24"/>
          <w:szCs w:val="24"/>
        </w:rPr>
        <w:t>.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0BE5F109" w:rsidR="00524254" w:rsidRDefault="00143AD0"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D0143A" w:rsidRPr="00D0143A">
        <w:rPr>
          <w:rFonts w:ascii="Times New Roman" w:hAnsi="Times New Roman" w:cs="Times New Roman"/>
          <w:b/>
          <w:sz w:val="24"/>
          <w:szCs w:val="24"/>
        </w:rPr>
        <w:t>(Bergmeir et al., 2018)</w:t>
      </w:r>
      <w:r w:rsidR="00D0143A" w:rsidRPr="00D0143A">
        <w:rPr>
          <w:rFonts w:ascii="Times New Roman" w:hAnsi="Times New Roman" w:cs="Times New Roman"/>
          <w:sz w:val="24"/>
          <w:szCs w:val="24"/>
        </w:rPr>
        <w:t>.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D0143A" w:rsidRPr="00D0143A">
        <w:rPr>
          <w:rFonts w:ascii="Times New Roman" w:hAnsi="Times New Roman" w:cs="Times New Roman"/>
          <w:b/>
          <w:sz w:val="24"/>
          <w:szCs w:val="24"/>
        </w:rPr>
        <w:t>(Arnott et al., 2019; Olorunnimbe &amp; Viktor, 2023)</w:t>
      </w:r>
      <w:r w:rsidR="00D0143A" w:rsidRPr="00D0143A">
        <w:rPr>
          <w:rFonts w:ascii="Times New Roman" w:hAnsi="Times New Roman" w:cs="Times New Roman"/>
          <w:sz w:val="24"/>
          <w:szCs w:val="24"/>
        </w:rPr>
        <w:t>. We</w:t>
      </w:r>
      <w:r w:rsidR="00483C69" w:rsidRPr="000829A5">
        <w:rPr>
          <w:rFonts w:ascii="Times New Roman" w:hAnsi="Times New Roman" w:cs="Times New Roman"/>
          <w:sz w:val="24"/>
          <w:szCs w:val="24"/>
        </w:rPr>
        <w:t xml:space="preserve"> use expanding annual folds and a label-observation purge instead of random </w:t>
      </w:r>
      <w:r w:rsidR="00483C69" w:rsidRPr="000829A5">
        <w:rPr>
          <w:rFonts w:ascii="Times New Roman" w:hAnsi="Times New Roman" w:cs="Times New Roman"/>
          <w:sz w:val="24"/>
          <w:szCs w:val="24"/>
        </w:rPr>
        <w:lastRenderedPageBreak/>
        <w:t xml:space="preserve">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D0143A" w:rsidRPr="00D0143A">
        <w:rPr>
          <w:rFonts w:ascii="Times New Roman" w:eastAsia="Times New Roman" w:hAnsi="Times New Roman" w:cs="Times New Roman"/>
          <w:b/>
          <w:sz w:val="24"/>
          <w:szCs w:val="24"/>
        </w:rPr>
        <w:t>(Brodersen et al., 2010)</w:t>
      </w:r>
      <w:r w:rsidR="00D0143A" w:rsidRPr="00D0143A">
        <w:rPr>
          <w:rFonts w:ascii="Times New Roman" w:eastAsia="Times New Roman" w:hAnsi="Times New Roman" w:cs="Times New Roman"/>
          <w:sz w:val="24"/>
          <w:szCs w:val="24"/>
        </w:rPr>
        <w:t>.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D0143A" w:rsidRPr="00D0143A">
        <w:rPr>
          <w:rFonts w:ascii="Times New Roman" w:hAnsi="Times New Roman" w:cs="Times New Roman"/>
          <w:b/>
          <w:sz w:val="24"/>
          <w:szCs w:val="24"/>
        </w:rPr>
        <w:t>(Holm, 1979)</w:t>
      </w:r>
      <w:r w:rsidR="00D0143A" w:rsidRPr="00D0143A">
        <w:rPr>
          <w:rFonts w:ascii="Times New Roman" w:hAnsi="Times New Roman" w:cs="Times New Roman"/>
          <w:sz w:val="24"/>
          <w:szCs w:val="24"/>
        </w:rPr>
        <w:t>.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Pr>
          <w:rFonts w:ascii="Times New Roman" w:hAnsi="Times New Roman" w:cs="Times New Roman"/>
          <w:sz w:val="24"/>
          <w:szCs w:val="24"/>
        </w:rPr>
        <w:fldChar w:fldCharType="begin"/>
      </w:r>
      <w:r w:rsidR="000D08AF">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Pr>
          <w:rFonts w:ascii="Times New Roman" w:hAnsi="Times New Roman" w:cs="Times New Roman"/>
          <w:sz w:val="24"/>
          <w:szCs w:val="24"/>
        </w:rPr>
        <w:fldChar w:fldCharType="separate"/>
      </w:r>
      <w:r w:rsidR="000D08AF" w:rsidRPr="00D0143A">
        <w:rPr>
          <w:rFonts w:ascii="Times New Roman" w:hAnsi="Times New Roman" w:cs="Times New Roman"/>
          <w:b/>
          <w:sz w:val="24"/>
          <w:szCs w:val="24"/>
        </w:rPr>
        <w:t>(Bailey &amp; López de Prado, 2014)</w:t>
      </w:r>
      <w:r w:rsidR="000D08AF">
        <w:rPr>
          <w:rFonts w:ascii="Times New Roman" w:hAnsi="Times New Roman" w:cs="Times New Roman"/>
          <w:sz w:val="24"/>
          <w:szCs w:val="24"/>
        </w:rPr>
        <w:fldChar w:fldCharType="end"/>
      </w:r>
      <w:r w:rsidR="00D0143A">
        <w:rPr>
          <w:rFonts w:ascii="Times New Roman" w:hAnsi="Times New Roman" w:cs="Times New Roman"/>
          <w:sz w:val="24"/>
          <w:szCs w:val="24"/>
        </w:rPr>
        <w:t>.</w:t>
      </w:r>
    </w:p>
    <w:p w14:paraId="37D3A737" w14:textId="3181DC58" w:rsidR="007D771C" w:rsidRDefault="00D0143A"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77777777" w:rsidR="00916F49" w:rsidRPr="00916F49" w:rsidRDefault="00916F49" w:rsidP="00D0143A">
      <w:pPr>
        <w:keepNext/>
        <w:spacing w:before="120" w:line="240" w:lineRule="auto"/>
        <w:jc w:val="center"/>
        <w:rPr>
          <w:rFonts w:ascii="Times New Roman" w:hAnsi="Times New Roman"/>
          <w:bCs/>
          <w:sz w:val="24"/>
          <w:szCs w:val="24"/>
        </w:rPr>
      </w:pPr>
      <w:r w:rsidRPr="000B323C">
        <w:rPr>
          <w:rFonts w:ascii="Times New Roman" w:hAnsi="Times New Roman"/>
          <w:bCs/>
          <w:sz w:val="24"/>
          <w:szCs w:val="24"/>
          <w:highlight w:val="yellow"/>
        </w:rPr>
        <w:t>[Insert Figure 1 near here]</w:t>
      </w:r>
    </w:p>
    <w:p w14:paraId="78400C80" w14:textId="77777777" w:rsidR="00916F49" w:rsidRPr="00916F49" w:rsidRDefault="00916F49" w:rsidP="00D0143A">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35BA4365"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D0143A" w:rsidRPr="00D0143A">
        <w:rPr>
          <w:rFonts w:ascii="Times New Roman" w:hAnsi="Times New Roman"/>
          <w:b/>
          <w:bCs/>
          <w:sz w:val="24"/>
          <w:szCs w:val="24"/>
        </w:rPr>
        <w:t>(Investing.com, n.d.-a, n.d.-b)</w:t>
      </w:r>
      <w:r w:rsidR="00D0143A" w:rsidRPr="00D0143A">
        <w:rPr>
          <w:rFonts w:ascii="Times New Roman" w:hAnsi="Times New Roman"/>
          <w:bCs/>
          <w:sz w:val="24"/>
          <w:szCs w:val="24"/>
        </w:rPr>
        <w:t>.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w:t>
      </w:r>
      <w:r w:rsidRPr="00916F49">
        <w:rPr>
          <w:rFonts w:ascii="Times New Roman" w:hAnsi="Times New Roman"/>
          <w:bCs/>
          <w:sz w:val="24"/>
          <w:szCs w:val="24"/>
        </w:rPr>
        <w:lastRenderedPageBreak/>
        <w:t>price-index levels and applies no researcher-side split, dividend, constituent, or corporate-action adjustment.</w:t>
      </w:r>
    </w:p>
    <w:p w14:paraId="504D5AE3"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6F49A9B2"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D0143A" w:rsidRPr="00D0143A">
        <w:rPr>
          <w:rFonts w:ascii="Times New Roman" w:hAnsi="Times New Roman"/>
          <w:b/>
          <w:bCs/>
          <w:sz w:val="24"/>
          <w:szCs w:val="24"/>
        </w:rPr>
        <w:t>(Uthayopas et al., 2025)</w:t>
      </w:r>
      <w:r w:rsidR="00D0143A" w:rsidRPr="00D0143A">
        <w:rPr>
          <w:rFonts w:ascii="Times New Roman" w:hAnsi="Times New Roman"/>
          <w:bCs/>
          <w:sz w:val="24"/>
          <w:szCs w:val="24"/>
        </w:rPr>
        <w:t>.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p>
    <w:p w14:paraId="0D237FD2"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lastRenderedPageBreak/>
        <w:t>3.3 Point-in-time contract, temporal splits, and frozen windows</w:t>
      </w:r>
    </w:p>
    <w:p w14:paraId="03C0466B"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6DB0FF4E"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Candidate sequence lengths were 1, 3, 5, 10, and 20 trading days. Expanding validation folds trained on 2012-2017, 2012-2018, 2012-2019, and 2012-2020 and validated on 2018-2021. Selection prioritized balanced accuracy, followed by direction accuracy, RMSE, and the shorter-window tie-breaker,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p>
    <w:p w14:paraId="12DDC31B"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lastRenderedPageBreak/>
        <w:t>3.5 Neural architectures and training</w:t>
      </w:r>
    </w:p>
    <w:p w14:paraId="6D1B5E2D"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p>
    <w:p w14:paraId="073EA14E"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3EC684AE"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576CB289"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p>
    <w:p w14:paraId="2C445A47"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3.7 Causal market regimes and SHAP selection</w:t>
      </w:r>
    </w:p>
    <w:p w14:paraId="5A045FF5"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7777777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Pr="00D0143A">
        <w:rPr>
          <w:rFonts w:ascii="Times New Roman" w:hAnsi="Times New Roman"/>
          <w:b/>
          <w:bCs/>
          <w:sz w:val="24"/>
          <w:szCs w:val="24"/>
        </w:rPr>
        <w:t xml:space="preserve">(Politis &amp; </w:t>
      </w:r>
      <w:r w:rsidRPr="00D0143A">
        <w:rPr>
          <w:rFonts w:ascii="Times New Roman" w:hAnsi="Times New Roman"/>
          <w:b/>
          <w:bCs/>
          <w:sz w:val="24"/>
          <w:szCs w:val="24"/>
        </w:rPr>
        <w:lastRenderedPageBreak/>
        <w:t>Romano, 1992)</w:t>
      </w:r>
      <w:r w:rsidRPr="00916F49">
        <w:rPr>
          <w:rFonts w:ascii="Times New Roman" w:hAnsi="Times New Roman"/>
          <w:bCs/>
          <w:sz w:val="24"/>
          <w:szCs w:val="24"/>
        </w:rPr>
        <w:t>. Intrinsic LLM intervals use 5,000 article-cluster bootstrap replicates, article-cluster sign-flip sensitivity, and Holm adjustment across the two accuracy contrasts. Economic summaries are exploratory and are not used to certify deployment.</w:t>
      </w:r>
    </w:p>
    <w:p w14:paraId="11BBEDBB" w14:textId="31CF0997" w:rsidR="00F06F20" w:rsidRPr="00F06F20" w:rsidRDefault="00D0143A" w:rsidP="00D0143A">
      <w:pPr>
        <w:keepNext/>
        <w:spacing w:before="240" w:line="240" w:lineRule="auto"/>
        <w:rPr>
          <w:rFonts w:ascii="Times New Roman" w:hAnsi="Times New Roman" w:cs="Times New Roman"/>
          <w:b/>
          <w:bCs/>
          <w:sz w:val="24"/>
          <w:szCs w:val="24"/>
        </w:rPr>
      </w:pPr>
      <w:bookmarkStart w:id="0" w:name="_Hlk127275562"/>
      <w:r w:rsidRPr="00D0143A">
        <w:rPr>
          <w:rFonts w:ascii="Times New Roman" w:eastAsia="Times New Roman" w:hAnsi="Times New Roman" w:cs="Times New Roman"/>
          <w:b/>
          <w:sz w:val="24"/>
          <w:szCs w:val="24"/>
        </w:rPr>
        <w:t>4. Results and Discussion</w:t>
      </w:r>
    </w:p>
    <w:p w14:paraId="071F7BC5" w14:textId="77777777" w:rsidR="00FC4CF6" w:rsidRDefault="00F06F20"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8FBA781" w:rsidR="004B07BD" w:rsidRPr="004D491C" w:rsidRDefault="004B07BD" w:rsidP="00D0143A">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00F0133B">
        <w:rPr>
          <w:rFonts w:ascii="Times New Roman" w:hAnsi="Times New Roman" w:cs="Times New Roman"/>
          <w:b/>
          <w:bCs/>
          <w:sz w:val="24"/>
          <w:szCs w:val="24"/>
          <w:highlight w:val="yellow"/>
        </w:rPr>
        <w:t>(full</w:t>
      </w:r>
      <w:r>
        <w:rPr>
          <w:rFonts w:ascii="Times New Roman" w:hAnsi="Times New Roman" w:cs="Times New Roman"/>
          <w:b/>
          <w:bCs/>
          <w:sz w:val="24"/>
          <w:szCs w:val="24"/>
          <w:highlight w:val="yellow"/>
        </w:rPr>
        <w:t xml:space="preserve"> rolling 2022-2025) </w:t>
      </w:r>
      <w:r w:rsidRPr="00D96A79">
        <w:rPr>
          <w:rFonts w:ascii="Times New Roman" w:hAnsi="Times New Roman" w:cs="Times New Roman"/>
          <w:b/>
          <w:bCs/>
          <w:sz w:val="24"/>
          <w:szCs w:val="24"/>
          <w:highlight w:val="yellow"/>
        </w:rPr>
        <w:t>]</w:t>
      </w:r>
    </w:p>
    <w:p w14:paraId="34A2CFD0" w14:textId="0EDB8965" w:rsidR="004B07BD" w:rsidRDefault="006D6F65" w:rsidP="00D0143A">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0F6E7C29" w:rsidR="00FF27E4" w:rsidRDefault="00A76394"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7F3981F7" w14:textId="717B083B" w:rsidR="00A76394" w:rsidRPr="004D491C" w:rsidRDefault="00A76394" w:rsidP="00D0143A">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(10 day </w:t>
      </w:r>
      <w:r w:rsidR="00AF47E3">
        <w:rPr>
          <w:rFonts w:ascii="Times New Roman" w:hAnsi="Times New Roman" w:cs="Times New Roman"/>
          <w:b/>
          <w:bCs/>
          <w:sz w:val="24"/>
          <w:szCs w:val="24"/>
          <w:highlight w:val="yellow"/>
        </w:rPr>
        <w:t xml:space="preserve">circular moving-block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FAC1C8D" w14:textId="77777777" w:rsidR="0038564F" w:rsidRPr="000829A5" w:rsidRDefault="0038564F" w:rsidP="00D0143A">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633DC9E2" w:rsidR="00A76394" w:rsidRDefault="0038564F"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lastRenderedPageBreak/>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4377D0" w:rsidRPr="00D0143A">
        <w:rPr>
          <w:rFonts w:ascii="Times New Roman" w:hAnsi="Times New Roman"/>
          <w:b/>
          <w:bCs/>
          <w:sz w:val="24"/>
          <w:szCs w:val="24"/>
        </w:rPr>
        <w:t>3</w:t>
      </w:r>
      <w:r w:rsidRPr="00D0143A">
        <w:rPr>
          <w:rFonts w:ascii="Times New Roman" w:hAnsi="Times New Roman"/>
          <w:b/>
          <w:bCs/>
          <w:sz w:val="24"/>
          <w:szCs w:val="24"/>
        </w:rPr>
        <w:t xml:space="preserve"> </w:t>
      </w:r>
      <w:r w:rsidR="004377D0" w:rsidRPr="00D0143A">
        <w:rPr>
          <w:rFonts w:ascii="Times New Roman" w:hAnsi="Times New Roman" w:cs="Times New Roman"/>
          <w:b/>
          <w:bCs/>
          <w:sz w:val="24"/>
          <w:szCs w:val="24"/>
        </w:rPr>
        <w:t>The LLM role system improved intrinsic sentiment and was extended to SET50 forecasting</w:t>
      </w:r>
    </w:p>
    <w:p w14:paraId="664D19AE" w14:textId="51D0EEDC" w:rsidR="004377D0" w:rsidRDefault="004B185E"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00F37876" w:rsidR="00B72DF8" w:rsidRDefault="00B72DF8"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77777777" w:rsidR="008B5EB3" w:rsidRDefault="00B72DF8" w:rsidP="00D0143A">
      <w:pPr>
        <w:keepNext/>
        <w:spacing w:before="120" w:line="240" w:lineRule="auto"/>
        <w:jc w:val="center"/>
        <w:rPr>
          <w:rFonts w:ascii="Times New Roman" w:hAnsi="Times New Roman" w:cs="Times New Roman"/>
          <w:b/>
          <w:bCs/>
          <w:sz w:val="24"/>
          <w:szCs w:val="24"/>
        </w:rPr>
      </w:pPr>
      <w:r w:rsidRPr="00D96A79">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 xml:space="preserve">Table Here Later </w:t>
      </w:r>
      <w:r w:rsidRPr="00D0143A">
        <w:rPr>
          <w:rFonts w:ascii="Times New Roman" w:hAnsi="Times New Roman" w:cs="Times New Roman"/>
          <w:b/>
          <w:bCs/>
          <w:sz w:val="24"/>
          <w:szCs w:val="24"/>
          <w:highlight w:val="yellow"/>
        </w:rPr>
        <w:t>(LLM Benchmark on locked 2023 )</w:t>
      </w:r>
      <w:r>
        <w:rPr>
          <w:rFonts w:ascii="Times New Roman" w:hAnsi="Times New Roman" w:cs="Times New Roman"/>
          <w:b/>
          <w:bCs/>
          <w:sz w:val="24"/>
          <w:szCs w:val="24"/>
          <w:highlight w:val="yellow"/>
        </w:rPr>
        <w:t xml:space="preserve"> </w:t>
      </w:r>
      <w:r w:rsidRPr="00D96A79">
        <w:rPr>
          <w:rFonts w:ascii="Times New Roman" w:hAnsi="Times New Roman" w:cs="Times New Roman"/>
          <w:b/>
          <w:bCs/>
          <w:sz w:val="24"/>
          <w:szCs w:val="24"/>
          <w:highlight w:val="yellow"/>
        </w:rPr>
        <w:t>]</w:t>
      </w:r>
    </w:p>
    <w:p w14:paraId="1EADCA96" w14:textId="5C043906" w:rsidR="00B72DF8" w:rsidRDefault="008B5EB3" w:rsidP="00D0143A">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413757C6" w14:textId="46E26F10" w:rsidR="000031F2" w:rsidRDefault="00743CA6"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7438F06F" w14:textId="64FA83AD" w:rsidR="0076753D" w:rsidRDefault="0076753D" w:rsidP="00D0143A">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 Table Here Later (Primary regime-specific SHAP reduction contrast) ]</w:t>
      </w:r>
    </w:p>
    <w:p w14:paraId="7592422B" w14:textId="77777777" w:rsidR="0011346A" w:rsidRPr="000829A5" w:rsidRDefault="0011346A" w:rsidP="00D0143A">
      <w:pPr>
        <w:pStyle w:val="BodyText"/>
        <w:spacing w:before="80" w:after="120"/>
        <w:rPr>
          <w:rFonts w:ascii="Times New Roman" w:hAnsi="Times New Roman" w:cs="Times New Roman"/>
        </w:rPr>
      </w:pPr>
      <w:r w:rsidRPr="000829A5">
        <w:rPr>
          <w:rFonts w:ascii="Times New Roman" w:hAnsi="Times New Roman" w:cs="Times New Roman"/>
          <w:i/>
          <w:iCs/>
        </w:rPr>
        <w:lastRenderedPageBreak/>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5E989FCF" w:rsidR="00E62A18" w:rsidRDefault="00E62A18" w:rsidP="00D0143A">
      <w:pPr>
        <w:keepNext/>
        <w:spacing w:before="120" w:line="240" w:lineRule="auto"/>
        <w:jc w:val="center"/>
        <w:rPr>
          <w:rFonts w:ascii="Times New Roman" w:hAnsi="Times New Roman" w:cs="Times New Roman"/>
          <w:b/>
          <w:bCs/>
          <w:sz w:val="24"/>
          <w:szCs w:val="24"/>
        </w:rPr>
      </w:pPr>
      <w:r w:rsidRPr="0076753D">
        <w:rPr>
          <w:rFonts w:ascii="Times New Roman" w:hAnsi="Times New Roman" w:cs="Times New Roman"/>
          <w:b/>
          <w:bCs/>
          <w:sz w:val="24"/>
          <w:szCs w:val="24"/>
          <w:highlight w:val="yellow"/>
        </w:rPr>
        <w:t xml:space="preserve">[ </w:t>
      </w:r>
      <w:r w:rsidRPr="00DC65A7">
        <w:rPr>
          <w:rFonts w:ascii="Times New Roman" w:hAnsi="Times New Roman" w:cs="Times New Roman"/>
          <w:b/>
          <w:bCs/>
          <w:sz w:val="24"/>
          <w:szCs w:val="24"/>
          <w:highlight w:val="yellow"/>
        </w:rPr>
        <w:t>Table Here Later (</w:t>
      </w:r>
      <w:r w:rsidR="00DC65A7" w:rsidRPr="00DC65A7">
        <w:rPr>
          <w:rFonts w:ascii="Times New Roman" w:hAnsi="Times New Roman" w:cs="Times New Roman"/>
          <w:b/>
          <w:bCs/>
          <w:sz w:val="24"/>
          <w:szCs w:val="24"/>
          <w:highlight w:val="yellow"/>
        </w:rPr>
        <w:t>partial-2026 forward robustness</w:t>
      </w:r>
      <w:r w:rsidRPr="00DC65A7">
        <w:rPr>
          <w:rFonts w:ascii="Times New Roman" w:hAnsi="Times New Roman" w:cs="Times New Roman"/>
          <w:b/>
          <w:bCs/>
          <w:sz w:val="24"/>
          <w:szCs w:val="24"/>
          <w:highlight w:val="yellow"/>
        </w:rPr>
        <w:t>) ]</w:t>
      </w:r>
    </w:p>
    <w:p w14:paraId="56AA2855" w14:textId="77777777" w:rsidR="00511544" w:rsidRPr="000829A5" w:rsidRDefault="00511544" w:rsidP="00D0143A">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580223FF" w:rsidR="00E62A18" w:rsidRDefault="00511544"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lastRenderedPageBreak/>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Pr="00D0143A">
        <w:rPr>
          <w:rFonts w:ascii="Times New Roman" w:hAnsi="Times New Roman" w:cs="Times New Roman"/>
          <w:b/>
          <w:sz w:val="24"/>
          <w:szCs w:val="24"/>
        </w:rPr>
        <w:t>(The Stock Exchange of Thailand, n.d.)</w:t>
      </w:r>
      <w:r w:rsidRPr="00916F49">
        <w:rPr>
          <w:rFonts w:ascii="Times New Roman" w:hAnsi="Times New Roman" w:cs="Times New Roman"/>
          <w:sz w:val="24"/>
          <w:szCs w:val="24"/>
        </w:rPr>
        <w:t>.</w:t>
      </w:r>
    </w:p>
    <w:p w14:paraId="3C975960" w14:textId="54DFB731" w:rsidR="00511544" w:rsidRDefault="00124AA7"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7364FF19" w:rsidR="00124AA7" w:rsidRDefault="00124AA7" w:rsidP="00D0143A">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Table Here Later (</w:t>
      </w:r>
      <w:r w:rsidR="003D0D77" w:rsidRPr="003D0D77">
        <w:rPr>
          <w:rFonts w:ascii="Times New Roman" w:hAnsi="Times New Roman" w:cs="Times New Roman"/>
          <w:b/>
          <w:bCs/>
          <w:sz w:val="24"/>
          <w:szCs w:val="24"/>
          <w:highlight w:val="yellow"/>
        </w:rPr>
        <w:t>SET100 same-exchange numerical transfer</w:t>
      </w:r>
      <w:r w:rsidRPr="003D0D77">
        <w:rPr>
          <w:rFonts w:ascii="Times New Roman" w:hAnsi="Times New Roman" w:cs="Times New Roman"/>
          <w:b/>
          <w:bCs/>
          <w:sz w:val="24"/>
          <w:szCs w:val="24"/>
          <w:highlight w:val="yellow"/>
        </w:rPr>
        <w:t>) ]</w:t>
      </w:r>
    </w:p>
    <w:p w14:paraId="67DF22DB" w14:textId="6AEE002A" w:rsidR="00124AA7" w:rsidRDefault="003A1CB3" w:rsidP="00D0143A">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5001CE7E" w14:textId="07424F92" w:rsidR="003A1CB3" w:rsidRDefault="003A1CB3" w:rsidP="00D0143A">
      <w:pPr>
        <w:keepNext/>
        <w:spacing w:before="120" w:line="240" w:lineRule="auto"/>
        <w:jc w:val="center"/>
        <w:rPr>
          <w:rFonts w:ascii="Times New Roman" w:hAnsi="Times New Roman" w:cs="Times New Roman"/>
          <w:b/>
          <w:bCs/>
          <w:sz w:val="24"/>
          <w:szCs w:val="24"/>
        </w:rPr>
      </w:pPr>
      <w:r w:rsidRPr="003D0D77">
        <w:rPr>
          <w:rFonts w:ascii="Times New Roman" w:hAnsi="Times New Roman" w:cs="Times New Roman"/>
          <w:b/>
          <w:bCs/>
          <w:sz w:val="24"/>
          <w:szCs w:val="24"/>
          <w:highlight w:val="yellow"/>
        </w:rPr>
        <w:t xml:space="preserve">[ </w:t>
      </w:r>
      <w:r>
        <w:rPr>
          <w:rFonts w:ascii="Times New Roman" w:hAnsi="Times New Roman" w:cs="Times New Roman"/>
          <w:b/>
          <w:bCs/>
          <w:sz w:val="24"/>
          <w:szCs w:val="24"/>
          <w:highlight w:val="yellow"/>
        </w:rPr>
        <w:t>Figure Here Later</w:t>
      </w:r>
      <w:r w:rsidRPr="003D0D77">
        <w:rPr>
          <w:rFonts w:ascii="Times New Roman" w:hAnsi="Times New Roman" w:cs="Times New Roman"/>
          <w:b/>
          <w:bCs/>
          <w:sz w:val="24"/>
          <w:szCs w:val="24"/>
          <w:highlight w:val="yellow"/>
        </w:rPr>
        <w:t xml:space="preserve"> ]</w:t>
      </w:r>
    </w:p>
    <w:p w14:paraId="1E5EC56B" w14:textId="25FA4952" w:rsidR="0085069D" w:rsidRPr="00B54EE8" w:rsidRDefault="0085069D" w:rsidP="00D0143A">
      <w:pPr>
        <w:spacing w:before="80" w:line="240" w:lineRule="auto"/>
        <w:rPr>
          <w:rFonts w:ascii="Times New Roman" w:hAnsi="Times New Roman" w:cs="Times New Roman"/>
          <w:b/>
          <w:bCs/>
          <w:sz w:val="24"/>
          <w:szCs w:val="24"/>
        </w:rPr>
      </w:pPr>
      <w:r w:rsidRPr="000829A5">
        <w:rPr>
          <w:rFonts w:ascii="Times New Roman" w:hAnsi="Times New Roman" w:cs="Times New Roman"/>
          <w:b/>
          <w:bCs/>
          <w:sz w:val="24"/>
          <w:szCs w:val="24"/>
        </w:rPr>
        <w:t>Figure 3. Architecture-wise effects and uncertainty across audit pillars.</w:t>
      </w:r>
      <w:r w:rsidRPr="000829A5">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Pr>
          <w:rFonts w:ascii="Times New Roman" w:hAnsi="Times New Roman" w:cs="Times New Roman"/>
          <w:b/>
          <w:bCs/>
          <w:sz w:val="24"/>
          <w:szCs w:val="24"/>
        </w:rPr>
        <w:t>.</w:t>
      </w:r>
    </w:p>
    <w:p w14:paraId="5C7901C7" w14:textId="65A7D4DD" w:rsidR="00916F49" w:rsidRPr="00916F49" w:rsidRDefault="00D0143A"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5. Conclusion</w:t>
      </w:r>
    </w:p>
    <w:p w14:paraId="7C095222"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Acknowledgements</w:t>
      </w:r>
    </w:p>
    <w:p w14:paraId="0C66AB58"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historical-data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Pr="000F352B" w:rsidRDefault="001539DB"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References</w:t>
      </w:r>
    </w:p>
    <w:sectPr w:rsidR="00B76A4C" w:rsidRPr="000F352B" w:rsidSect="008F1467">
      <w:headerReference w:type="default" r:id="rId1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F57B" w14:textId="77777777" w:rsidR="009406DE" w:rsidRDefault="009406DE" w:rsidP="0021264C">
      <w:pPr>
        <w:spacing w:after="0" w:line="240" w:lineRule="auto"/>
      </w:pPr>
      <w:r>
        <w:separator/>
      </w:r>
    </w:p>
  </w:endnote>
  <w:endnote w:type="continuationSeparator" w:id="0">
    <w:p w14:paraId="16D12B0A" w14:textId="77777777" w:rsidR="009406DE" w:rsidRDefault="009406DE"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EAFE2" w14:textId="77777777" w:rsidR="009406DE" w:rsidRDefault="009406DE" w:rsidP="0021264C">
      <w:pPr>
        <w:spacing w:after="0" w:line="240" w:lineRule="auto"/>
      </w:pPr>
      <w:r>
        <w:separator/>
      </w:r>
    </w:p>
  </w:footnote>
  <w:footnote w:type="continuationSeparator" w:id="0">
    <w:p w14:paraId="6B22A8C2" w14:textId="77777777" w:rsidR="009406DE" w:rsidRDefault="009406DE"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E76"/>
    <w:rsid w:val="000E3AD4"/>
    <w:rsid w:val="000E3C55"/>
    <w:rsid w:val="000E417A"/>
    <w:rsid w:val="000E43E0"/>
    <w:rsid w:val="000E49A3"/>
    <w:rsid w:val="000E5A01"/>
    <w:rsid w:val="000E7BF0"/>
    <w:rsid w:val="000F32B1"/>
    <w:rsid w:val="000F352B"/>
    <w:rsid w:val="000F7184"/>
    <w:rsid w:val="000F7CB2"/>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7F97"/>
    <w:rsid w:val="001C033F"/>
    <w:rsid w:val="001C03DF"/>
    <w:rsid w:val="001C12F5"/>
    <w:rsid w:val="001C3F66"/>
    <w:rsid w:val="001C413C"/>
    <w:rsid w:val="001C465A"/>
    <w:rsid w:val="001C4F86"/>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616A"/>
    <w:rsid w:val="003D73CB"/>
    <w:rsid w:val="003D7907"/>
    <w:rsid w:val="003D7D52"/>
    <w:rsid w:val="003E2E3F"/>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AFC"/>
    <w:rsid w:val="00636EDF"/>
    <w:rsid w:val="00641036"/>
    <w:rsid w:val="0064412F"/>
    <w:rsid w:val="00644A4D"/>
    <w:rsid w:val="00645790"/>
    <w:rsid w:val="0064707B"/>
    <w:rsid w:val="00647547"/>
    <w:rsid w:val="00647D7D"/>
    <w:rsid w:val="0065208D"/>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A8"/>
    <w:rsid w:val="007901A5"/>
    <w:rsid w:val="00791AF3"/>
    <w:rsid w:val="00791E0D"/>
    <w:rsid w:val="00792E62"/>
    <w:rsid w:val="00792EC8"/>
    <w:rsid w:val="00793067"/>
    <w:rsid w:val="007932F1"/>
    <w:rsid w:val="00793CF4"/>
    <w:rsid w:val="0079479B"/>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5EF"/>
    <w:rsid w:val="00815724"/>
    <w:rsid w:val="00817470"/>
    <w:rsid w:val="00817F7A"/>
    <w:rsid w:val="00820D17"/>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B7C"/>
    <w:rsid w:val="008C6F2C"/>
    <w:rsid w:val="008C71AD"/>
    <w:rsid w:val="008C7301"/>
    <w:rsid w:val="008D2A85"/>
    <w:rsid w:val="008D3C41"/>
    <w:rsid w:val="008D4EEA"/>
    <w:rsid w:val="008D547D"/>
    <w:rsid w:val="008D6F9E"/>
    <w:rsid w:val="008E0388"/>
    <w:rsid w:val="008E12BA"/>
    <w:rsid w:val="008E13C0"/>
    <w:rsid w:val="008E3429"/>
    <w:rsid w:val="008E4266"/>
    <w:rsid w:val="008E46D5"/>
    <w:rsid w:val="008E5709"/>
    <w:rsid w:val="008E67C2"/>
    <w:rsid w:val="008E6B9A"/>
    <w:rsid w:val="008E7796"/>
    <w:rsid w:val="008E7A4A"/>
    <w:rsid w:val="008E7B71"/>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11A9"/>
    <w:rsid w:val="00AE2907"/>
    <w:rsid w:val="00AE2DE2"/>
    <w:rsid w:val="00AE337E"/>
    <w:rsid w:val="00AE3DA0"/>
    <w:rsid w:val="00AE516E"/>
    <w:rsid w:val="00AE63C0"/>
    <w:rsid w:val="00AF0A9D"/>
    <w:rsid w:val="00AF2568"/>
    <w:rsid w:val="00AF463B"/>
    <w:rsid w:val="00AF47E3"/>
    <w:rsid w:val="00B003EA"/>
    <w:rsid w:val="00B01BBE"/>
    <w:rsid w:val="00B0293F"/>
    <w:rsid w:val="00B0388E"/>
    <w:rsid w:val="00B03A7B"/>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FCC"/>
    <w:rsid w:val="00EE2B34"/>
    <w:rsid w:val="00EE4C82"/>
    <w:rsid w:val="00EE6660"/>
    <w:rsid w:val="00EE6883"/>
    <w:rsid w:val="00EF1651"/>
    <w:rsid w:val="00EF231A"/>
    <w:rsid w:val="00EF284A"/>
    <w:rsid w:val="00EF6110"/>
    <w:rsid w:val="00F009AD"/>
    <w:rsid w:val="00F00CD1"/>
    <w:rsid w:val="00F0133B"/>
    <w:rsid w:val="00F02A13"/>
    <w:rsid w:val="00F03CC7"/>
    <w:rsid w:val="00F051DC"/>
    <w:rsid w:val="00F06C66"/>
    <w:rsid w:val="00F06D64"/>
    <w:rsid w:val="00F06F20"/>
    <w:rsid w:val="00F06FA4"/>
    <w:rsid w:val="00F10AE5"/>
    <w:rsid w:val="00F110E4"/>
    <w:rsid w:val="00F1131B"/>
    <w:rsid w:val="00F11ACE"/>
    <w:rsid w:val="00F11C7D"/>
    <w:rsid w:val="00F12551"/>
    <w:rsid w:val="00F12C39"/>
    <w:rsid w:val="00F13CB9"/>
    <w:rsid w:val="00F13D53"/>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74B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35AF"/>
    <w:rsid w:val="00F96118"/>
    <w:rsid w:val="00FA0E95"/>
    <w:rsid w:val="00FA1E29"/>
    <w:rsid w:val="00FA2E4A"/>
    <w:rsid w:val="00FA356B"/>
    <w:rsid w:val="00FA4586"/>
    <w:rsid w:val="00FB0D3A"/>
    <w:rsid w:val="00FB109B"/>
    <w:rsid w:val="00FB170A"/>
    <w:rsid w:val="00FB1F82"/>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6606</Words>
  <Characters>37656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2026-08-13T15:12:00Z</dcterms:created>
  <dcterms:modified xsi:type="dcterms:W3CDTF">2026-08-13T15:36:00Z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bibliographyStyleHasBeenSet="0"/&gt;&lt;prefs&gt;&lt;pref name="fieldType" value="Field"/&gt;&lt;/prefs&gt;&lt;/data&gt;</vt:lpwstr>
  </property>
</Properties>
</file>