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7750B35F"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w:t>
      </w:r>
      <w:r w:rsidR="007A21B1">
        <w:rPr>
          <w:rFonts w:ascii="Times New Roman" w:hAnsi="Times New Roman" w:cs="Times New Roman"/>
          <w:b/>
          <w:bCs/>
          <w:sz w:val="24"/>
          <w:szCs w:val="24"/>
          <w:shd w:val="clear" w:color="auto" w:fill="FFFFFF"/>
        </w:rPr>
        <w:t xml:space="preserve"> </w:t>
      </w:r>
      <w:r w:rsidR="00370E5E">
        <w:rPr>
          <w:rFonts w:ascii="Times New Roman" w:hAnsi="Times New Roman" w:cs="Times New Roman"/>
          <w:b/>
          <w:bCs/>
          <w:sz w:val="24"/>
          <w:szCs w:val="24"/>
          <w:shd w:val="clear" w:color="auto" w:fill="FFFFFF"/>
        </w:rPr>
        <w:t>Next-Day SET Index Direction Forecasting</w:t>
      </w:r>
      <w:r w:rsidR="007A21B1">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7A21B1" w:rsidRDefault="001F1F8A" w:rsidP="007A21B1">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7A21B1">
        <w:rPr>
          <w:rFonts w:ascii="Times New Roman" w:eastAsia="Times New Roman" w:hAnsi="Times New Roman" w:cs="Times New Roman"/>
          <w:b/>
          <w:sz w:val="24"/>
          <w:szCs w:val="24"/>
        </w:rPr>
        <w:t xml:space="preserve">Abstract </w:t>
      </w:r>
    </w:p>
    <w:p w14:paraId="3B49CEAA" w14:textId="4CA9CA20" w:rsidR="00DF162D" w:rsidRPr="00A27524" w:rsidRDefault="005E03E1" w:rsidP="007A21B1">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7A21B1">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7A21B1">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7A21B1">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7A21B1">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3C984EF3" w:rsidR="00DB3A79" w:rsidRPr="00207E38" w:rsidRDefault="00DB3A79" w:rsidP="007A21B1">
      <w:pPr>
        <w:pBdr>
          <w:top w:val="nil"/>
          <w:left w:val="nil"/>
          <w:bottom w:val="nil"/>
          <w:right w:val="nil"/>
          <w:between w:val="nil"/>
        </w:pBdr>
        <w:spacing w:before="120" w:after="20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7A21B1">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7A21B1">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7A21B1" w:rsidRDefault="00FF3971" w:rsidP="007A21B1">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7A21B1">
        <w:rPr>
          <w:rFonts w:ascii="Times New Roman" w:eastAsia="Times New Roman" w:hAnsi="Times New Roman" w:cs="Times New Roman"/>
          <w:b/>
          <w:sz w:val="24"/>
          <w:szCs w:val="24"/>
        </w:rPr>
        <w:lastRenderedPageBreak/>
        <w:t>1</w:t>
      </w:r>
      <w:r w:rsidR="002C6417" w:rsidRPr="007A21B1">
        <w:rPr>
          <w:rFonts w:ascii="Times New Roman" w:eastAsia="Times New Roman" w:hAnsi="Times New Roman" w:cs="Times New Roman"/>
          <w:b/>
          <w:sz w:val="24"/>
          <w:szCs w:val="24"/>
        </w:rPr>
        <w:t>.</w:t>
      </w:r>
      <w:r w:rsidRPr="007A21B1">
        <w:rPr>
          <w:rFonts w:ascii="Times New Roman" w:eastAsia="Times New Roman" w:hAnsi="Times New Roman" w:cs="Times New Roman"/>
          <w:b/>
          <w:sz w:val="24"/>
          <w:szCs w:val="24"/>
        </w:rPr>
        <w:t xml:space="preserve"> Introduction</w:t>
      </w:r>
    </w:p>
    <w:p w14:paraId="624CA09F" w14:textId="296B56E7" w:rsidR="003361A4" w:rsidRDefault="003361A4" w:rsidP="007A21B1">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A21B1">
        <w:rPr>
          <w:rFonts w:ascii="Times New Roman" w:hAnsi="Times New Roman" w:cs="Times New Roman"/>
          <w:sz w:val="24"/>
          <w:szCs w:val="24"/>
        </w:rPr>
        <w:t>(Fama, 1970; Olorunnimbe &amp; Viktor, 2023).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7A21B1">
        <w:rPr>
          <w:rFonts w:ascii="Times New Roman" w:eastAsia="Times New Roman" w:hAnsi="Times New Roman" w:cs="Times New Roman"/>
          <w:b/>
          <w:bCs/>
          <w:sz w:val="24"/>
          <w:szCs w:val="24"/>
        </w:rPr>
        <w:t>(Hochreiter &amp; Schmidhuber, 1997; Qin et al., 2017; Vaswani et al., 2017).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7A21B1">
        <w:rPr>
          <w:rFonts w:ascii="Times New Roman" w:hAnsi="Times New Roman" w:cs="Times New Roman"/>
          <w:sz w:val="24"/>
          <w:szCs w:val="24"/>
        </w:rPr>
        <w:t>(Fischer &amp; Krauss, 2018; Hoseinzade &amp; Haratizadeh, 2019).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509CB1FA" w:rsidR="00796B85" w:rsidRPr="00796B85" w:rsidRDefault="00560BEF" w:rsidP="007A21B1">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7A21B1">
        <w:rPr>
          <w:rFonts w:ascii="Times New Roman" w:eastAsia="Times New Roman" w:hAnsi="Times New Roman" w:cs="Times New Roman"/>
          <w:b/>
          <w:bCs/>
          <w:sz w:val="24"/>
          <w:szCs w:val="24"/>
        </w:rPr>
        <w:t>(Olorunnimbe &amp; Viktor, 2023; Sezer et al., 2020).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7A21B1">
        <w:rPr>
          <w:rFonts w:ascii="Times New Roman" w:hAnsi="Times New Roman" w:cs="Times New Roman"/>
          <w:sz w:val="24"/>
          <w:szCs w:val="24"/>
        </w:rPr>
        <w:t>(Luo et al., 2023; Sawhney et al., 2020; H. Wang et al., 2020).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D5534F">
        <w:rPr>
          <w:rFonts w:ascii="Times New Roman" w:hAnsi="Times New Roman" w:cs="Times New Roman"/>
          <w:sz w:val="24"/>
          <w:szCs w:val="24"/>
        </w:rPr>
        <w:t xml:space="preserve"> </w:t>
      </w:r>
      <w:r w:rsidR="007A21B1">
        <w:rPr>
          <w:rFonts w:ascii="Times New Roman" w:hAnsi="Times New Roman" w:cs="Times New Roman"/>
          <w:sz w:val="24"/>
          <w:szCs w:val="24"/>
        </w:rPr>
        <w:t>(W.-J. Liu et al., 2024; M. Wang et al., 2024).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4E71C92E" w:rsidR="00796B85" w:rsidRDefault="00796B85" w:rsidP="007A21B1">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7A21B1">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7A21B1">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7A21B1">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7A21B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7A21B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7A21B1">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7A21B1">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7A21B1" w:rsidRDefault="00E017F3" w:rsidP="007A21B1">
      <w:pPr>
        <w:keepNext/>
        <w:spacing w:before="240" w:line="240" w:lineRule="auto"/>
        <w:rPr>
          <w:rFonts w:ascii="Times New Roman" w:eastAsia="Times New Roman" w:hAnsi="Times New Roman" w:cs="Times New Roman"/>
          <w:b/>
          <w:bCs/>
          <w:sz w:val="24"/>
          <w:szCs w:val="24"/>
        </w:rPr>
      </w:pPr>
      <w:r w:rsidRPr="007A21B1">
        <w:rPr>
          <w:rFonts w:ascii="Times New Roman" w:eastAsia="Times New Roman" w:hAnsi="Times New Roman" w:cs="Times New Roman"/>
          <w:b/>
          <w:bCs/>
          <w:sz w:val="24"/>
          <w:szCs w:val="24"/>
        </w:rPr>
        <w:t>2</w:t>
      </w:r>
      <w:r w:rsidR="006260C9" w:rsidRPr="007A21B1">
        <w:rPr>
          <w:rFonts w:ascii="Times New Roman" w:eastAsia="Times New Roman" w:hAnsi="Times New Roman" w:cs="Times New Roman"/>
          <w:b/>
          <w:bCs/>
          <w:sz w:val="24"/>
          <w:szCs w:val="24"/>
        </w:rPr>
        <w:t xml:space="preserve">. </w:t>
      </w:r>
      <w:r w:rsidRPr="007A21B1">
        <w:rPr>
          <w:rFonts w:ascii="Times New Roman" w:eastAsia="Times New Roman" w:hAnsi="Times New Roman" w:cs="Times New Roman"/>
          <w:b/>
          <w:bCs/>
          <w:sz w:val="24"/>
          <w:szCs w:val="24"/>
        </w:rPr>
        <w:t>Related works</w:t>
      </w:r>
    </w:p>
    <w:p w14:paraId="60846A0F" w14:textId="77777777" w:rsidR="00B21E8A" w:rsidRPr="007A21B1" w:rsidRDefault="00B96D27" w:rsidP="007A21B1">
      <w:pPr>
        <w:keepNext/>
        <w:spacing w:before="200" w:after="80" w:line="240" w:lineRule="auto"/>
        <w:rPr>
          <w:rFonts w:ascii="Times New Roman" w:eastAsia="Times New Roman" w:hAnsi="Times New Roman" w:cs="Times New Roman"/>
          <w:b/>
          <w:bCs/>
          <w:sz w:val="24"/>
          <w:szCs w:val="24"/>
        </w:rPr>
      </w:pPr>
      <w:r w:rsidRPr="007A21B1">
        <w:rPr>
          <w:rFonts w:ascii="Times New Roman" w:eastAsia="Times New Roman" w:hAnsi="Times New Roman" w:cs="Times New Roman"/>
          <w:b/>
          <w:bCs/>
          <w:sz w:val="24"/>
          <w:szCs w:val="24"/>
        </w:rPr>
        <w:t>2.1 Deep Sequence models for financial direction</w:t>
      </w:r>
    </w:p>
    <w:p w14:paraId="765C3BC1" w14:textId="20F1D44D" w:rsidR="00E97CD1" w:rsidRDefault="00B96D27" w:rsidP="007A21B1">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7A21B1">
        <w:rPr>
          <w:rFonts w:ascii="Times New Roman" w:hAnsi="Times New Roman" w:cs="Times New Roman"/>
          <w:sz w:val="24"/>
          <w:szCs w:val="24"/>
        </w:rPr>
        <w:t>(Hochreiter &amp; Schmidhuber, 1997).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A21B1">
        <w:rPr>
          <w:rFonts w:ascii="Times New Roman" w:hAnsi="Times New Roman" w:cs="Times New Roman"/>
          <w:sz w:val="24"/>
          <w:szCs w:val="24"/>
        </w:rPr>
        <w:t>(Qin et al., 2017; Vaswani et al., 2017).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7A21B1">
        <w:rPr>
          <w:rFonts w:ascii="Times New Roman" w:hAnsi="Times New Roman" w:cs="Times New Roman"/>
          <w:sz w:val="24"/>
          <w:szCs w:val="24"/>
        </w:rPr>
        <w:t xml:space="preserve">(Hoseinzade &amp; Haratizadeh, </w:t>
      </w:r>
      <w:r w:rsidR="007A21B1">
        <w:rPr>
          <w:rFonts w:ascii="Times New Roman" w:hAnsi="Times New Roman" w:cs="Times New Roman"/>
          <w:sz w:val="24"/>
          <w:szCs w:val="24"/>
        </w:rPr>
        <w:lastRenderedPageBreak/>
        <w:t>2019). 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r w:rsidR="007A21B1">
        <w:rPr>
          <w:rFonts w:ascii="Times New Roman" w:hAnsi="Times New Roman" w:cs="Times New Roman"/>
          <w:sz w:val="24"/>
          <w:szCs w:val="24"/>
        </w:rPr>
        <w:t>.</w:t>
      </w:r>
    </w:p>
    <w:p w14:paraId="58A7A528" w14:textId="77777777" w:rsidR="007A21B1" w:rsidRDefault="00E97CD1" w:rsidP="007A21B1">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12D035AB" w:rsidR="00F11ACE" w:rsidRPr="007A21B1" w:rsidRDefault="0057361D" w:rsidP="007A21B1">
      <w:pPr>
        <w:keepNext/>
        <w:spacing w:before="200" w:after="80" w:line="240" w:lineRule="auto"/>
        <w:rPr>
          <w:rFonts w:ascii="Times New Roman" w:eastAsia="Times New Roman" w:hAnsi="Times New Roman" w:cs="Times New Roman"/>
          <w:b/>
          <w:sz w:val="24"/>
          <w:szCs w:val="24"/>
        </w:rPr>
      </w:pPr>
      <w:r w:rsidRPr="007A21B1">
        <w:rPr>
          <w:rFonts w:ascii="Times New Roman" w:eastAsia="Times New Roman" w:hAnsi="Times New Roman" w:cs="Times New Roman"/>
          <w:b/>
          <w:bCs/>
          <w:sz w:val="24"/>
          <w:szCs w:val="24"/>
        </w:rPr>
        <w:t>2.2 Denoising and multimodal financial information</w:t>
      </w:r>
    </w:p>
    <w:p w14:paraId="02273295" w14:textId="4865C4FC" w:rsidR="00187B55" w:rsidRDefault="00F11ACE" w:rsidP="007A21B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7A21B1">
        <w:rPr>
          <w:rFonts w:ascii="Times New Roman" w:eastAsia="Times New Roman" w:hAnsi="Times New Roman" w:cs="Times New Roman"/>
          <w:b/>
          <w:sz w:val="24"/>
          <w:szCs w:val="24"/>
        </w:rPr>
        <w:t>(Dragomiretskiy &amp; Zosso, 2014).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7A21B1">
        <w:rPr>
          <w:rFonts w:ascii="Times New Roman" w:hAnsi="Times New Roman" w:cs="Times New Roman"/>
          <w:sz w:val="24"/>
          <w:szCs w:val="24"/>
        </w:rPr>
        <w:t>(T. Liu et al., 2022; Y. Liu et al., 2024).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7A21B1">
        <w:rPr>
          <w:rFonts w:ascii="Times New Roman" w:hAnsi="Times New Roman" w:cs="Times New Roman"/>
          <w:sz w:val="24"/>
          <w:szCs w:val="24"/>
        </w:rPr>
        <w:t>(T. Liu et al., 2022).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28951F79" w:rsidR="00187B55" w:rsidRDefault="00FE5BD7" w:rsidP="007A21B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7A21B1">
        <w:rPr>
          <w:rFonts w:ascii="Times New Roman" w:eastAsia="Times New Roman" w:hAnsi="Times New Roman" w:cs="Times New Roman"/>
          <w:b/>
          <w:sz w:val="24"/>
          <w:szCs w:val="24"/>
        </w:rPr>
        <w:t>(Luo et al., 2023; Sawhney et al., 2020; H. Wang et al., 2020).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7A21B1">
        <w:rPr>
          <w:rFonts w:ascii="Times New Roman" w:hAnsi="Times New Roman" w:cs="Times New Roman"/>
          <w:sz w:val="24"/>
          <w:szCs w:val="24"/>
        </w:rPr>
        <w:t>(W.-J. Liu et al., 2024; M. Wang et al., 2024).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7A21B1" w:rsidRDefault="00B11EDA" w:rsidP="007A21B1">
      <w:pPr>
        <w:keepNext/>
        <w:spacing w:before="200" w:after="80" w:line="240" w:lineRule="auto"/>
        <w:rPr>
          <w:rFonts w:ascii="Times New Roman" w:eastAsia="Times New Roman" w:hAnsi="Times New Roman" w:cs="Times New Roman"/>
          <w:b/>
          <w:sz w:val="24"/>
          <w:szCs w:val="24"/>
        </w:rPr>
      </w:pPr>
      <w:r w:rsidRPr="007A21B1">
        <w:rPr>
          <w:rFonts w:ascii="Times New Roman" w:eastAsia="Times New Roman" w:hAnsi="Times New Roman" w:cs="Times New Roman"/>
          <w:b/>
          <w:bCs/>
          <w:sz w:val="24"/>
          <w:szCs w:val="24"/>
        </w:rPr>
        <w:t>2</w:t>
      </w:r>
      <w:r w:rsidR="00D04304" w:rsidRPr="007A21B1">
        <w:rPr>
          <w:rFonts w:ascii="Times New Roman" w:eastAsia="Times New Roman" w:hAnsi="Times New Roman" w:cs="Times New Roman"/>
          <w:b/>
          <w:bCs/>
          <w:sz w:val="24"/>
          <w:szCs w:val="24"/>
        </w:rPr>
        <w:t>.</w:t>
      </w:r>
      <w:r w:rsidR="00D04304" w:rsidRPr="007A21B1">
        <w:rPr>
          <w:rFonts w:ascii="Times New Roman" w:hAnsi="Times New Roman" w:cs="Times New Roman"/>
          <w:b/>
          <w:bCs/>
          <w:sz w:val="24"/>
          <w:szCs w:val="24"/>
        </w:rPr>
        <w:t>3</w:t>
      </w:r>
      <w:r w:rsidR="00D04304" w:rsidRPr="007A21B1">
        <w:rPr>
          <w:rFonts w:ascii="Times New Roman" w:hAnsi="Times New Roman" w:cs="Times New Roman"/>
          <w:b/>
          <w:sz w:val="24"/>
          <w:szCs w:val="24"/>
        </w:rPr>
        <w:t xml:space="preserve"> </w:t>
      </w:r>
      <w:r w:rsidR="00D04304" w:rsidRPr="007A21B1">
        <w:rPr>
          <w:rFonts w:ascii="Times New Roman" w:hAnsi="Times New Roman" w:cs="Times New Roman"/>
          <w:b/>
          <w:bCs/>
          <w:sz w:val="24"/>
          <w:szCs w:val="24"/>
        </w:rPr>
        <w:t>LLM role systems and compute matching</w:t>
      </w:r>
    </w:p>
    <w:p w14:paraId="05CA26A4" w14:textId="786A5860" w:rsidR="00C17ECC" w:rsidRDefault="00C17ECC" w:rsidP="007A21B1">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7A21B1">
        <w:rPr>
          <w:rFonts w:ascii="Times New Roman" w:eastAsia="Times New Roman" w:hAnsi="Times New Roman"/>
          <w:b/>
          <w:sz w:val="24"/>
          <w:szCs w:val="24"/>
          <w:cs/>
        </w:rPr>
        <w:t>(</w:t>
      </w:r>
      <w:r w:rsidR="007A21B1">
        <w:rPr>
          <w:rFonts w:ascii="Times New Roman" w:eastAsia="Times New Roman" w:hAnsi="Times New Roman"/>
          <w:b/>
          <w:sz w:val="24"/>
          <w:szCs w:val="24"/>
        </w:rPr>
        <w:t xml:space="preserve">Du et al., </w:t>
      </w:r>
      <w:r w:rsidR="007A21B1">
        <w:rPr>
          <w:rFonts w:ascii="Times New Roman" w:eastAsia="Times New Roman" w:hAnsi="Times New Roman"/>
          <w:b/>
          <w:sz w:val="24"/>
          <w:szCs w:val="24"/>
          <w:cs/>
        </w:rPr>
        <w:t>2024</w:t>
      </w:r>
      <w:r w:rsidR="007A21B1">
        <w:rPr>
          <w:rFonts w:ascii="Times New Roman" w:eastAsia="Times New Roman" w:hAnsi="Times New Roman"/>
          <w:b/>
          <w:sz w:val="24"/>
          <w:szCs w:val="24"/>
        </w:rPr>
        <w:t xml:space="preserve">; Liang et al., </w:t>
      </w:r>
      <w:r w:rsidR="007A21B1">
        <w:rPr>
          <w:rFonts w:ascii="Times New Roman" w:eastAsia="Times New Roman" w:hAnsi="Times New Roman"/>
          <w:b/>
          <w:sz w:val="24"/>
          <w:szCs w:val="24"/>
          <w:cs/>
        </w:rPr>
        <w:t xml:space="preserve">2024). </w:t>
      </w:r>
      <w:r w:rsidR="007A21B1">
        <w:rPr>
          <w:rFonts w:ascii="Times New Roman" w:eastAsia="Times New Roman" w:hAnsi="Times New Roman"/>
          <w:b/>
          <w:sz w:val="24"/>
          <w:szCs w:val="24"/>
        </w:rPr>
        <w:t>Self</w:t>
      </w:r>
      <w:r w:rsidR="00E42D37" w:rsidRPr="000829A5">
        <w:rPr>
          <w:rFonts w:ascii="Times New Roman" w:hAnsi="Times New Roman" w:cs="Times New Roman"/>
          <w:sz w:val="24"/>
          <w:szCs w:val="24"/>
        </w:rPr>
        <w:t xml:space="preserve">-consistency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7A21B1">
        <w:rPr>
          <w:rFonts w:ascii="Times New Roman" w:hAnsi="Times New Roman" w:cs="Times New Roman"/>
          <w:sz w:val="24"/>
          <w:szCs w:val="24"/>
        </w:rPr>
        <w:t>(X. Wang et al., 2023).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r w:rsidR="007A21B1">
        <w:rPr>
          <w:rFonts w:ascii="Times New Roman" w:hAnsi="Times New Roman" w:cs="Times New Roman"/>
          <w:sz w:val="24"/>
          <w:szCs w:val="24"/>
        </w:rPr>
        <w:t>.</w:t>
      </w:r>
    </w:p>
    <w:p w14:paraId="05F3E485" w14:textId="2FF9F83B" w:rsidR="00FD0A3B" w:rsidRPr="007A21B1" w:rsidRDefault="00FD0A3B" w:rsidP="007A21B1">
      <w:pPr>
        <w:keepNext/>
        <w:spacing w:before="200" w:after="80" w:line="240" w:lineRule="auto"/>
        <w:rPr>
          <w:rFonts w:ascii="Times New Roman" w:eastAsia="Times New Roman" w:hAnsi="Times New Roman" w:cs="Times New Roman"/>
          <w:b/>
          <w:sz w:val="24"/>
          <w:szCs w:val="24"/>
        </w:rPr>
      </w:pPr>
      <w:r w:rsidRPr="007A21B1">
        <w:rPr>
          <w:rFonts w:ascii="Times New Roman" w:eastAsia="Times New Roman" w:hAnsi="Times New Roman" w:cs="Times New Roman"/>
          <w:b/>
          <w:bCs/>
          <w:sz w:val="24"/>
          <w:szCs w:val="24"/>
        </w:rPr>
        <w:t>2</w:t>
      </w:r>
      <w:r w:rsidR="00B7742C" w:rsidRPr="007A21B1">
        <w:rPr>
          <w:rFonts w:ascii="Times New Roman" w:eastAsia="Times New Roman" w:hAnsi="Times New Roman" w:cs="Times New Roman"/>
          <w:b/>
          <w:bCs/>
          <w:sz w:val="24"/>
          <w:szCs w:val="24"/>
        </w:rPr>
        <w:t>.</w:t>
      </w:r>
      <w:r w:rsidR="00B7742C" w:rsidRPr="007A21B1">
        <w:rPr>
          <w:rFonts w:ascii="Times New Roman" w:hAnsi="Times New Roman" w:cs="Times New Roman"/>
          <w:b/>
          <w:bCs/>
          <w:sz w:val="24"/>
          <w:szCs w:val="24"/>
        </w:rPr>
        <w:t>4 Market regimes and explanation reliability</w:t>
      </w:r>
    </w:p>
    <w:p w14:paraId="7FC6880B" w14:textId="1B82E9D8" w:rsidR="00F756DC" w:rsidRDefault="00F756DC" w:rsidP="007A21B1">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7A21B1">
        <w:rPr>
          <w:rFonts w:ascii="Times New Roman" w:eastAsia="Times New Roman" w:hAnsi="Times New Roman" w:cs="Times New Roman"/>
          <w:b/>
          <w:sz w:val="24"/>
          <w:szCs w:val="24"/>
        </w:rPr>
        <w:t>(Pagan &amp; Sossounov, 2003).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6BA6ECD4" w:rsidR="00E340C7" w:rsidRDefault="00A63E07" w:rsidP="007A21B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7A21B1">
        <w:rPr>
          <w:rFonts w:ascii="Times New Roman" w:hAnsi="Times New Roman" w:cs="Times New Roman"/>
          <w:sz w:val="24"/>
          <w:szCs w:val="24"/>
        </w:rPr>
        <w:t>(Ribeiro et al., 2016).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7A21B1">
        <w:rPr>
          <w:rFonts w:ascii="Times New Roman" w:hAnsi="Times New Roman" w:cs="Times New Roman"/>
          <w:sz w:val="24"/>
          <w:szCs w:val="24"/>
        </w:rPr>
        <w:t>(Adebayo et al., 2018).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7A21B1">
        <w:rPr>
          <w:rFonts w:ascii="Times New Roman" w:hAnsi="Times New Roman" w:cs="Times New Roman"/>
          <w:sz w:val="24"/>
          <w:szCs w:val="24"/>
        </w:rPr>
        <w:t>(Yeo et al., 2025).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7A21B1" w:rsidRDefault="00524254" w:rsidP="007A21B1">
      <w:pPr>
        <w:keepNext/>
        <w:spacing w:before="200" w:after="80" w:line="240" w:lineRule="auto"/>
        <w:rPr>
          <w:rFonts w:ascii="Times New Roman" w:eastAsia="Times New Roman" w:hAnsi="Times New Roman" w:cs="Times New Roman"/>
          <w:b/>
          <w:sz w:val="24"/>
          <w:szCs w:val="24"/>
        </w:rPr>
      </w:pPr>
      <w:r w:rsidRPr="007A21B1">
        <w:rPr>
          <w:rFonts w:ascii="Times New Roman" w:eastAsia="Times New Roman" w:hAnsi="Times New Roman" w:cs="Times New Roman"/>
          <w:b/>
          <w:bCs/>
          <w:sz w:val="24"/>
          <w:szCs w:val="24"/>
        </w:rPr>
        <w:t>2.</w:t>
      </w:r>
      <w:r w:rsidRPr="007A21B1">
        <w:rPr>
          <w:rFonts w:ascii="Times New Roman" w:hAnsi="Times New Roman" w:cs="Times New Roman"/>
          <w:b/>
          <w:bCs/>
          <w:sz w:val="24"/>
          <w:szCs w:val="24"/>
        </w:rPr>
        <w:t>5 Evaluation reliability</w:t>
      </w:r>
    </w:p>
    <w:p w14:paraId="262B8639" w14:textId="22CD42E1" w:rsidR="00524254" w:rsidRDefault="00143AD0" w:rsidP="007A21B1">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7A21B1">
        <w:rPr>
          <w:rFonts w:ascii="Times New Roman" w:hAnsi="Times New Roman" w:cs="Times New Roman"/>
          <w:sz w:val="24"/>
          <w:szCs w:val="24"/>
        </w:rPr>
        <w:t>(Bergmeir et al., 2018).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7A21B1">
        <w:rPr>
          <w:rFonts w:ascii="Times New Roman" w:hAnsi="Times New Roman" w:cs="Times New Roman"/>
          <w:sz w:val="24"/>
          <w:szCs w:val="24"/>
        </w:rPr>
        <w:t>(Arnott et al., 2019; Olorunnimbe &amp; Viktor, 2023). We</w:t>
      </w:r>
      <w:r w:rsidR="00483C69" w:rsidRPr="000829A5">
        <w:rPr>
          <w:rFonts w:ascii="Times New Roman" w:hAnsi="Times New Roman" w:cs="Times New Roman"/>
          <w:sz w:val="24"/>
          <w:szCs w:val="24"/>
        </w:rPr>
        <w:t xml:space="preserve"> use expanding annual folds and a label-observation purge instead of random cross-validation. </w:t>
      </w:r>
      <w:r w:rsidR="007A21B1">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7A21B1">
        <w:rPr>
          <w:rFonts w:ascii="Times New Roman" w:eastAsia="Times New Roman" w:hAnsi="Times New Roman" w:cs="Times New Roman"/>
          <w:b/>
          <w:sz w:val="24"/>
          <w:szCs w:val="24"/>
        </w:rPr>
        <w:t>(Brodersen et al., 2010).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7A21B1">
        <w:rPr>
          <w:rFonts w:ascii="Times New Roman" w:hAnsi="Times New Roman" w:cs="Times New Roman"/>
          <w:sz w:val="24"/>
          <w:szCs w:val="24"/>
        </w:rPr>
        <w:t>(Holm, 1979). Economic</w:t>
      </w:r>
      <w:r w:rsidR="000D08AF" w:rsidRPr="000829A5">
        <w:rPr>
          <w:rFonts w:ascii="Times New Roman" w:hAnsi="Times New Roman" w:cs="Times New Roman"/>
          <w:sz w:val="24"/>
          <w:szCs w:val="24"/>
        </w:rPr>
        <w:t xml:space="preserve"> summaries are explicitly exploratory; the Deflated Sharpe </w:t>
      </w:r>
      <w:r w:rsidR="000D08AF" w:rsidRPr="000829A5">
        <w:rPr>
          <w:rFonts w:ascii="Times New Roman" w:hAnsi="Times New Roman" w:cs="Times New Roman"/>
          <w:sz w:val="24"/>
          <w:szCs w:val="24"/>
        </w:rPr>
        <w:lastRenderedPageBreak/>
        <w:t>Ratio is 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r w:rsidR="007A21B1">
        <w:rPr>
          <w:rFonts w:ascii="Times New Roman" w:hAnsi="Times New Roman" w:cs="Times New Roman"/>
          <w:sz w:val="24"/>
          <w:szCs w:val="24"/>
        </w:rPr>
        <w:t>.</w:t>
      </w:r>
    </w:p>
    <w:p w14:paraId="37D3A737" w14:textId="1A55C7A6" w:rsidR="007D771C" w:rsidRPr="007A21B1" w:rsidRDefault="007A21B1" w:rsidP="007A21B1">
      <w:pPr>
        <w:keepNext/>
        <w:spacing w:before="240" w:line="240" w:lineRule="auto"/>
        <w:rPr>
          <w:rFonts w:ascii="Times New Roman" w:eastAsia="Times New Roman" w:hAnsi="Times New Roman" w:cs="Times New Roman"/>
          <w:b/>
          <w:bCs/>
          <w:sz w:val="24"/>
          <w:szCs w:val="24"/>
        </w:rPr>
      </w:pPr>
      <w:r w:rsidRPr="007A21B1">
        <w:rPr>
          <w:rFonts w:ascii="Times New Roman" w:eastAsia="Times New Roman" w:hAnsi="Times New Roman" w:cs="Times New Roman"/>
          <w:b/>
          <w:sz w:val="24"/>
          <w:szCs w:val="24"/>
        </w:rPr>
        <w:t>3. Materials and Methods</w:t>
      </w:r>
    </w:p>
    <w:p w14:paraId="7F4572BA"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3.1 Study design, data governance, and evidence hierarchy</w:t>
      </w:r>
    </w:p>
    <w:p w14:paraId="690ACF16"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77777777" w:rsidR="00916F49" w:rsidRPr="00916F49" w:rsidRDefault="00916F49" w:rsidP="007A21B1">
      <w:pPr>
        <w:keepNext/>
        <w:spacing w:before="120" w:line="240" w:lineRule="auto"/>
        <w:jc w:val="center"/>
        <w:rPr>
          <w:rFonts w:ascii="Times New Roman" w:hAnsi="Times New Roman"/>
          <w:bCs/>
          <w:sz w:val="24"/>
          <w:szCs w:val="24"/>
        </w:rPr>
      </w:pPr>
      <w:r w:rsidRPr="000B323C">
        <w:rPr>
          <w:rFonts w:ascii="Times New Roman" w:hAnsi="Times New Roman"/>
          <w:bCs/>
          <w:sz w:val="24"/>
          <w:szCs w:val="24"/>
          <w:highlight w:val="yellow"/>
        </w:rPr>
        <w:t>[Insert Figure 1 near here]</w:t>
      </w:r>
    </w:p>
    <w:p w14:paraId="78400C80" w14:textId="77777777" w:rsidR="00916F49" w:rsidRPr="00916F49" w:rsidRDefault="00916F49" w:rsidP="007A21B1">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612D4661"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7A21B1">
        <w:rPr>
          <w:rFonts w:ascii="Times New Roman" w:hAnsi="Times New Roman"/>
          <w:bCs/>
          <w:sz w:val="24"/>
          <w:szCs w:val="24"/>
        </w:rPr>
        <w:t>(Investing.com, n.d.-a, n.d.-b).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3.2 News data and out-of-sample sentiment construction</w:t>
      </w:r>
    </w:p>
    <w:p w14:paraId="2E6211C8" w14:textId="7FE2127C"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7A21B1">
        <w:rPr>
          <w:rFonts w:ascii="Times New Roman" w:hAnsi="Times New Roman"/>
          <w:bCs/>
          <w:sz w:val="24"/>
          <w:szCs w:val="24"/>
        </w:rPr>
        <w:t>(Uthayopas et al., 2025).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0D237FD2"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3.3 Point-in-time contract, temporal splits, and frozen windows</w:t>
      </w:r>
    </w:p>
    <w:p w14:paraId="03C0466B"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w:t>
      </w:r>
      <w:r w:rsidRPr="00916F49">
        <w:rPr>
          <w:rFonts w:ascii="Times New Roman" w:hAnsi="Times New Roman"/>
          <w:bCs/>
          <w:sz w:val="24"/>
          <w:szCs w:val="24"/>
        </w:rPr>
        <w:lastRenderedPageBreak/>
        <w:t>from binary metrics; a predicted exact-zero move is treated as an abstention and coverage is reported.</w:t>
      </w:r>
    </w:p>
    <w:p w14:paraId="6DB0FF4E"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12DDC31B"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3.4 Numerical features and causal VMD</w:t>
      </w:r>
    </w:p>
    <w:p w14:paraId="5A34A665"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3.5 Neural architectures and training</w:t>
      </w:r>
    </w:p>
    <w:p w14:paraId="6D1B5E2D"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073EA14E"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3.6 Multimodal falsification and Bull/Bear/Leader evaluation</w:t>
      </w:r>
    </w:p>
    <w:p w14:paraId="4D533293" w14:textId="3EC684AE"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576CB289"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2C445A47"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3.7 Causal market regimes and SHAP selection</w:t>
      </w:r>
    </w:p>
    <w:p w14:paraId="5A045FF5"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7A21B1" w:rsidRDefault="00916F49"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3.8 Metrics and statistical inference</w:t>
      </w:r>
    </w:p>
    <w:p w14:paraId="1CE8E9DF"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77777777" w:rsidR="00916F49" w:rsidRPr="00916F49" w:rsidRDefault="00916F49" w:rsidP="007A21B1">
      <w:pPr>
        <w:spacing w:line="360" w:lineRule="auto"/>
        <w:jc w:val="both"/>
        <w:rPr>
          <w:rFonts w:ascii="Times New Roman" w:hAnsi="Times New Roman"/>
          <w:bCs/>
          <w:sz w:val="24"/>
          <w:szCs w:val="24"/>
        </w:rPr>
      </w:pPr>
      <w:r w:rsidRPr="00916F49">
        <w:rPr>
          <w:rFonts w:ascii="Times New Roman" w:hAnsi="Times New Roman"/>
          <w:bCs/>
          <w:sz w:val="24"/>
          <w:szCs w:val="24"/>
        </w:rPr>
        <w:t>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(Politis &amp; Romano, 1992). Intrinsic LLM intervals use 5,000 article-cluster bootstrap replicates, article-cluster sign-flip sensitivity, and Holm adjustment across the two accuracy contrasts. Economic summaries are exploratory and are not used to certify deployment.</w:t>
      </w:r>
    </w:p>
    <w:p w14:paraId="11BBEDBB" w14:textId="093D29EC" w:rsidR="00F06F20" w:rsidRPr="007A21B1" w:rsidRDefault="007A21B1" w:rsidP="007A21B1">
      <w:pPr>
        <w:keepNext/>
        <w:spacing w:before="240" w:line="240" w:lineRule="auto"/>
        <w:rPr>
          <w:rFonts w:ascii="Times New Roman" w:hAnsi="Times New Roman" w:cs="Times New Roman"/>
          <w:b/>
          <w:bCs/>
          <w:sz w:val="24"/>
          <w:szCs w:val="24"/>
        </w:rPr>
      </w:pPr>
      <w:bookmarkStart w:id="0" w:name="_Hlk127275562"/>
      <w:r w:rsidRPr="007A21B1">
        <w:rPr>
          <w:rFonts w:ascii="Times New Roman" w:eastAsia="Times New Roman" w:hAnsi="Times New Roman" w:cs="Times New Roman"/>
          <w:b/>
          <w:sz w:val="24"/>
          <w:szCs w:val="24"/>
        </w:rPr>
        <w:t>4. Results and Discussion</w:t>
      </w:r>
    </w:p>
    <w:p w14:paraId="071F7BC5" w14:textId="77777777" w:rsidR="00FC4CF6" w:rsidRPr="007A21B1" w:rsidRDefault="00F06F20" w:rsidP="007A21B1">
      <w:pPr>
        <w:keepNext/>
        <w:spacing w:before="200" w:after="80" w:line="240" w:lineRule="auto"/>
        <w:rPr>
          <w:rFonts w:ascii="Times New Roman" w:hAnsi="Times New Roman" w:cs="Times New Roman"/>
          <w:b/>
          <w:sz w:val="24"/>
          <w:szCs w:val="24"/>
        </w:rPr>
      </w:pPr>
      <w:r w:rsidRPr="007A21B1">
        <w:rPr>
          <w:rFonts w:ascii="Times New Roman" w:hAnsi="Times New Roman"/>
          <w:b/>
          <w:bCs/>
          <w:sz w:val="24"/>
          <w:szCs w:val="24"/>
        </w:rPr>
        <w:t xml:space="preserve">4.1 </w:t>
      </w:r>
      <w:r w:rsidRPr="007A21B1">
        <w:rPr>
          <w:rFonts w:ascii="Times New Roman" w:eastAsia="Times New Roman" w:hAnsi="Times New Roman"/>
          <w:b/>
          <w:sz w:val="24"/>
          <w:szCs w:val="24"/>
        </w:rPr>
        <w:t>Numerical denoising was architecture dependent</w:t>
      </w:r>
    </w:p>
    <w:p w14:paraId="1BFD98EB" w14:textId="2F190CC2" w:rsidR="00FC4CF6" w:rsidRDefault="00FC4CF6"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7A21B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7A21B1">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Pr="007A21B1" w:rsidRDefault="00F6088D" w:rsidP="007A21B1">
      <w:pPr>
        <w:keepNext/>
        <w:spacing w:before="200" w:after="80" w:line="240" w:lineRule="auto"/>
        <w:rPr>
          <w:rFonts w:ascii="Times New Roman" w:hAnsi="Times New Roman" w:cs="Times New Roman"/>
          <w:b/>
          <w:sz w:val="24"/>
          <w:szCs w:val="24"/>
        </w:rPr>
      </w:pPr>
      <w:r w:rsidRPr="007A21B1">
        <w:rPr>
          <w:rFonts w:ascii="Times New Roman" w:hAnsi="Times New Roman"/>
          <w:b/>
          <w:bCs/>
          <w:sz w:val="24"/>
          <w:szCs w:val="24"/>
        </w:rPr>
        <w:t xml:space="preserve">4.2 </w:t>
      </w:r>
      <w:r w:rsidRPr="007A21B1">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7A21B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7A21B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Pr="007A21B1" w:rsidRDefault="0038564F"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4.</w:t>
      </w:r>
      <w:r w:rsidR="004377D0" w:rsidRPr="007A21B1">
        <w:rPr>
          <w:rFonts w:ascii="Times New Roman" w:hAnsi="Times New Roman"/>
          <w:b/>
          <w:bCs/>
          <w:sz w:val="24"/>
          <w:szCs w:val="24"/>
        </w:rPr>
        <w:t>3</w:t>
      </w:r>
      <w:r w:rsidRPr="007A21B1">
        <w:rPr>
          <w:rFonts w:ascii="Times New Roman" w:hAnsi="Times New Roman"/>
          <w:b/>
          <w:bCs/>
          <w:sz w:val="24"/>
          <w:szCs w:val="24"/>
        </w:rPr>
        <w:t xml:space="preserve"> </w:t>
      </w:r>
      <w:r w:rsidR="004377D0" w:rsidRPr="007A21B1">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7A21B1">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7A21B1">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(LLM Benchmark on locked 2023 ) </w:t>
      </w:r>
      <w:r w:rsidRPr="00D96A79">
        <w:rPr>
          <w:rFonts w:ascii="Times New Roman" w:hAnsi="Times New Roman" w:cs="Times New Roman"/>
          <w:b/>
          <w:bCs/>
          <w:sz w:val="24"/>
          <w:szCs w:val="24"/>
          <w:highlight w:val="yellow"/>
        </w:rPr>
        <w:t>]</w:t>
      </w:r>
    </w:p>
    <w:p w14:paraId="1EADCA96" w14:textId="5C043906" w:rsidR="00B72DF8" w:rsidRDefault="008B5EB3" w:rsidP="007A21B1">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7A21B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7A21B1" w:rsidRDefault="00743CA6"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4.</w:t>
      </w:r>
      <w:r w:rsidR="00D97087" w:rsidRPr="007A21B1">
        <w:rPr>
          <w:rFonts w:ascii="Times New Roman" w:hAnsi="Times New Roman" w:cs="Times New Roman"/>
          <w:b/>
          <w:bCs/>
          <w:sz w:val="24"/>
          <w:szCs w:val="24"/>
        </w:rPr>
        <w:t>4 Regime-SHAP selection helped one architecture but did not generalize</w:t>
      </w:r>
    </w:p>
    <w:p w14:paraId="7438F06F" w14:textId="64FA83AD" w:rsidR="0076753D" w:rsidRDefault="0076753D" w:rsidP="007A21B1">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7A21B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7A21B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7A21B1" w:rsidRDefault="00674EE8"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4.</w:t>
      </w:r>
      <w:r w:rsidR="00911B2B" w:rsidRPr="007A21B1">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7A21B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7A21B1">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7A21B1">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7A21B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7A21B1" w:rsidRDefault="00511544" w:rsidP="007A21B1">
      <w:pPr>
        <w:keepNext/>
        <w:spacing w:before="200" w:after="80" w:line="240" w:lineRule="auto"/>
        <w:rPr>
          <w:rFonts w:ascii="Times New Roman" w:hAnsi="Times New Roman"/>
          <w:b/>
          <w:bCs/>
          <w:sz w:val="24"/>
          <w:szCs w:val="24"/>
        </w:rPr>
      </w:pPr>
      <w:r w:rsidRPr="007A21B1">
        <w:rPr>
          <w:rFonts w:ascii="Times New Roman" w:hAnsi="Times New Roman"/>
          <w:b/>
          <w:bCs/>
          <w:sz w:val="24"/>
          <w:szCs w:val="24"/>
        </w:rPr>
        <w:t>4.</w:t>
      </w:r>
      <w:r w:rsidR="00D34609" w:rsidRPr="007A21B1">
        <w:rPr>
          <w:rFonts w:ascii="Times New Roman" w:hAnsi="Times New Roman" w:cs="Times New Roman"/>
          <w:b/>
          <w:bCs/>
          <w:sz w:val="24"/>
          <w:szCs w:val="24"/>
        </w:rPr>
        <w:t>6 Frozen SET100 transfer was uniformly weaker</w:t>
      </w:r>
    </w:p>
    <w:p w14:paraId="146D0AE3"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(The Stock Exchange of Thailand, n.d.).</w:t>
      </w:r>
    </w:p>
    <w:p w14:paraId="3C975960" w14:textId="54DFB731" w:rsidR="00511544" w:rsidRDefault="00124AA7" w:rsidP="007A21B1">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7A21B1">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7A21B1">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7A21B1">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7A21B1">
      <w:pPr>
        <w:spacing w:before="80" w:line="240" w:lineRule="auto"/>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1DD6E1BB" w:rsidR="00916F49" w:rsidRPr="007A21B1" w:rsidRDefault="007A21B1" w:rsidP="007A21B1">
      <w:pPr>
        <w:keepNext/>
        <w:spacing w:before="240" w:line="240" w:lineRule="auto"/>
        <w:rPr>
          <w:rFonts w:ascii="Times New Roman" w:hAnsi="Times New Roman" w:cs="Times New Roman"/>
          <w:b/>
          <w:sz w:val="24"/>
          <w:szCs w:val="24"/>
        </w:rPr>
      </w:pPr>
      <w:r w:rsidRPr="007A21B1">
        <w:rPr>
          <w:rFonts w:ascii="Times New Roman" w:hAnsi="Times New Roman" w:cs="Times New Roman"/>
          <w:b/>
          <w:sz w:val="24"/>
          <w:szCs w:val="24"/>
        </w:rPr>
        <w:t>5. Conclusion</w:t>
      </w:r>
    </w:p>
    <w:p w14:paraId="7C095222"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7A21B1" w:rsidRDefault="00916F49" w:rsidP="007A21B1">
      <w:pPr>
        <w:keepNext/>
        <w:spacing w:before="240" w:line="240" w:lineRule="auto"/>
        <w:rPr>
          <w:rFonts w:ascii="Times New Roman" w:hAnsi="Times New Roman" w:cs="Times New Roman"/>
          <w:b/>
          <w:sz w:val="24"/>
          <w:szCs w:val="24"/>
        </w:rPr>
      </w:pPr>
      <w:r w:rsidRPr="007A21B1">
        <w:rPr>
          <w:rFonts w:ascii="Times New Roman" w:hAnsi="Times New Roman" w:cs="Times New Roman"/>
          <w:b/>
          <w:sz w:val="24"/>
          <w:szCs w:val="24"/>
        </w:rPr>
        <w:t>Acknowledgements</w:t>
      </w:r>
    </w:p>
    <w:p w14:paraId="0C66AB58"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7A21B1" w:rsidRDefault="00916F49" w:rsidP="007A21B1">
      <w:pPr>
        <w:keepNext/>
        <w:spacing w:before="240" w:line="240" w:lineRule="auto"/>
        <w:rPr>
          <w:rFonts w:ascii="Times New Roman" w:hAnsi="Times New Roman" w:cs="Times New Roman"/>
          <w:b/>
          <w:sz w:val="24"/>
          <w:szCs w:val="24"/>
        </w:rPr>
      </w:pPr>
      <w:r w:rsidRPr="007A21B1">
        <w:rPr>
          <w:rFonts w:ascii="Times New Roman" w:hAnsi="Times New Roman" w:cs="Times New Roman"/>
          <w:b/>
          <w:sz w:val="24"/>
          <w:szCs w:val="24"/>
        </w:rPr>
        <w:t>Reproducibility and data availability</w:t>
      </w:r>
    </w:p>
    <w:p w14:paraId="30D94C3C" w14:textId="77777777" w:rsidR="00916F49" w:rsidRPr="00916F49" w:rsidRDefault="00916F49" w:rsidP="007A21B1">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7A21B1" w:rsidRDefault="001539DB" w:rsidP="007A21B1">
      <w:pPr>
        <w:keepNext/>
        <w:spacing w:before="240" w:line="240" w:lineRule="auto"/>
        <w:rPr>
          <w:rFonts w:ascii="Times New Roman" w:hAnsi="Times New Roman" w:cs="Times New Roman"/>
          <w:b/>
          <w:sz w:val="24"/>
          <w:szCs w:val="24"/>
        </w:rPr>
      </w:pPr>
      <w:r w:rsidRPr="007A21B1">
        <w:rPr>
          <w:rFonts w:ascii="Times New Roman" w:hAnsi="Times New Roman" w:cs="Times New Roman"/>
          <w:b/>
          <w:sz w:val="24"/>
          <w:szCs w:val="24"/>
        </w:rPr>
        <w:t>References</w:t>
      </w:r>
    </w:p>
    <w:sectPr w:rsidR="00B76A4C" w:rsidRPr="007A21B1"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6435" w14:textId="77777777" w:rsidR="00A77D67" w:rsidRDefault="00A77D67" w:rsidP="0021264C">
      <w:pPr>
        <w:spacing w:after="0" w:line="240" w:lineRule="auto"/>
      </w:pPr>
      <w:r>
        <w:separator/>
      </w:r>
    </w:p>
  </w:endnote>
  <w:endnote w:type="continuationSeparator" w:id="0">
    <w:p w14:paraId="45EDF3DB" w14:textId="77777777" w:rsidR="00A77D67" w:rsidRDefault="00A77D67"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9FCB" w14:textId="77777777" w:rsidR="00A77D67" w:rsidRDefault="00A77D67" w:rsidP="0021264C">
      <w:pPr>
        <w:spacing w:after="0" w:line="240" w:lineRule="auto"/>
      </w:pPr>
      <w:r>
        <w:separator/>
      </w:r>
    </w:p>
  </w:footnote>
  <w:footnote w:type="continuationSeparator" w:id="0">
    <w:p w14:paraId="4C5D28AB" w14:textId="77777777" w:rsidR="00A77D67" w:rsidRDefault="00A77D67"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4DB9"/>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1B1"/>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77D67"/>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6606</Words>
  <Characters>37656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2026-08-13T15:12:00Z</dcterms:created>
  <dcterms:modified xsi:type="dcterms:W3CDTF">2026-08-13T15:22:00Z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