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79AC9DAF" w:rsidR="00FC479C" w:rsidRPr="00466E3D" w:rsidRDefault="00710C26" w:rsidP="00DC7F13">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DC7F13">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Figure 1" title="Figure 1" descr="Five-pillar point-in-time reliability-audit pipeline for SET50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1DAE19B2"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the set of pairs assigned to session t,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its </w:t>
      </w:r>
      <w:proofErr w:type="gramStart"/>
      <w:r w:rsidRPr="0034462D">
        <w:rPr>
          <w:rFonts w:ascii="Times New Roman" w:hAnsi="Times New Roman" w:cs="Times New Roman"/>
          <w:color w:val="000000"/>
          <w:sz w:val="24"/>
        </w:rPr>
        <w:t>size</w:t>
      </w:r>
      <w:proofErr w:type="gramEnd"/>
      <w:r w:rsidRPr="0034462D">
        <w:rPr>
          <w:rFonts w:ascii="Times New Roman" w:hAnsi="Times New Roman" w:cs="Times New Roman"/>
          <w:color w:val="000000"/>
          <w:sz w:val="24"/>
        </w:rPr>
        <w:t xml:space="preserve"> and c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r w:rsidRPr="0034462D">
        <w:rPr>
          <w:rFonts w:ascii="Times New Roman" w:hAnsi="Times New Roman" w:cs="Times New Roman"/>
          <w:color w:val="000000"/>
          <w:sz w:val="24"/>
        </w:rPr>
        <w:t>.</w:t>
      </w:r>
    </w:p>
    <w:p w14:paraId="28D99ECE" w14:textId="5A12DAB2"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Figure 2" title="Figure 2" descr="Point-in-time financial-news normalization, filtering, sentiment prediction and session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w:t>
      </w:r>
      <w:proofErr w:type="spellStart"/>
      <w:r w:rsidRPr="0000017E">
        <w:rPr>
          <w:rFonts w:ascii="Times New Roman" w:hAnsi="Times New Roman" w:cs="Times New Roman"/>
          <w:bCs/>
          <w:sz w:val="24"/>
          <w:szCs w:val="24"/>
        </w:rPr>
        <w:t>StockTBSA</w:t>
      </w:r>
      <w:proofErr w:type="spellEnd"/>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t, market variables use only information available through the close at t.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Each row records both its feature Date and the next-session </w:t>
      </w:r>
      <w:proofErr w:type="spellStart"/>
      <w:r w:rsidRPr="0034462D">
        <w:rPr>
          <w:rFonts w:ascii="Times New Roman" w:hAnsi="Times New Roman" w:cs="Times New Roman"/>
          <w:bCs/>
          <w:color w:val="000000"/>
          <w:sz w:val="24"/>
          <w:szCs w:val="24"/>
        </w:rPr>
        <w:t>Label_Date</w:t>
      </w:r>
      <w:proofErr w:type="spellEnd"/>
      <w:r w:rsidRPr="0034462D">
        <w:rPr>
          <w:rFonts w:ascii="Times New Roman" w:hAnsi="Times New Roman" w:cs="Times New Roman"/>
          <w:bCs/>
          <w:color w:val="000000"/>
          <w:sz w:val="24"/>
          <w:szCs w:val="24"/>
        </w:rPr>
        <w:t xml:space="preserve"> on which C_(t+1) becomes observable. At every boundary, a supervised training row is retained only when </w:t>
      </w:r>
      <w:proofErr w:type="spellStart"/>
      <w:r w:rsidRPr="0034462D">
        <w:rPr>
          <w:rFonts w:ascii="Times New Roman" w:hAnsi="Times New Roman" w:cs="Times New Roman"/>
          <w:bCs/>
          <w:color w:val="000000"/>
          <w:sz w:val="24"/>
          <w:szCs w:val="24"/>
        </w:rPr>
        <w:t>Label_Date_t</w:t>
      </w:r>
      <w:proofErr w:type="spellEnd"/>
      <w:r w:rsidRPr="0034462D">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 xml:space="preserve">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Figure 3" title="Figure 3" descr="Expanding-window evaluation with purged next-day labels and held-out outer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Causal rolling VMD adds six variables. At each t, only the 60 closes from t-59 through t are decomposed using five modes, alpha = 1000, dual-ascent step tau = 0, a DC mode, tolerance 10^-7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39A27D09"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Equations (3)-(5) formalize the trailing decomposition window, highest-frequency noise-mode rule, denoised close and removed-mode energy ratio. The quantities u_(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and omega_(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xml:space="preserve">) denote mode k estimated at date t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26ADA9EC" w14:textId="690F92E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1A09A25F" w14:textId="4A5E7F10"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90C1A7C" w14:textId="1E2C194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 xml:space="preserve">3.5 Neural </w:t>
      </w:r>
      <w:proofErr w:type="gramStart"/>
      <w:r w:rsidRPr="00D0143A">
        <w:rPr>
          <w:rFonts w:ascii="Times New Roman" w:hAnsi="Times New Roman"/>
          <w:b/>
          <w:bCs/>
          <w:sz w:val="24"/>
          <w:szCs w:val="24"/>
        </w:rPr>
        <w:t>architectures</w:t>
      </w:r>
      <w:proofErr w:type="gramEnd"/>
      <w:r w:rsidRPr="00D0143A">
        <w:rPr>
          <w:rFonts w:ascii="Times New Roman" w:hAnsi="Times New Roman"/>
          <w:b/>
          <w:bCs/>
          <w:sz w:val="24"/>
          <w:szCs w:val="24"/>
        </w:rPr>
        <w:t xml:space="preserve">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4170E9C3" w14:textId="74EC2A11"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r>
              <w:rPr>
                <w:rFonts w:ascii="Cambria Math" w:hAnsi="Cambria Math" w:cs="Times New Roman"/>
                <w:sz w:val="21"/>
              </w:rPr>
              <m:t xml:space="preserve"> </m:t>
            </m:r>
          </m:e>
        </m:nary>
      </m:oMath>
      <w:r w:rsidRPr="009960B6">
        <w:rPr>
          <w:rFonts w:ascii="Times New Roman" w:hAnsi="Times New Roman" w:cs="Times New Roman"/>
          <w:sz w:val="21"/>
        </w:rPr>
        <w:tab/>
      </w:r>
      <w:r w:rsidR="0034462D">
        <w:rPr>
          <w:rFonts w:ascii="Times New Roman" w:hAnsi="Times New Roman" w:cs="Times New Roman"/>
          <w:sz w:val="21"/>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Figure 4" title="Figure 4" descr="Numerical feature construction, causal rolling VMD and the five registered neural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proofErr w:type="gramStart"/>
      <w:r w:rsidRPr="004A3C24">
        <w:rPr>
          <w:rFonts w:ascii="Times New Roman" w:hAnsi="Times New Roman" w:cs="Times New Roman"/>
          <w:bCs/>
          <w:sz w:val="24"/>
          <w:szCs w:val="24"/>
        </w:rPr>
        <w:t>architectures</w:t>
      </w:r>
      <w:proofErr w:type="gramEnd"/>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1B3631A4"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 xml:space="preserve">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w:t>
      </w:r>
      <w:proofErr w:type="gramStart"/>
      <w:r>
        <w:rPr>
          <w:rFonts w:ascii="Times New Roman" w:hAnsi="Times New Roman"/>
          <w:bCs/>
          <w:sz w:val="24"/>
          <w:szCs w:val="24"/>
        </w:rPr>
        <w:t>cohort</w:t>
      </w:r>
      <w:proofErr w:type="gramEnd"/>
      <w:r>
        <w:rPr>
          <w:rFonts w:ascii="Times New Roman" w:hAnsi="Times New Roman"/>
          <w:bCs/>
          <w:sz w:val="24"/>
          <w:szCs w:val="24"/>
        </w:rPr>
        <w:t xml:space="preserve">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Figure 5" title="Figure 5" descr="Separate downstream SET50 news-forecasting audit and locked intrinsic Bull-Bear-Leader sentimen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814095" w:rsidRDefault="00880654" w:rsidP="009960B6">
      <w:pPr>
        <w:keepLines/>
        <w:spacing w:before="60" w:after="180" w:line="240" w:lineRule="auto"/>
        <w:jc w:val="center"/>
        <w:rPr>
          <w:rFonts w:ascii="Times New Roman" w:hAnsi="Times New Roman" w:cs="Times New Roman"/>
          <w:sz w:val="24"/>
          <w:szCs w:val="24"/>
        </w:rPr>
      </w:pPr>
      <w:r>
        <w:rPr>
          <w:rFonts w:ascii="Times New Roman" w:hAnsi="Times New Roman" w:cs="Times New Roman"/>
          <w:b/>
          <w:bCs/>
          <w:sz w:val="24"/>
          <w:szCs w:val="24"/>
        </w:rPr>
        <w:t xml:space="preserve">Figure 5. </w:t>
      </w:r>
      <w:r w:rsidRPr="00814095">
        <w:rPr>
          <w:rFonts w:ascii="Times New Roman" w:hAnsi="Times New Roman" w:cs="Times New Roman"/>
          <w:sz w:val="24"/>
          <w:szCs w:val="24"/>
        </w:rPr>
        <w:t>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Daily regimes are assigned without future information using the causal trend score in Eq. (7). H contains the six return horizons in Eq. (8); sigma_(</w:t>
      </w:r>
      <w:proofErr w:type="spellStart"/>
      <w:proofErr w:type="gramStart"/>
      <w:r w:rsidRPr="0034462D">
        <w:rPr>
          <w:rFonts w:ascii="Times New Roman" w:hAnsi="Times New Roman" w:cs="Times New Roman"/>
          <w:color w:val="000000"/>
          <w:sz w:val="24"/>
        </w:rPr>
        <w:t>t,v</w:t>
      </w:r>
      <w:proofErr w:type="spellEnd"/>
      <w:proofErr w:type="gramEnd"/>
      <w:r w:rsidRPr="0034462D">
        <w:rPr>
          <w:rFonts w:ascii="Times New Roman" w:hAnsi="Times New Roman" w:cs="Times New Roman"/>
          <w:color w:val="000000"/>
          <w:sz w:val="24"/>
        </w:rPr>
        <w:t>(h)) is trailing volatility, with v(h)=20 sessions for h up to 20 and 60 sessions for h=60. ADX_(</w:t>
      </w:r>
      <w:proofErr w:type="gramStart"/>
      <w:r w:rsidRPr="0034462D">
        <w:rPr>
          <w:rFonts w:ascii="Times New Roman" w:hAnsi="Times New Roman" w:cs="Times New Roman"/>
          <w:color w:val="000000"/>
          <w:sz w:val="24"/>
        </w:rPr>
        <w:t>14,t</w:t>
      </w:r>
      <w:proofErr w:type="gramEnd"/>
      <w:r w:rsidRPr="0034462D">
        <w:rPr>
          <w:rFonts w:ascii="Times New Roman" w:hAnsi="Times New Roman" w:cs="Times New Roman"/>
          <w:color w:val="000000"/>
          <w:sz w:val="24"/>
        </w:rPr>
        <w:t xml:space="preserve">) scales trend strength and EWMA_3 </w:t>
      </w:r>
      <w:proofErr w:type="gramStart"/>
      <w:r w:rsidRPr="0034462D">
        <w:rPr>
          <w:rFonts w:ascii="Times New Roman" w:hAnsi="Times New Roman" w:cs="Times New Roman"/>
          <w:color w:val="000000"/>
          <w:sz w:val="24"/>
        </w:rPr>
        <w:t>smooths</w:t>
      </w:r>
      <w:proofErr w:type="gramEnd"/>
      <w:r w:rsidRPr="0034462D">
        <w:rPr>
          <w:rFonts w:ascii="Times New Roman" w:hAnsi="Times New Roman" w:cs="Times New Roman"/>
          <w:color w:val="000000"/>
          <w:sz w:val="24"/>
        </w:rPr>
        <w:t xml:space="preserve">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13DC64FF" w14:textId="2AA3A176"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01C5CB18" w14:textId="62CBD92F"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50CD31E5" w14:textId="39344F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For outer fold f, the symmetric deadband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in Eq. (9) is the 35th percentile of absolute training-fold scores only. Date t is Bull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and </w:t>
      </w:r>
      <w:proofErr w:type="gramStart"/>
      <w:r w:rsidRPr="0034462D">
        <w:rPr>
          <w:rFonts w:ascii="Times New Roman" w:hAnsi="Times New Roman" w:cs="Times New Roman"/>
          <w:color w:val="000000"/>
          <w:sz w:val="24"/>
        </w:rPr>
        <w:t>Sideway</w:t>
      </w:r>
      <w:proofErr w:type="gramEnd"/>
      <w:r w:rsidRPr="0034462D">
        <w:rPr>
          <w:rFonts w:ascii="Times New Roman" w:hAnsi="Times New Roman" w:cs="Times New Roman"/>
          <w:color w:val="000000"/>
          <w:sz w:val="24"/>
        </w:rPr>
        <w:t xml:space="preserve"> otherwise. The state at t routes the prediction for t+1;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0D5E431A" w14:textId="62A89C72"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Within regime r, feature j is ranked by the mean absolute SHAP value in Eq. (10), computed only from the training ranking set </w:t>
      </w:r>
      <w:proofErr w:type="spellStart"/>
      <w:r w:rsidRPr="0034462D">
        <w:rPr>
          <w:rFonts w:ascii="Times New Roman" w:hAnsi="Times New Roman" w:cs="Times New Roman"/>
          <w:color w:val="000000"/>
          <w:sz w:val="24"/>
        </w:rPr>
        <w:t>T_r</w:t>
      </w:r>
      <w:proofErr w:type="spellEnd"/>
      <w:r w:rsidRPr="0034462D">
        <w:rPr>
          <w:rFonts w:ascii="Times New Roman" w:hAnsi="Times New Roman" w:cs="Times New Roman"/>
          <w:color w:val="000000"/>
          <w:sz w:val="24"/>
        </w:rPr>
        <w:t xml:space="preserve">. The selected set </w:t>
      </w:r>
      <w:proofErr w:type="spellStart"/>
      <w:r w:rsidRPr="0034462D">
        <w:rPr>
          <w:rFonts w:ascii="Times New Roman" w:hAnsi="Times New Roman" w:cs="Times New Roman"/>
          <w:color w:val="000000"/>
          <w:sz w:val="24"/>
        </w:rPr>
        <w:t>S_r</w:t>
      </w:r>
      <w:proofErr w:type="spellEnd"/>
      <w:r w:rsidRPr="0034462D">
        <w:rPr>
          <w:rFonts w:ascii="Times New Roman" w:hAnsi="Times New Roman" w:cs="Times New Roman"/>
          <w:color w:val="000000"/>
          <w:sz w:val="24"/>
        </w:rPr>
        <w:t xml:space="preserve">(k) contains the </w:t>
      </w:r>
      <w:proofErr w:type="gramStart"/>
      <w:r w:rsidRPr="0034462D">
        <w:rPr>
          <w:rFonts w:ascii="Times New Roman" w:hAnsi="Times New Roman" w:cs="Times New Roman"/>
          <w:color w:val="000000"/>
          <w:sz w:val="24"/>
        </w:rPr>
        <w:t>k highest-ranked</w:t>
      </w:r>
      <w:proofErr w:type="gramEnd"/>
      <w:r w:rsidRPr="0034462D">
        <w:rPr>
          <w:rFonts w:ascii="Times New Roman" w:hAnsi="Times New Roman" w:cs="Times New Roman"/>
          <w:color w:val="000000"/>
          <w:sz w:val="24"/>
        </w:rPr>
        <w:t xml:space="preserve">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Pr="0034462D">
        <w:rPr>
          <w:rFonts w:ascii="Times New Roman" w:hAnsi="Times New Roman" w:cs="Times New Roman"/>
          <w:color w:val="000000"/>
          <w:sz w:val="24"/>
        </w:rPr>
        <w:t>.</w:t>
      </w:r>
    </w:p>
    <w:p w14:paraId="40D5DD75" w14:textId="40882A0A"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bCs/>
          <w:sz w:val="24"/>
          <w:szCs w:val="24"/>
        </w:rPr>
        <w:lastRenderedPageBreak/>
        <w:t>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3F1DC001" w14:textId="16205D88"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0EEDC707"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w:t>
      </w:r>
      <w:proofErr w:type="gramStart"/>
      <w:r w:rsidRPr="0034462D">
        <w:rPr>
          <w:rFonts w:ascii="Times New Roman" w:hAnsi="Times New Roman" w:cs="Times New Roman"/>
          <w:color w:val="000000"/>
          <w:sz w:val="24"/>
        </w:rPr>
        <w:t>four year</w:t>
      </w:r>
      <w:proofErr w:type="gramEnd"/>
      <w:r w:rsidRPr="0034462D">
        <w:rPr>
          <w:rFonts w:ascii="Times New Roman" w:hAnsi="Times New Roman" w:cs="Times New Roman"/>
          <w:color w:val="000000"/>
          <w:sz w:val="24"/>
        </w:rPr>
        <w:t xml:space="preserve">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58B3E7B6" w14:textId="0825A2C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50089B7E" w14:textId="6AED63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7C554421" w14:textId="338FC56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Figure 6" title="Figure 6" descr="Causal Bull-Sideway-Bear routing, training-only SHAP selection and paired temporal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1FED5CFB" w:rsidR="00F06F20" w:rsidRPr="004B02B2" w:rsidRDefault="004B02B2" w:rsidP="004B02B2">
      <w:pPr>
        <w:keepNext/>
        <w:keepLines/>
        <w:spacing w:before="240" w:line="360" w:lineRule="auto"/>
        <w:rPr>
          <w:rFonts w:ascii="Times New Roman" w:hAnsi="Times New Roman" w:cs="Times New Roman"/>
          <w:b/>
          <w:bCs/>
          <w:color w:val="000000"/>
          <w:sz w:val="24"/>
          <w:szCs w:val="24"/>
        </w:rPr>
      </w:pPr>
      <w:r w:rsidRPr="004B02B2">
        <w:rPr>
          <w:rFonts w:ascii="Times New Roman" w:eastAsia="Times New Roman" w:hAnsi="Times New Roman" w:cs="Times New Roman"/>
          <w:b/>
          <w:color w:val="000000"/>
          <w:sz w:val="24"/>
          <w:szCs w:val="24"/>
        </w:rPr>
        <w:t>4. Results</w:t>
      </w:r>
    </w:p>
    <w:p w14:paraId="071F7BC5" w14:textId="03ED1CD6"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6D484E48" w14:textId="52089D89"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Our ablation instead removes only the highest-frequency mode, keeps </w:t>
      </w:r>
      <w:r w:rsidR="00814095" w:rsidRPr="0034462D">
        <w:rPr>
          <w:rFonts w:ascii="Times New Roman" w:hAnsi="Times New Roman" w:cs="Times New Roman"/>
          <w:bCs/>
          <w:color w:val="000000"/>
          <w:sz w:val="24"/>
          <w:szCs w:val="24"/>
        </w:rPr>
        <w:t>architecture</w:t>
      </w:r>
      <w:r w:rsidRPr="0034462D">
        <w:rPr>
          <w:rFonts w:ascii="Times New Roman" w:hAnsi="Times New Roman" w:cs="Times New Roman"/>
          <w:bCs/>
          <w:color w:val="000000"/>
          <w:sz w:val="24"/>
          <w:szCs w:val="24"/>
        </w:rPr>
        <w:t xml:space="preserve">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C10A0BA"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proofErr w:type="gramStart"/>
      <w:r w:rsidRPr="0034462D">
        <w:rPr>
          <w:rFonts w:ascii="Times New Roman" w:hAnsi="Times New Roman" w:cs="Times New Roman"/>
          <w:bCs/>
          <w:color w:val="000000"/>
          <w:sz w:val="24"/>
          <w:szCs w:val="24"/>
        </w:rPr>
        <w:t>shuffled-news</w:t>
      </w:r>
      <w:proofErr w:type="gramEnd"/>
      <w:r w:rsidRPr="0034462D">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7D6744B3" w14:textId="6FD1B3D4"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w:t>
      </w:r>
      <w:proofErr w:type="gramStart"/>
      <w:r w:rsidRPr="004A3C24">
        <w:rPr>
          <w:rFonts w:ascii="Times New Roman" w:hAnsi="Times New Roman" w:cs="Times New Roman"/>
          <w:iCs/>
          <w:sz w:val="24"/>
          <w:szCs w:val="24"/>
        </w:rPr>
        <w:t>article</w:t>
      </w:r>
      <w:proofErr w:type="gramEnd"/>
      <w:r w:rsidRPr="004A3C24">
        <w:rPr>
          <w:rFonts w:ascii="Times New Roman" w:hAnsi="Times New Roman" w:cs="Times New Roman"/>
          <w:iCs/>
          <w:sz w:val="24"/>
          <w:szCs w:val="24"/>
        </w:rPr>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7999A36F" w14:textId="68572616"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Pr>
          <w:rFonts w:ascii="Times New Roman" w:hAnsi="Times New Roman" w:cs="Times New Roman"/>
          <w:bCs/>
          <w:color w:val="000000"/>
          <w:sz w:val="24"/>
          <w:szCs w:val="24"/>
        </w:rPr>
        <w:t>inference calls. Recent finance-agent</w:t>
      </w:r>
      <w:r w:rsidRPr="0034462D">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12647C94" w14:textId="6378713B"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341794">
        <w:rPr>
          <w:rFonts w:ascii="Times New Roman" w:hAnsi="Times New Roman" w:cs="Times New Roman"/>
          <w:sz w:val="24"/>
          <w:szCs w:val="24"/>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b/>
          <w:bCs/>
          <w:sz w:val="24"/>
          <w:szCs w:val="24"/>
        </w:rPr>
        <w:t>.</w:t>
      </w:r>
    </w:p>
    <w:p>
      <w:pPr>
        <w:keepLines/>
        <w:spacing w:line="360" w:lineRule="auto"/>
        <w:jc w:val="both"/>
        <w:rPr>
          <w:rFonts w:ascii="Times New Roman" w:hAnsi="Times New Roman" w:cs="Times New Roman"/>
          <w:color w:val="000000"/>
          <w:sz w:val="24"/>
          <w:szCs w:val="24"/>
        </w:rPr>
      </w:pPr>
      <w:r>
        <w:rPr>
          <w:rFonts w:ascii="Times New Roman" w:hAnsi="Times New Roman"/>
          <w:sz w:val="24"/>
        </w:rPr>
        <w:t>Figure 7 places the selector effect beside the independent local-fidelity diagnostic. Regime-SHAP improved CNN by 1.46 percentage points and LSTM-CNN by 0.05 points, while changing LSTM, LSTM-Attention and LSTM-CNN-Attention by -0.10, -1.03 and -0.74 points, respectively. Every 95% interval crossed zero and no contrast survived Holm adjustment. LIME classified 65.8-77.5% of the 120 repeats in each model-regime cell as low fidelity; overall, 1,293 of 1,800 explanations (71.83%) had local-surrogate R^2 below 0.70.</w:t>
      </w:r>
    </w:p>
    <w:p>
      <w:pPr>
        <w:keepNext/>
        <w:pageBreakBefore w:val="0"/>
        <w:spacing w:before="60" w:after="40"/>
        <w:jc w:val="center"/>
      </w:pPr>
      <w:r>
        <w:drawing>
          <wp:inline xmlns:a="http://schemas.openxmlformats.org/drawingml/2006/main" xmlns:pic="http://schemas.openxmlformats.org/drawingml/2006/picture">
            <wp:extent cx="5897880" cy="2248771"/>
            <wp:docPr id="1399279417" name="Figure 7" title="Figure 7" descr="Regime-SHAP balanced-accuracy effects and model-by-regime LIME low-fidelity rates."/>
            <wp:cNvGraphicFramePr>
              <a:graphicFrameLocks noChangeAspect="1"/>
            </wp:cNvGraphicFramePr>
            <a:graphic>
              <a:graphicData uri="http://schemas.openxmlformats.org/drawingml/2006/picture">
                <pic:pic>
                  <pic:nvPicPr>
                    <pic:cNvPr id="0" name="figure10_shap_lime_result_audit.png"/>
                    <pic:cNvPicPr/>
                  </pic:nvPicPr>
                  <pic:blipFill>
                    <a:blip r:embed="rId21"/>
                    <a:stretch>
                      <a:fillRect/>
                    </a:stretch>
                  </pic:blipFill>
                  <pic:spPr>
                    <a:xfrm>
                      <a:off x="0" y="0"/>
                      <a:ext cx="5897880" cy="2248771"/>
                    </a:xfrm>
                    <a:prstGeom prst="rect"/>
                  </pic:spPr>
                </pic:pic>
              </a:graphicData>
            </a:graphic>
          </wp:inline>
        </w:drawing>
      </w:r>
    </w:p>
    <w:p>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7.</w:t>
      </w:r>
      <w:r>
        <w:rPr>
          <w:rFonts w:ascii="Times New Roman" w:hAnsi="Times New Roman"/>
          <w:sz w:val="24"/>
        </w:rPr>
        <w:t xml:space="preserve"> Explainability audit. Panel A reports the Regime-SHAP minus Regime-All balanced-accuracy change with descriptive 95% intervals after seed aggregation within outer years; no effect survived Holm adjustment. Panel B reports the percentage of LIME repeats with local-surrogate R^2 below 0.70; failed repeats remain in the denominator.</w:t>
      </w:r>
    </w:p>
    <w:p w14:paraId="26F4F236" w14:textId="7A7CDF91"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The low-fidelity LIME result reinforces that caution; consequently, the CNN effect is evidence of a model-specific routing hypothesis, not a universal regime feature set.</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pPr>
        <w:keepLines/>
        <w:spacing w:line="360" w:lineRule="auto"/>
        <w:jc w:val="both"/>
        <w:rPr>
          <w:rFonts w:ascii="Times New Roman" w:hAnsi="Times New Roman" w:cs="Times New Roman"/>
          <w:color w:val="000000"/>
          <w:sz w:val="24"/>
          <w:szCs w:val="24"/>
        </w:rPr>
      </w:pPr>
      <w:r>
        <w:rPr>
          <w:rFonts w:ascii="Times New Roman" w:hAnsi="Times New Roman"/>
          <w:sz w:val="24"/>
        </w:rPr>
        <w:t>Figures 8 and 9 visualize the five seed-averaged out-of-sample prediction series from the post-hoc Regime-SHAP-Numeric-News arm. Over 2022-2025, LSTM produced the smallest level errors (RMSE 15.97; MAE 12.73) and the tightest scatter around the identity line, but its mean balanced accuracy was only 52.01%. LSTM-CNN-Attention produced the highest balanced accuracy (53.64%) and MCC (0.089) but the largest level errors (RMSE 31.77; MAE 25.34). LSTM-Attention occupied the middle ground (BAcc 52.62%; RMSE 20.41), LSTM-CNN improved directional performance (52.81%) at the cost of larger level error (RMSE 29.79), and CNN had the weakest mean directional result (51.49%) despite visible level co-movement (RMSE 22.74). Thus, the model ranking depends on whether the endpoint is next-day level error or the sign of the next-day move.</w:t>
      </w:r>
    </w:p>
    <w:p>
      <w:pPr>
        <w:keepNext/>
        <w:pageBreakBefore w:val="0"/>
        <w:spacing w:before="60" w:after="40"/>
        <w:jc w:val="center"/>
      </w:pPr>
      <w:r>
        <w:drawing>
          <wp:inline xmlns:a="http://schemas.openxmlformats.org/drawingml/2006/main" xmlns:pic="http://schemas.openxmlformats.org/drawingml/2006/picture">
            <wp:extent cx="5897880" cy="3515660"/>
            <wp:docPr id="1399279418" name="Figure 8" title="Figure 8" descr="Observed-versus-predicted next-day SET50 scatter plots for the five frozen architectures."/>
            <wp:cNvGraphicFramePr>
              <a:graphicFrameLocks noChangeAspect="1"/>
            </wp:cNvGraphicFramePr>
            <a:graphic>
              <a:graphicData uri="http://schemas.openxmlformats.org/drawingml/2006/picture">
                <pic:pic>
                  <pic:nvPicPr>
                    <pic:cNvPr id="0" name="observed_vs_predicted_scatter_oos_2022_2025.png"/>
                    <pic:cNvPicPr/>
                  </pic:nvPicPr>
                  <pic:blipFill>
                    <a:blip r:embed="rId22"/>
                    <a:stretch>
                      <a:fillRect/>
                    </a:stretch>
                  </pic:blipFill>
                  <pic:spPr>
                    <a:xfrm>
                      <a:off x="0" y="0"/>
                      <a:ext cx="5897880" cy="3515660"/>
                    </a:xfrm>
                    <a:prstGeom prst="rect"/>
                  </pic:spPr>
                </pic:pic>
              </a:graphicData>
            </a:graphic>
          </wp:inline>
        </w:drawing>
      </w:r>
    </w:p>
    <w:p>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8.</w:t>
      </w:r>
      <w:r>
        <w:rPr>
          <w:rFonts w:ascii="Times New Roman" w:hAnsi="Times New Roman"/>
          <w:sz w:val="24"/>
        </w:rPr>
        <w:t xml:space="preserve"> Observed versus predicted next-day SET50 levels for the post-hoc integrated arm, 2022-2025. Each point is a seed-averaged out-of-sample forecast; the dashed identity line indicates exact level agreement. RMSE and MAE evaluate level error, whereas balanced accuracy evaluates direction.</w:t>
      </w:r>
    </w:p>
    <w:p>
      <w:pPr>
        <w:keepNext/>
        <w:pageBreakBefore/>
        <w:spacing w:before="60" w:after="40"/>
        <w:jc w:val="center"/>
      </w:pPr>
      <w:r>
        <w:drawing>
          <wp:inline xmlns:a="http://schemas.openxmlformats.org/drawingml/2006/main" xmlns:pic="http://schemas.openxmlformats.org/drawingml/2006/picture">
            <wp:extent cx="5897880" cy="5560355"/>
            <wp:docPr id="1399279419" name="Figure 9" title="Figure 9" descr="Actual and predicted next-day SET50 level series for the five architectures in the 2025 fold."/>
            <wp:cNvGraphicFramePr>
              <a:graphicFrameLocks noChangeAspect="1"/>
            </wp:cNvGraphicFramePr>
            <a:graphic>
              <a:graphicData uri="http://schemas.openxmlformats.org/drawingml/2006/picture">
                <pic:pic>
                  <pic:nvPicPr>
                    <pic:cNvPr id="0" name="actual_vs_predicted_oos_2025_zoom.png"/>
                    <pic:cNvPicPr/>
                  </pic:nvPicPr>
                  <pic:blipFill>
                    <a:blip r:embed="rId23"/>
                    <a:stretch>
                      <a:fillRect/>
                    </a:stretch>
                  </pic:blipFill>
                  <pic:spPr>
                    <a:xfrm>
                      <a:off x="0" y="0"/>
                      <a:ext cx="5897880" cy="5560355"/>
                    </a:xfrm>
                    <a:prstGeom prst="rect"/>
                  </pic:spPr>
                </pic:pic>
              </a:graphicData>
            </a:graphic>
          </wp:inline>
        </w:drawing>
      </w:r>
    </w:p>
    <w:p>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9.</w:t>
      </w:r>
      <w:r>
        <w:rPr>
          <w:rFonts w:ascii="Times New Roman" w:hAnsi="Times New Roman"/>
          <w:sz w:val="24"/>
        </w:rPr>
        <w:t xml:space="preserve"> Seed-averaged out-of-sample next-day SET50 forecasts in the 2025 fold. Black lines show realized next-day closes and colored lines show model forecasts; annotations report the metrics calculated only on the displayed fold. The visual diagnoses level tracking and turning-point behavior, while balanced accuracy remains the primary directional endpoint.</w:t>
      </w:r>
    </w:p>
    <w:p>
      <w:pPr>
        <w:keepLines/>
        <w:spacing w:line="360" w:lineRule="auto"/>
        <w:jc w:val="both"/>
        <w:rPr>
          <w:rFonts w:ascii="Times New Roman" w:hAnsi="Times New Roman" w:cs="Times New Roman"/>
          <w:color w:val="000000"/>
          <w:sz w:val="24"/>
          <w:szCs w:val="24"/>
        </w:rPr>
      </w:pPr>
      <w:r>
        <w:rPr>
          <w:rFonts w:ascii="Times New Roman" w:hAnsi="Times New Roman"/>
          <w:sz w:val="24"/>
        </w:rPr>
        <w:t>In the 2025 fold, LSTM-CNN achieved the best balanced accuracy (55.15%) and direction accuracy (54.27%) but an RMSE of 30.41, whereas LSTM retained the lowest RMSE (21.57) with balanced accuracy of 53.20%. LSTM-Attention reached 53.82% balanced accuracy; CNN was near chance at 51.07%; and LSTM-CNN-Attention fell to 53.07% while its RMSE rose to 36.12. The realized Up share was 48.72%, yet the models predicted Up on 74.79-86.32% of dates; corresponding Down recall was only 16.67-28.33%. The broad level paths can therefore appear visually convincing even when local reversals and small negative moves are missed.</w:t>
      </w:r>
    </w:p>
    <w:p>
      <w:pPr>
        <w:keepLines/>
        <w:spacing w:line="360" w:lineRule="auto"/>
        <w:jc w:val="both"/>
        <w:rPr>
          <w:rFonts w:ascii="Times New Roman" w:hAnsi="Times New Roman" w:cs="Times New Roman"/>
          <w:color w:val="000000"/>
          <w:sz w:val="24"/>
          <w:szCs w:val="24"/>
        </w:rPr>
      </w:pPr>
      <w:r>
        <w:rPr>
          <w:rFonts w:ascii="Times New Roman" w:hAnsi="Times New Roman"/>
          <w:sz w:val="24"/>
        </w:rPr>
        <w:t>Taken model by model, LSTM was strongest at level calibration but remained directionally asymmetric; CNN captured broad level co-movement but smoothed or plateaued around turning points and provided little net sign discrimination; LSTM-CNN gained 2025 directional sensitivity but produced more dispersed levels; LSTM-Attention offered a compromise with smaller level error than the convolutional hybrids but remained Up-skewed; and LSTM-CNN-Attention had the best four-year primary metric while showing the largest 2025 error and weakest Down recall. This pattern is consistent with added convolution and attention capacity trading level calibration for sensitivity to selected temporal patterns, but the audit cannot identify that mechanism causally. CNN's positive Regime-SHAP cell is compatible with feature compression helping a local-filter architecture, whereas LIME's low fidelity prevents a stable feature-level explanation from being claimed (Lundberg &amp; Lee, 2017; Ribeiro et al., 2016; Yeo et al., 2025).</w:t>
      </w:r>
    </w:p>
    <w:p w14:paraId="0E01A98F" w14:textId="3A90CA79"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w:t>
      </w:r>
      <w:r w:rsidRPr="000829A5">
        <w:rPr>
          <w:rFonts w:ascii="Times New Roman" w:hAnsi="Times New Roman" w:cs="Times New Roman"/>
          <w:sz w:val="24"/>
          <w:szCs w:val="24"/>
        </w:rPr>
        <w:lastRenderedPageBreak/>
        <w:t>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w:t>
      </w:r>
    </w:p>
    <w:p w14:paraId="1DF141AC" w14:textId="2C00B68F"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w:t>
      </w:r>
      <w:proofErr w:type="gramStart"/>
      <w:r w:rsidRPr="004A3C24">
        <w:rPr>
          <w:rFonts w:ascii="Times New Roman" w:hAnsi="Times New Roman" w:cs="Times New Roman"/>
          <w:iCs/>
          <w:sz w:val="24"/>
          <w:szCs w:val="24"/>
        </w:rPr>
        <w:t>retuning</w:t>
      </w:r>
      <w:proofErr w:type="gramEnd"/>
      <w:r w:rsidRPr="004A3C24">
        <w:rPr>
          <w:rFonts w:ascii="Times New Roman" w:hAnsi="Times New Roman" w:cs="Times New Roman"/>
          <w:iCs/>
          <w:sz w:val="24"/>
          <w:szCs w:val="24"/>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34462D">
        <w:rPr>
          <w:rFonts w:ascii="Times New Roman" w:hAnsi="Times New Roman" w:cs="Times New Roman"/>
          <w:bCs/>
          <w:color w:val="000000"/>
          <w:sz w:val="24"/>
          <w:szCs w:val="24"/>
        </w:rPr>
        <w:t>retune</w:t>
      </w:r>
      <w:proofErr w:type="gramEnd"/>
      <w:r w:rsidRPr="0034462D">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sz w:val="24"/>
        </w:rPr>
        <w:t>Figure 10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Figure 10" title="Figure 10" descr="Heatmap of architecture-wise audit effects and intrinsic Leader sentiment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b/>
          <w:sz w:val="24"/>
        </w:rPr>
        <w:t>Figure 10.</w:t>
      </w:r>
      <w:r>
        <w:rPr>
          <w:rFonts w:ascii="Times New Roman" w:hAnsi="Times New Roman"/>
          <w:sz w:val="24"/>
        </w:rPr>
        <w:t xml:space="preserve">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390DD41E" w14:textId="77777777" w:rsidR="004B02B2"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t>5. Discussion</w:t>
      </w:r>
    </w:p>
    <w:p w14:paraId="0A326580" w14:textId="4FE23FD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The paper therefore does not infer a universal hierarchy from isolated winning cells; it treats those cells as hypotheses that must survive matched budgets, falsification and temporal transfer.</w:t>
      </w:r>
    </w:p>
    <w:p w14:paraId="6E1D60ED" w14:textId="776441EF"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The positive LSTM-CNN VMD cell and CNN regime-SHAP cell should therefore be interpreted as architecture-specific interactions, not evidence that either enhancement is generally beneficial.</w:t>
      </w:r>
    </w:p>
    <w:p>
      <w:pPr>
        <w:keepLines/>
        <w:spacing w:line="360" w:lineRule="auto"/>
        <w:jc w:val="both"/>
        <w:rPr>
          <w:rFonts w:ascii="Times New Roman" w:hAnsi="Times New Roman" w:cs="Times New Roman"/>
          <w:color w:val="000000"/>
          <w:sz w:val="24"/>
          <w:szCs w:val="24"/>
        </w:rPr>
      </w:pPr>
      <w:r>
        <w:rPr>
          <w:rFonts w:ascii="Times New Roman" w:hAnsi="Times New Roman"/>
          <w:sz w:val="24"/>
        </w:rPr>
        <w:t>The prediction-level diagnostics further clarify why high visual agreement should not be equated with a useful direction classifier. Across 2022-2025, observed-predicted level correlations ranged from 0.927 to 0.983, yet balanced accuracy spanned only 51.49-53.64%. Because the next-day index level inherits substantial persistence from the current level, a model can track the level closely while placing the predicted change on the wrong side of zero; LSTM's low RMSE and modest balanced accuracy illustrate this distinction. Conversely, hybrid models improved sign classification in selected folds while sacrificing calibration and Down-class recall. This endpoint mismatch is consistent with the distinction between continuous-price forecasting and direction classification in financial deep learning (Fischer &amp; Krauss, 2018; Hoseinzadeh &amp; Haratizadeh, 2019; Sezer et al., 2020). The SHAP-LIME panel adds a second caution: a positive selector ablation for one architecture does not establish that its individual attributions are locally faithful or transportable.</w:t>
      </w:r>
    </w:p>
    <w:p w14:paraId="5BAA0922" w14:textId="74C0900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xml:space="preserve">. </w:t>
      </w:r>
      <w:r w:rsidR="0011168E">
        <w:rPr>
          <w:rFonts w:ascii="Times New Roman" w:hAnsi="Times New Roman" w:cs="Times New Roman"/>
          <w:color w:val="000000"/>
          <w:sz w:val="24"/>
          <w:szCs w:val="24"/>
        </w:rPr>
        <w:t>An authoritative Leader-derived downstream forecasting arm was not available on the locked common cohort.</w:t>
      </w:r>
      <w:r w:rsidRPr="004B02B2">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D7D2528" w14:textId="3E9A807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4B02B2">
        <w:rPr>
          <w:rFonts w:ascii="Times New Roman" w:hAnsi="Times New Roman" w:cs="Times New Roman"/>
          <w:color w:val="000000"/>
          <w:sz w:val="24"/>
          <w:szCs w:val="24"/>
        </w:rPr>
        <w:t>Balanced accuracy,</w:t>
      </w:r>
      <w:proofErr w:type="gramEnd"/>
      <w:r w:rsidRPr="004B02B2">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w:t>
      </w:r>
      <w:proofErr w:type="spellStart"/>
      <w:r w:rsidRPr="004B02B2">
        <w:rPr>
          <w:rFonts w:ascii="Times New Roman" w:hAnsi="Times New Roman" w:cs="Times New Roman"/>
          <w:color w:val="000000"/>
          <w:sz w:val="24"/>
          <w:szCs w:val="24"/>
        </w:rPr>
        <w:t>backtest</w:t>
      </w:r>
      <w:proofErr w:type="spellEnd"/>
      <w:r w:rsidRPr="004B02B2">
        <w:rPr>
          <w:rFonts w:ascii="Times New Roman" w:hAnsi="Times New Roman" w:cs="Times New Roman"/>
          <w:color w:val="000000"/>
          <w:sz w:val="24"/>
          <w:szCs w:val="24"/>
        </w:rPr>
        <w:t xml:space="preserve">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5C7901C7" w14:textId="517841B2" w:rsidR="00916F49"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lastRenderedPageBreak/>
        <w:t>6.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916F49">
        <w:rPr>
          <w:rFonts w:ascii="Times New Roman" w:hAnsi="Times New Roman" w:cs="Times New Roman"/>
          <w:sz w:val="24"/>
          <w:szCs w:val="24"/>
        </w:rPr>
        <w:t>model</w:t>
      </w:r>
      <w:proofErr w:type="gramEnd"/>
      <w:r w:rsidRPr="00916F49">
        <w:rPr>
          <w:rFonts w:ascii="Times New Roman" w:hAnsi="Times New Roman" w:cs="Times New Roman"/>
          <w:sz w:val="24"/>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8F5E" w14:textId="77777777" w:rsidR="00FB6C1A" w:rsidRDefault="00FB6C1A" w:rsidP="0021264C">
      <w:pPr>
        <w:spacing w:after="0" w:line="240" w:lineRule="auto"/>
      </w:pPr>
      <w:r>
        <w:separator/>
      </w:r>
    </w:p>
  </w:endnote>
  <w:endnote w:type="continuationSeparator" w:id="0">
    <w:p w14:paraId="0E952225" w14:textId="77777777" w:rsidR="00FB6C1A" w:rsidRDefault="00FB6C1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58B0" w14:textId="77777777" w:rsidR="00FB6C1A" w:rsidRDefault="00FB6C1A" w:rsidP="0021264C">
      <w:pPr>
        <w:spacing w:after="0" w:line="240" w:lineRule="auto"/>
      </w:pPr>
      <w:r>
        <w:separator/>
      </w:r>
    </w:p>
  </w:footnote>
  <w:footnote w:type="continuationSeparator" w:id="0">
    <w:p w14:paraId="3F16DAB9" w14:textId="77777777" w:rsidR="00FB6C1A" w:rsidRDefault="00FB6C1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545B"/>
    <w:rsid w:val="00207E38"/>
    <w:rsid w:val="0021264C"/>
    <w:rsid w:val="00215AA6"/>
    <w:rsid w:val="0021698D"/>
    <w:rsid w:val="00217891"/>
    <w:rsid w:val="002210B5"/>
    <w:rsid w:val="002214DA"/>
    <w:rsid w:val="00222348"/>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1794"/>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4095"/>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27F"/>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C7F13"/>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6C1A"/>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32</Pages>
  <Words>21215</Words>
  <Characters>120931</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2026-08-17T14:19:00Z</dcterms:created>
  <dcterms:modified xsi:type="dcterms:W3CDTF">2026-08-18T11:57:00Z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