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2C2406A3" w:rsidR="00536EFB" w:rsidRPr="003A2BC4" w:rsidRDefault="00077E87" w:rsidP="00B81BF2">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p>
    <w:p w14:paraId="01E58B98" w14:textId="7D1F6611" w:rsidR="00FC479C" w:rsidRPr="00466E3D" w:rsidRDefault="00710C26" w:rsidP="00B81BF2">
      <w:pPr>
        <w:keepNext/>
        <w:tabs>
          <w:tab w:val="center" w:pos="4680"/>
          <w:tab w:val="left" w:pos="7088"/>
        </w:tabs>
        <w:spacing w:line="360" w:lineRule="auto"/>
        <w:jc w:val="center"/>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Arsanchai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B81BF2">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B81BF2">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B81BF2">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B81BF2">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B81BF2">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346138F0"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77777777" w:rsidR="009960B6" w:rsidRPr="009960B6" w:rsidRDefault="009960B6" w:rsidP="009960B6">
      <w:pPr>
        <w:spacing w:line="360" w:lineRule="auto"/>
        <w:rPr>
          <w:cs/>
        </w:rPr>
      </w:pPr>
      <w:r w:rsidRPr="009960B6">
        <w:t>For each article-ticker pair, the scalar sentiment score and its session-level aggregation are defined in Eq. (</w:t>
      </w:r>
      <w:r w:rsidRPr="009960B6">
        <w:rPr>
          <w:rFonts w:cs="Angsana New"/>
          <w:cs/>
        </w:rPr>
        <w:t xml:space="preserve">1). </w:t>
      </w:r>
      <w:r w:rsidRPr="009960B6">
        <w:t>Here, N_t is the set of pairs assigned to session t, n_t is its size, and c denotes the positive, neutral, or negative class. Article count, ticker-mention count, and news availability follow directly from N_t.</w:t>
      </w:r>
    </w:p>
    <w:p w14:paraId="28D99ECE" w14:textId="11C2545B"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r>
                  <w:rPr>
                    <w:rFonts w:ascii="Cambria Math" w:hAnsi="Cambria Math" w:cs="Times New Roman"/>
                    <w:sz w:val="21"/>
                  </w:rPr>
                  <m:t xml:space="preserve"> </m:t>
                </m:r>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r>
                  <w:rPr>
                    <w:rFonts w:ascii="Cambria Math" w:hAnsi="Cambria Math" w:cs="Times New Roman"/>
                    <w:sz w:val="21"/>
                  </w:rPr>
                  <m:t xml:space="preserve"> </m:t>
                </m:r>
              </m:e>
            </m:nary>
          </m:den>
        </m:f>
      </m:oMath>
      <w:r w:rsidRPr="009960B6">
        <w:rPr>
          <w:rFonts w:ascii="Times New Roman" w:hAnsi="Times New Roman" w:cs="Times New Roman"/>
          <w:sz w:val="21"/>
        </w:rPr>
        <w:tab/>
        <w:t>(</w:t>
      </w:r>
      <w:r w:rsidRPr="009960B6">
        <w:rPr>
          <w:rFonts w:ascii="Times New Roman" w:hAnsi="Times New Roman" w:cs="Times New Roman"/>
          <w:sz w:val="21"/>
          <w:cs/>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StockTBSA</w:t>
      </w:r>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749555B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 feature date t, market variables use only information available through the close at t. </w:t>
      </w:r>
      <w:r w:rsidR="009960B6">
        <w:rPr>
          <w:rFonts w:ascii="Times New Roman" w:hAnsi="Times New Roman"/>
          <w:bCs/>
          <w:sz w:val="24"/>
          <w:szCs w:val="24"/>
        </w:rPr>
        <w:t>The point-in-time regression target and the realized and predicted directions are defined in Eq. (2).</w:t>
      </w:r>
      <w:r w:rsidRPr="00916F49">
        <w:rPr>
          <w:rFonts w:ascii="Times New Roman" w:hAnsi="Times New Roman"/>
          <w:bCs/>
          <w:sz w:val="24"/>
          <w:szCs w:val="24"/>
        </w:rPr>
        <w:t xml:space="preserve">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0BB58D29"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5 days for LSTM, 20 for CNN, 20 for LSTM-CNN, 10 for LSTM-Attention and 20 for LSTM-</w:t>
      </w:r>
      <w:r w:rsidRPr="00916F49">
        <w:rPr>
          <w:rFonts w:ascii="Times New Roman" w:hAnsi="Times New Roman"/>
          <w:bCs/>
          <w:sz w:val="24"/>
          <w:szCs w:val="24"/>
        </w:rPr>
        <w:lastRenderedPageBreak/>
        <w:t>CNN-Attention. Outer folds trained through 2021, 2022, 2023 and 2024 and tested 2022, 2023, 2024 and 2025 using seeds 42, 123, 456, 789 and 2025. All dates use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returns; moving averages; volatility, momentum, rate-of-change, candlestick, cross-timeframe and </w:t>
      </w:r>
      <w:r w:rsidRPr="00916F49">
        <w:rPr>
          <w:rFonts w:ascii="Times New Roman" w:hAnsi="Times New Roman"/>
          <w:bCs/>
          <w:sz w:val="24"/>
          <w:szCs w:val="24"/>
        </w:rPr>
        <w:lastRenderedPageBreak/>
        <w:t>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23757C77" w14:textId="77777777" w:rsidR="009960B6" w:rsidRPr="009960B6" w:rsidRDefault="009960B6" w:rsidP="009960B6">
      <w:pPr>
        <w:spacing w:line="360" w:lineRule="auto"/>
      </w:pPr>
      <w:r w:rsidRPr="009960B6">
        <w:t>Equations (3a)-(3c) formalize the trailing decomposition window, highest-frequency noise-mode rule, denoised close, and removed-mode energy ratio. The quantities u_(k,t) and omega_(k,t) denote mode k estimated at date t and its final centre frequency, respectively.</w:t>
      </w:r>
    </w:p>
    <w:p w14:paraId="26ADA9EC" w14:textId="61242C9E"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t>(3a)</w:t>
      </w:r>
    </w:p>
    <w:p w14:paraId="1A09A25F" w14:textId="2B25F844"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r>
              <w:rPr>
                <w:rFonts w:ascii="Cambria Math" w:hAnsi="Cambria Math" w:cs="Times New Roman"/>
                <w:sz w:val="21"/>
              </w:rPr>
              <m:t xml:space="preserve"> </m:t>
            </m:r>
          </m:e>
        </m:nary>
      </m:oMath>
      <w:r w:rsidRPr="009960B6">
        <w:rPr>
          <w:rFonts w:ascii="Times New Roman" w:hAnsi="Times New Roman" w:cs="Times New Roman"/>
          <w:sz w:val="21"/>
        </w:rPr>
        <w:tab/>
        <w:t>(3b)</w:t>
      </w:r>
    </w:p>
    <w:p w14:paraId="190C1A7C" w14:textId="27D349D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t>(3c)</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3.5 Neural architectures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49EE2873" w14:textId="77777777" w:rsidR="009960B6" w:rsidRPr="009960B6" w:rsidRDefault="009960B6" w:rsidP="009960B6">
      <w:pPr>
        <w:spacing w:line="360" w:lineRule="auto"/>
      </w:pPr>
      <w:r w:rsidRPr="009960B6">
        <w:t>All five architectures minimize the mean squared error objective in Eq. (4), where n is the number of supervised training sequences.</w:t>
      </w:r>
    </w:p>
    <w:p w14:paraId="4170E9C3" w14:textId="59B9DF4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r>
              <w:rPr>
                <w:rFonts w:ascii="Cambria Math" w:hAnsi="Cambria Math" w:cs="Times New Roman"/>
                <w:sz w:val="21"/>
              </w:rPr>
              <m:t xml:space="preserve"> </m:t>
            </m:r>
          </m:e>
        </m:nary>
      </m:oMath>
      <w:r w:rsidRPr="009960B6">
        <w:rPr>
          <w:rFonts w:ascii="Times New Roman" w:hAnsi="Times New Roman" w:cs="Times New Roman"/>
          <w:sz w:val="21"/>
        </w:rPr>
        <w:tab/>
        <w:t>(4)</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Keras session was cleared between fits and min-max scaling was fitted only on the supervised training </w:t>
      </w:r>
      <w:r w:rsidRPr="00916F49">
        <w:rPr>
          <w:rFonts w:ascii="Times New Roman" w:hAnsi="Times New Roman"/>
          <w:bCs/>
          <w:sz w:val="24"/>
          <w:szCs w:val="24"/>
        </w:rPr>
        <w:lastRenderedPageBreak/>
        <w:t>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6AB79C5F"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r w:rsidR="00B81BF2" w:rsidRPr="004A3C24">
        <w:rPr>
          <w:rFonts w:ascii="Times New Roman" w:hAnsi="Times New Roman" w:cs="Times New Roman"/>
          <w:bCs/>
          <w:sz w:val="24"/>
          <w:szCs w:val="24"/>
        </w:rPr>
        <w:t>architecture</w:t>
      </w:r>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w:t>
      </w:r>
      <w:r w:rsidRPr="00916F49">
        <w:rPr>
          <w:rFonts w:ascii="Times New Roman" w:hAnsi="Times New Roman"/>
          <w:bCs/>
          <w:sz w:val="24"/>
          <w:szCs w:val="24"/>
        </w:rPr>
        <w:lastRenderedPageBreak/>
        <w:t>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73D9461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r w:rsidR="004A3C24" w:rsidRPr="004A3C24">
        <w:rPr>
          <w:rFonts w:ascii="Times New Roman" w:hAnsi="Times New Roman" w:cs="Times New Roman"/>
          <w:bCs/>
          <w:sz w:val="24"/>
          <w:szCs w:val="24"/>
        </w:rPr>
        <w:t xml:space="preserve"> Figure 5 shows the paired forecasting routes, Bull/Bear/Leader process and associated falsification controls.</w:t>
      </w:r>
    </w:p>
    <w:p w14:paraId="115DC18F" w14:textId="0724D0D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7DBE195F" wp14:editId="227C1C69">
            <wp:extent cx="4351866" cy="3029607"/>
            <wp:effectExtent l="0" t="0" r="0" b="0"/>
            <wp:docPr id="180052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0081" cy="3035326"/>
                    </a:xfrm>
                    <a:prstGeom prst="rect">
                      <a:avLst/>
                    </a:prstGeom>
                    <a:noFill/>
                    <a:ln>
                      <a:noFill/>
                    </a:ln>
                  </pic:spPr>
                </pic:pic>
              </a:graphicData>
            </a:graphic>
          </wp:inline>
        </w:drawing>
      </w:r>
    </w:p>
    <w:p w14:paraId="1E48F48C"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5.</w:t>
      </w:r>
      <w:r w:rsidRPr="004A3C24">
        <w:rPr>
          <w:rFonts w:ascii="Times New Roman" w:hAnsi="Times New Roman" w:cs="Times New Roman"/>
          <w:bCs/>
          <w:sz w:val="24"/>
          <w:szCs w:val="24"/>
        </w:rPr>
        <w:t xml:space="preserve"> Multimodal forecasting and role-structured sentiment audit. The five registered models produce paired forecasts with and without point-in-time sentiment. Financial news is filtered for SET50 relevance before Bull and Bear workers provide arguments to a Leader. Forecasting falsification arms and compute-matched sentiment controls are retained as separate audit components.</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38C4AA0" w14:textId="77777777" w:rsidR="009960B6" w:rsidRPr="009960B6" w:rsidRDefault="009960B6" w:rsidP="009960B6">
      <w:pPr>
        <w:spacing w:line="360" w:lineRule="auto"/>
      </w:pPr>
      <w:r w:rsidRPr="009960B6">
        <w:t>Daily regimes are assigned without future information using the causal trend score in Eq. (5a). H contains the six return horizons in Eq. (5b); sigma_(t,v(h)) is trailing volatility, with v(h)=20 sessions for h up to 20 and 60 sessions for h=60. ADX_(14,t) scales trend strength and EWMA_3 smooths the composite score.</w:t>
      </w:r>
    </w:p>
    <w:p w14:paraId="13DC64FF" w14:textId="0C85606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t>(5a)</w:t>
      </w:r>
    </w:p>
    <w:p w14:paraId="01C5CB18" w14:textId="6CFDD669"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t>(5b)</w:t>
      </w:r>
    </w:p>
    <w:p w14:paraId="50CD31E5" w14:textId="437F329F" w:rsidR="009960B6" w:rsidRPr="009960B6" w:rsidRDefault="009960B6" w:rsidP="009960B6">
      <w:pPr>
        <w:spacing w:line="360" w:lineRule="auto"/>
      </w:pPr>
      <w:r w:rsidRPr="009960B6">
        <w:t>For outer fold f, the symmetric deadband lambda_f in Eq. (5c) is the 35th percentile of absolute training-fold scores only. Date t is Bull when z_t exceeds lambda_f, Bear when z_t is below -lambda_f, and Sideway otherwise. The state at t routes the prediction for t+1; targets and future columns are never used in regime construction.</w:t>
      </w:r>
    </w:p>
    <w:p w14:paraId="0D5E431A" w14:textId="4788E08A"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t>(5c)</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77777777" w:rsidR="009960B6" w:rsidRPr="009960B6" w:rsidRDefault="009960B6" w:rsidP="009960B6">
      <w:pPr>
        <w:spacing w:line="360" w:lineRule="auto"/>
      </w:pPr>
      <w:r w:rsidRPr="009960B6">
        <w:t>Within regime r, feature j is ranked by the mean absolute SHAP value in Eq. (6), computed only from the training ranking set T_r. The selected set S_r(k) contains the k highest-ranked features.</w:t>
      </w:r>
    </w:p>
    <w:p w14:paraId="40D5DD75" w14:textId="03E1D2D5"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r>
                  <w:rPr>
                    <w:rFonts w:ascii="Cambria Math" w:hAnsi="Cambria Math" w:cs="Times New Roman"/>
                  </w:rPr>
                  <m:t xml:space="preserve"> </m:t>
                </m:r>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t>(6)</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77777777" w:rsidR="009960B6" w:rsidRPr="009960B6" w:rsidRDefault="009960B6" w:rsidP="009960B6">
      <w:pPr>
        <w:spacing w:line="360" w:lineRule="auto"/>
      </w:pPr>
      <w:r w:rsidRPr="009960B6">
        <w:lastRenderedPageBreak/>
        <w:t>Balanced accuracy is defined in Eq. (7), giving equal weight to sensitivity and specificity.</w:t>
      </w:r>
    </w:p>
    <w:p w14:paraId="3F1DC001" w14:textId="3D2B97D9"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t>(7)</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77777777" w:rsidR="009960B6" w:rsidRPr="009960B6" w:rsidRDefault="009960B6" w:rsidP="009960B6">
      <w:pPr>
        <w:spacing w:line="360" w:lineRule="auto"/>
        <w:rPr>
          <w:cs/>
        </w:rPr>
      </w:pPr>
      <w:bookmarkStart w:id="0" w:name="_Hlk127275562"/>
      <w:r w:rsidRPr="009960B6">
        <w:t>For paired arms A and B, Eq. (</w:t>
      </w:r>
      <w:r w:rsidRPr="009960B6">
        <w:rPr>
          <w:rFonts w:cs="Angsana New"/>
          <w:cs/>
        </w:rPr>
        <w:t>8</w:t>
      </w:r>
      <w:r w:rsidRPr="009960B6">
        <w:t>a) first averages the five seed-level balanced-accuracy differences within each architecture m and outer year y, and then averages the four year effects. Equations (</w:t>
      </w:r>
      <w:r w:rsidRPr="009960B6">
        <w:rPr>
          <w:rFonts w:cs="Angsana New"/>
          <w:cs/>
        </w:rPr>
        <w:t>8</w:t>
      </w:r>
      <w:r w:rsidRPr="009960B6">
        <w:t>b)-(</w:t>
      </w:r>
      <w:r w:rsidRPr="009960B6">
        <w:rPr>
          <w:rFonts w:cs="Angsana New"/>
          <w:cs/>
        </w:rPr>
        <w:t>8</w:t>
      </w:r>
      <w:r w:rsidRPr="009960B6">
        <w:t xml:space="preserve">c) define the </w:t>
      </w:r>
      <w:r w:rsidRPr="009960B6">
        <w:rPr>
          <w:rFonts w:cs="Angsana New"/>
          <w:cs/>
        </w:rPr>
        <w:t xml:space="preserve">16 </w:t>
      </w:r>
      <w:r w:rsidRPr="009960B6">
        <w:t>sign-flipped test statistics and their exact two-sided probability.</w:t>
      </w:r>
    </w:p>
    <w:p w14:paraId="58B3E7B6" w14:textId="19B20BC4"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r>
              <w:rPr>
                <w:rFonts w:ascii="Cambria Math" w:hAnsi="Cambria Math" w:cs="Times New Roman"/>
                <w:sz w:val="19"/>
              </w:rPr>
              <m:t xml:space="preserve"> </m:t>
            </m:r>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t>(</w:t>
      </w:r>
      <w:r w:rsidRPr="009960B6">
        <w:rPr>
          <w:rFonts w:ascii="Times New Roman" w:hAnsi="Times New Roman" w:cs="Times New Roman" w:hint="eastAsia"/>
          <w:sz w:val="19"/>
          <w:cs/>
        </w:rPr>
        <w:t>8</w:t>
      </w:r>
      <w:r w:rsidRPr="009960B6">
        <w:rPr>
          <w:rFonts w:ascii="Times New Roman" w:hAnsi="Times New Roman" w:cs="Times New Roman" w:hint="eastAsia"/>
          <w:sz w:val="19"/>
        </w:rPr>
        <w:t>a)</w:t>
      </w:r>
    </w:p>
    <w:p w14:paraId="50089B7E" w14:textId="743BCB33"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t>(8</w:t>
      </w:r>
      <w:r w:rsidRPr="009960B6">
        <w:rPr>
          <w:rFonts w:ascii="Times New Roman" w:hAnsi="Times New Roman" w:cs="Times New Roman" w:hint="eastAsia"/>
          <w:sz w:val="19"/>
        </w:rPr>
        <w:t>b)</w:t>
      </w:r>
    </w:p>
    <w:p w14:paraId="7C554421" w14:textId="25C0CAF6"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t>(</w:t>
      </w:r>
      <w:r w:rsidRPr="009960B6">
        <w:rPr>
          <w:rFonts w:ascii="Times New Roman" w:hAnsi="Times New Roman" w:cs="Times New Roman" w:hint="eastAsia"/>
          <w:sz w:val="19"/>
          <w:cs/>
        </w:rPr>
        <w:t>8</w:t>
      </w:r>
      <w:r w:rsidRPr="009960B6">
        <w:rPr>
          <w:rFonts w:ascii="Times New Roman" w:hAnsi="Times New Roman" w:cs="Times New Roman" w:hint="eastAsia"/>
          <w:sz w:val="19"/>
        </w:rPr>
        <w:t>c)</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5F2F21D9" w:rsidR="00F06F20" w:rsidRPr="00F06F20" w:rsidRDefault="00D0143A" w:rsidP="009960B6">
      <w:pPr>
        <w:keepNext/>
        <w:keepLines/>
        <w:spacing w:before="240" w:line="360" w:lineRule="auto"/>
        <w:rPr>
          <w:rFonts w:ascii="Times New Roman" w:hAnsi="Times New Roman" w:cs="Times New Roman"/>
          <w:b/>
          <w:bCs/>
          <w:sz w:val="24"/>
          <w:szCs w:val="24"/>
        </w:rPr>
      </w:pPr>
      <w:r w:rsidRPr="00D0143A">
        <w:rPr>
          <w:rFonts w:ascii="Times New Roman" w:eastAsia="Times New Roman" w:hAnsi="Times New Roman" w:cs="Times New Roman"/>
          <w:b/>
          <w:sz w:val="24"/>
          <w:szCs w:val="24"/>
        </w:rPr>
        <w:t>4. Results and Discussion</w:t>
      </w:r>
    </w:p>
    <w:p w14:paraId="071F7BC5" w14:textId="77777777"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Full-TA BAcc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+VMD BAcc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Delta BAcc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lastRenderedPageBreak/>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3426C0F9" w:rsidR="0038564F" w:rsidRDefault="0038564F" w:rsidP="009960B6">
      <w:pPr>
        <w:keepNext/>
        <w:keepLines/>
        <w:spacing w:before="180" w:after="80" w:line="360" w:lineRule="auto"/>
        <w:rPr>
          <w:rFonts w:ascii="Times New Roman" w:hAnsi="Times New Roman" w:hint="cs"/>
          <w:b/>
          <w:bCs/>
          <w:sz w:val="24"/>
          <w:szCs w:val="24"/>
          <w:cs/>
        </w:rPr>
      </w:pPr>
      <w:r w:rsidRPr="00D0143A">
        <w:rPr>
          <w:rFonts w:ascii="Times New Roman" w:hAnsi="Times New Roman"/>
          <w:b/>
          <w:bCs/>
          <w:sz w:val="24"/>
          <w:szCs w:val="24"/>
        </w:rPr>
        <w:t>4.</w:t>
      </w:r>
      <w:r w:rsidR="004377D0" w:rsidRPr="00D0143A">
        <w:rPr>
          <w:rFonts w:ascii="Times New Roman" w:hAnsi="Times New Roman"/>
          <w:b/>
          <w:bCs/>
          <w:sz w:val="24"/>
          <w:szCs w:val="24"/>
        </w:rPr>
        <w:t>3</w:t>
      </w:r>
      <w:r w:rsidRPr="00D0143A">
        <w:rPr>
          <w:rFonts w:ascii="Times New Roman" w:hAnsi="Times New Roman"/>
          <w:b/>
          <w:bCs/>
          <w:sz w:val="24"/>
          <w:szCs w:val="24"/>
        </w:rPr>
        <w:t xml:space="preserve"> </w:t>
      </w:r>
      <w:r w:rsidR="002558B1" w:rsidRPr="002558B1">
        <w:rPr>
          <w:rFonts w:ascii="Times New Roman" w:hAnsi="Times New Roman" w:cs="Times New Roman"/>
          <w:b/>
          <w:bCs/>
          <w:sz w:val="24"/>
          <w:szCs w:val="24"/>
        </w:rPr>
        <w:t>The LLM role system improved intrinsic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article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7F4EE898" w:rsidR="00B72DF8" w:rsidRDefault="008B5EB3" w:rsidP="009960B6">
      <w:pPr>
        <w:spacing w:before="6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6EE97B4E" w14:textId="77777777" w:rsidR="004A3C24" w:rsidRPr="004A3C24" w:rsidRDefault="004A3C24" w:rsidP="009960B6">
      <w:pPr>
        <w:keepNext/>
        <w:keepLines/>
        <w:spacing w:before="180" w:after="80" w:line="240" w:lineRule="auto"/>
        <w:rPr>
          <w:rFonts w:ascii="Times New Roman" w:hAnsi="Times New Roman" w:cs="Times New Roman"/>
          <w:sz w:val="24"/>
          <w:szCs w:val="24"/>
        </w:rPr>
      </w:pPr>
      <w:r w:rsidRPr="004A3C24">
        <w:rPr>
          <w:rFonts w:ascii="Times New Roman" w:hAnsi="Times New Roman" w:cs="Times New Roman"/>
          <w:b/>
          <w:sz w:val="24"/>
          <w:szCs w:val="24"/>
        </w:rPr>
        <w:lastRenderedPageBreak/>
        <w:t>Table 3C.</w:t>
      </w:r>
      <w:r w:rsidRPr="004A3C24">
        <w:rPr>
          <w:rFonts w:ascii="Times New Roman" w:hAnsi="Times New Roman" w:cs="Times New Roman"/>
          <w:sz w:val="24"/>
          <w:szCs w:val="24"/>
        </w:rPr>
        <w:t xml:space="preserve"> Common-cohort downstream SET50 forecasting comparison of Market-Only, Local-NLP and Leader-derived sentiment arms. The final table must use identical overlapping dates, architectures, frozen windows, seeds, training budgets and targets and report coverage, failures, runtime, token cost and paired uncertainty.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5"/>
        <w:gridCol w:w="1685"/>
        <w:gridCol w:w="1685"/>
        <w:gridCol w:w="4025"/>
      </w:tblGrid>
      <w:tr w:rsidR="000959B0" w14:paraId="7053363B" w14:textId="77777777" w:rsidTr="000959B0">
        <w:trPr>
          <w:cantSplit/>
          <w:tblHeader/>
        </w:trPr>
        <w:tc>
          <w:tcPr>
            <w:tcW w:w="1966" w:type="dxa"/>
            <w:shd w:val="clear" w:color="auto" w:fill="E6E6E6"/>
            <w:vAlign w:val="center"/>
          </w:tcPr>
          <w:p w14:paraId="38458C14" w14:textId="061078A5"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Arm</w:t>
            </w:r>
          </w:p>
        </w:tc>
        <w:tc>
          <w:tcPr>
            <w:tcW w:w="1685" w:type="dxa"/>
            <w:shd w:val="clear" w:color="auto" w:fill="E6E6E6"/>
            <w:vAlign w:val="center"/>
          </w:tcPr>
          <w:p w14:paraId="5F1BB28E" w14:textId="40F10558"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Common-cohort result</w:t>
            </w:r>
          </w:p>
        </w:tc>
        <w:tc>
          <w:tcPr>
            <w:tcW w:w="1685" w:type="dxa"/>
            <w:shd w:val="clear" w:color="auto" w:fill="E6E6E6"/>
            <w:vAlign w:val="center"/>
          </w:tcPr>
          <w:p w14:paraId="449DE2E1" w14:textId="7966CBAB"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Paired inference</w:t>
            </w:r>
          </w:p>
        </w:tc>
        <w:tc>
          <w:tcPr>
            <w:tcW w:w="4025" w:type="dxa"/>
            <w:shd w:val="clear" w:color="auto" w:fill="E6E6E6"/>
            <w:vAlign w:val="center"/>
          </w:tcPr>
          <w:p w14:paraId="78159DCA" w14:textId="77A062FE"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Evidence status</w:t>
            </w:r>
          </w:p>
        </w:tc>
      </w:tr>
      <w:tr w:rsidR="000959B0" w14:paraId="2EE0EC39" w14:textId="77777777" w:rsidTr="000959B0">
        <w:trPr>
          <w:cantSplit/>
        </w:trPr>
        <w:tc>
          <w:tcPr>
            <w:tcW w:w="1966" w:type="dxa"/>
            <w:vAlign w:val="center"/>
          </w:tcPr>
          <w:p w14:paraId="43546C58" w14:textId="5F029E7C"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Market-Only</w:t>
            </w:r>
          </w:p>
        </w:tc>
        <w:tc>
          <w:tcPr>
            <w:tcW w:w="1685" w:type="dxa"/>
            <w:vAlign w:val="center"/>
          </w:tcPr>
          <w:p w14:paraId="18CD5000" w14:textId="0286F0C3"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reported</w:t>
            </w:r>
          </w:p>
        </w:tc>
        <w:tc>
          <w:tcPr>
            <w:tcW w:w="1685" w:type="dxa"/>
            <w:vAlign w:val="center"/>
          </w:tcPr>
          <w:p w14:paraId="1782D649" w14:textId="0DCF2A08"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available</w:t>
            </w:r>
          </w:p>
        </w:tc>
        <w:tc>
          <w:tcPr>
            <w:tcW w:w="4025" w:type="dxa"/>
            <w:vAlign w:val="center"/>
          </w:tcPr>
          <w:p w14:paraId="11637089" w14:textId="5F8C296F"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Authoritative common-cohort artifact pending</w:t>
            </w:r>
          </w:p>
        </w:tc>
      </w:tr>
      <w:tr w:rsidR="000959B0" w14:paraId="015B681E" w14:textId="77777777" w:rsidTr="000959B0">
        <w:trPr>
          <w:cantSplit/>
        </w:trPr>
        <w:tc>
          <w:tcPr>
            <w:tcW w:w="1966" w:type="dxa"/>
            <w:vAlign w:val="center"/>
          </w:tcPr>
          <w:p w14:paraId="05D2FFE2" w14:textId="1F1E5E78"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Local-NLP sentiment</w:t>
            </w:r>
          </w:p>
        </w:tc>
        <w:tc>
          <w:tcPr>
            <w:tcW w:w="1685" w:type="dxa"/>
            <w:vAlign w:val="center"/>
          </w:tcPr>
          <w:p w14:paraId="0AAF24EC" w14:textId="6B1ADE95"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reported</w:t>
            </w:r>
          </w:p>
        </w:tc>
        <w:tc>
          <w:tcPr>
            <w:tcW w:w="1685" w:type="dxa"/>
            <w:vAlign w:val="center"/>
          </w:tcPr>
          <w:p w14:paraId="7C281E77" w14:textId="00D9F4CA"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available</w:t>
            </w:r>
          </w:p>
        </w:tc>
        <w:tc>
          <w:tcPr>
            <w:tcW w:w="4025" w:type="dxa"/>
            <w:vAlign w:val="center"/>
          </w:tcPr>
          <w:p w14:paraId="2A25A5EE" w14:textId="4490AA32"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Authoritative common-cohort artifact pending</w:t>
            </w:r>
          </w:p>
        </w:tc>
      </w:tr>
      <w:tr w:rsidR="000959B0" w14:paraId="696C9802" w14:textId="77777777" w:rsidTr="000959B0">
        <w:trPr>
          <w:cantSplit/>
        </w:trPr>
        <w:tc>
          <w:tcPr>
            <w:tcW w:w="1966" w:type="dxa"/>
            <w:vAlign w:val="center"/>
          </w:tcPr>
          <w:p w14:paraId="2AB5F368" w14:textId="7CDE1E92"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Leader-derived sentiment</w:t>
            </w:r>
          </w:p>
        </w:tc>
        <w:tc>
          <w:tcPr>
            <w:tcW w:w="1685" w:type="dxa"/>
            <w:vAlign w:val="center"/>
          </w:tcPr>
          <w:p w14:paraId="2147B294" w14:textId="7047CD9C"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reported</w:t>
            </w:r>
          </w:p>
        </w:tc>
        <w:tc>
          <w:tcPr>
            <w:tcW w:w="1685" w:type="dxa"/>
            <w:vAlign w:val="center"/>
          </w:tcPr>
          <w:p w14:paraId="569A95EB" w14:textId="0DA7BC35"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available</w:t>
            </w:r>
          </w:p>
        </w:tc>
        <w:tc>
          <w:tcPr>
            <w:tcW w:w="4025" w:type="dxa"/>
            <w:vAlign w:val="center"/>
          </w:tcPr>
          <w:p w14:paraId="037638C5" w14:textId="76EBEB55"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Authoritative common-cohort artifact pending</w:t>
            </w:r>
          </w:p>
        </w:tc>
      </w:tr>
    </w:tbl>
    <w:p w14:paraId="413757C6" w14:textId="52284B9C" w:rsidR="000031F2" w:rsidRDefault="00743CA6"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Delta BAcc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BAcc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lastRenderedPageBreak/>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retuning.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SET50 BAcc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SET100 BAcc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68444A3" w14:textId="77777777" w:rsidR="004A3C24" w:rsidRPr="00F768ED" w:rsidRDefault="004A3C24" w:rsidP="009960B6">
      <w:pPr>
        <w:spacing w:line="360" w:lineRule="auto"/>
        <w:jc w:val="both"/>
        <w:rPr>
          <w:rFonts w:ascii="Times New Roman" w:hAnsi="Times New Roman"/>
          <w:bCs/>
          <w:sz w:val="24"/>
          <w:szCs w:val="24"/>
          <w:cs/>
        </w:rPr>
      </w:pPr>
      <w:r w:rsidRPr="004A3C24">
        <w:rPr>
          <w:rFonts w:ascii="Times New Roman" w:hAnsi="Times New Roman" w:cs="Times New Roman"/>
          <w:bCs/>
          <w:sz w:val="24"/>
          <w:szCs w:val="24"/>
        </w:rPr>
        <w:t>Figure 7 compares architecture-wise effects and uncertainty across the completed audit pillars.</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A8E54DF" w:rsidR="003A1CB3" w:rsidRPr="004A3C24" w:rsidRDefault="00F768ED" w:rsidP="009960B6">
      <w:pPr>
        <w:keepNext/>
        <w:spacing w:before="120" w:after="60" w:line="240" w:lineRule="auto"/>
        <w:jc w:val="center"/>
        <w:rPr>
          <w:rFonts w:ascii="Times New Roman" w:hAnsi="Times New Roman" w:cs="Times New Roman"/>
          <w:b/>
          <w:bCs/>
          <w:sz w:val="24"/>
          <w:szCs w:val="24"/>
        </w:rPr>
      </w:pPr>
      <w:r w:rsidRPr="00F768ED">
        <w:rPr>
          <w:rFonts w:ascii="Times New Roman" w:hAnsi="Times New Roman" w:cs="Times New Roman"/>
          <w:b/>
          <w:bCs/>
          <w:noProof/>
          <w:sz w:val="24"/>
          <w:szCs w:val="24"/>
        </w:rPr>
        <w:drawing>
          <wp:inline distT="0" distB="0" distL="0" distR="0" wp14:anchorId="12DBF5F9" wp14:editId="76C6C981">
            <wp:extent cx="5943600" cy="5859145"/>
            <wp:effectExtent l="0" t="0" r="0" b="8255"/>
            <wp:docPr id="1907182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p>
    <w:p w14:paraId="1E5EC56B" w14:textId="33BAB3B2" w:rsidR="0085069D"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7.</w:t>
      </w:r>
      <w:r w:rsidRPr="004A3C24">
        <w:rPr>
          <w:rFonts w:ascii="Times New Roman" w:hAnsi="Times New Roman" w:cs="Times New Roman"/>
          <w:bCs/>
          <w:sz w:val="24"/>
          <w:szCs w:val="24"/>
        </w:rPr>
        <w:t xml:space="preserve"> Architecture-wise effects and uncertainty across audit pillars.</w:t>
      </w:r>
      <w:r w:rsidR="0085069D" w:rsidRPr="004A3C24">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sidR="0085069D" w:rsidRPr="004A3C24">
        <w:rPr>
          <w:rFonts w:ascii="Times New Roman" w:hAnsi="Times New Roman" w:cs="Times New Roman"/>
          <w:bCs/>
          <w:sz w:val="24"/>
          <w:szCs w:val="24"/>
        </w:rPr>
        <w:t>.</w:t>
      </w:r>
    </w:p>
    <w:p w14:paraId="5C7901C7" w14:textId="65A7D4DD" w:rsidR="00916F49" w:rsidRPr="00916F49" w:rsidRDefault="00D0143A"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5.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w:t>
      </w:r>
      <w:r w:rsidRPr="00916F49">
        <w:rPr>
          <w:rFonts w:ascii="Times New Roman" w:hAnsi="Times New Roman" w:cs="Times New Roman"/>
          <w:sz w:val="24"/>
          <w:szCs w:val="24"/>
        </w:rPr>
        <w:lastRenderedPageBreak/>
        <w:t>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lastRenderedPageBreak/>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w:t>
      </w:r>
      <w:r w:rsidRPr="0024759C">
        <w:rPr>
          <w:rFonts w:ascii="Times New Roman" w:hAnsi="Times New Roman" w:cs="Times New Roman"/>
          <w:sz w:val="24"/>
          <w:szCs w:val="24"/>
        </w:rPr>
        <w:lastRenderedPageBreak/>
        <w:t xml:space="preserve">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9D77" w14:textId="77777777" w:rsidR="00CA589A" w:rsidRDefault="00CA589A" w:rsidP="0021264C">
      <w:pPr>
        <w:spacing w:after="0" w:line="240" w:lineRule="auto"/>
      </w:pPr>
      <w:r>
        <w:separator/>
      </w:r>
    </w:p>
  </w:endnote>
  <w:endnote w:type="continuationSeparator" w:id="0">
    <w:p w14:paraId="7EF4D697" w14:textId="77777777" w:rsidR="00CA589A" w:rsidRDefault="00CA589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EA3B" w14:textId="77777777" w:rsidR="00CA589A" w:rsidRDefault="00CA589A" w:rsidP="0021264C">
      <w:pPr>
        <w:spacing w:after="0" w:line="240" w:lineRule="auto"/>
      </w:pPr>
      <w:r>
        <w:separator/>
      </w:r>
    </w:p>
  </w:footnote>
  <w:footnote w:type="continuationSeparator" w:id="0">
    <w:p w14:paraId="406BCC54" w14:textId="77777777" w:rsidR="00CA589A" w:rsidRDefault="00CA589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8B1"/>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1BF2"/>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1753"/>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A589A"/>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3.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90B188-583A-402E-81A7-A37EEA10C8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29</Pages>
  <Words>14507</Words>
  <Characters>82692</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2026-08-14T05:45:00Z</dcterms:created>
  <dcterms:modified xsi:type="dcterms:W3CDTF">2026-08-14T06:36:00Z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