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eyeedj96onhf" w:id="0"/>
      <w:bookmarkEnd w:id="0"/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C:\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the root directory of all Windows machines and has been determined so since it is inception in the MS-DOS and Windows 3.0 days. The "C:\" designation was used commonly as typically "A:\" and "B:\" were recognized as floppy drives, whereas "C:\" was recognized as the first internal hard drive of the machine.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Some important dir from an attacker’s perspective :-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6362700" cy="359540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9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Xcopy and robocopy:-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performing the duplication, </w:t>
      </w:r>
      <w:r w:rsidDel="00000000" w:rsidR="00000000" w:rsidRPr="00000000">
        <w:rPr>
          <w:b w:val="1"/>
          <w:sz w:val="24"/>
          <w:szCs w:val="24"/>
          <w:rtl w:val="0"/>
        </w:rPr>
        <w:t xml:space="preserve">xcopy </w:t>
      </w:r>
      <w:r w:rsidDel="00000000" w:rsidR="00000000" w:rsidRPr="00000000">
        <w:rPr>
          <w:sz w:val="24"/>
          <w:szCs w:val="24"/>
          <w:rtl w:val="0"/>
        </w:rPr>
        <w:t xml:space="preserve">will reset any attributes the file had. If you wish to retain the file's attributes ( such as read-only or hidden ), you can use the </w:t>
      </w:r>
      <w:r w:rsidDel="00000000" w:rsidR="00000000" w:rsidRPr="00000000">
        <w:rPr>
          <w:sz w:val="20"/>
          <w:szCs w:val="20"/>
          <w:rtl w:val="0"/>
        </w:rPr>
        <w:t xml:space="preserve">/K</w:t>
      </w:r>
      <w:r w:rsidDel="00000000" w:rsidR="00000000" w:rsidRPr="00000000">
        <w:rPr>
          <w:sz w:val="24"/>
          <w:szCs w:val="24"/>
          <w:rtl w:val="0"/>
        </w:rPr>
        <w:t xml:space="preserve"> switch.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Robocopy is made for moving large directories and drive syncing.</w:t>
        <w:br w:type="textWrapping"/>
        <w:t xml:space="preserve">Moving files can be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problematic if we do not have the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SeBackupPrivilege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auditing privilege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attributes.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 can utilize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/MIR</w:t>
      </w:r>
      <w:r w:rsidDel="00000000" w:rsidR="00000000" w:rsidRPr="00000000">
        <w:rPr>
          <w:sz w:val="24"/>
          <w:szCs w:val="24"/>
          <w:rtl w:val="0"/>
        </w:rPr>
        <w:t xml:space="preserve"> switch to permit ourselves to copy the files we need temporarily.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 aware that it will mark the files as a system backup and hide them from view. We can clear the additional attributes if we add the </w:t>
      </w:r>
      <w:r w:rsidDel="00000000" w:rsidR="00000000" w:rsidRPr="00000000">
        <w:rPr>
          <w:b w:val="1"/>
          <w:highlight w:val="white"/>
          <w:rtl w:val="0"/>
        </w:rPr>
        <w:t xml:space="preserve">/A-:SH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switch to our command. Be careful of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/MIR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switch, as it will mirror the destination directory to the source. Any file that exists within the destination will be removed. Ensure you place the new copy in a cleared folder. Above, we also used the </w:t>
      </w:r>
      <w:r w:rsidDel="00000000" w:rsidR="00000000" w:rsidRPr="00000000">
        <w:rPr>
          <w:b w:val="1"/>
          <w:highlight w:val="white"/>
          <w:rtl w:val="0"/>
        </w:rPr>
        <w:t xml:space="preserve">/L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switch. This is a what-if command. It will process the command you issue but not execute it; it just shows you the potential result.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Working in dir :-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this way will create the file if it does not exist, or it will overwrite the specified file's contents. To append to an already populated file, we can utilize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use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like this to search for keywords or strings in large text files, sort for unique items, and much more. Another route we can take is to feed the output from a command directly into another command with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called pipe.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Ifwe wish to have two commands executed in succession. We can issue the command and follow it with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then our next command. We can utilize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say run command A, and if it succeeds, run command 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also accomplish the opposite of this with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By using (pipe pipe), we are saying run command A. If it fails, run command B.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Host Enumeration:-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Chart of useful information in a windows system.</w:t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867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whoami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the current user is not a domain-joined account,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NetBIOS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name will be provided instead. The current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hostname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 used in most cases.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cmd /c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run CMD commands in powershell and close CMD after running the it 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cmd /k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keep CMD open afterwards.</w:t>
        <w:br w:type="textWrapping"/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/r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search directories, it might take time for longer directories but worth it!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Environment variable scopes:-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Some important environment variables:-</w:t>
        <w:br w:type="textWrapping"/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6516686" cy="317508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6686" cy="3175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https://ss64.com/nt/syntax-variables.html</w:t>
        </w:r>
      </w:hyperlink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more windows environment variables.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Service Controller:-</w:t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 query type= 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276" w:lineRule="auto"/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 active services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spacing for the optional query parameters is crucial. For example,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type= 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type=service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type =service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completely different ways of spacing this parameter. However, only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type= 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correct in this case.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Wuauserv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-&gt; windows update service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-&gt; background intelligence transfer service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SCHTASK:-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see tasks that already exist on the host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create a new task </w:t>
        <w:br w:type="textWrapping"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change the properties of the task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s64.com/nt/syntax-variables.html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