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7933CB" w:rsidRDefault="007933CB"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7933CB" w:rsidRDefault="007933CB"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7933CB">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533C6D">
            <w:rPr>
              <w:noProof/>
            </w:rPr>
            <w:t>2-Jun-15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7933CB">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7933CB">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7933CB">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7933CB">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7933CB">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7933CB">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7933CB">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7933CB">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7933CB">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7933CB">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7933CB">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7933CB">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7933CB">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7933C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7933CB"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Office 365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7F53D6" w:rsidRPr="004045F6" w14:paraId="0DDD69DE" w14:textId="77777777" w:rsidTr="000B2751">
        <w:tc>
          <w:tcPr>
            <w:tcW w:w="0" w:type="auto"/>
          </w:tcPr>
          <w:p w14:paraId="32F2F0D0" w14:textId="55E19C25" w:rsidR="00F34FE3" w:rsidRPr="005A14F7" w:rsidRDefault="00A03614" w:rsidP="002A02AB">
            <w:pPr>
              <w:rPr>
                <w:b/>
              </w:rPr>
            </w:pPr>
            <w:proofErr w:type="spellStart"/>
            <w:r>
              <w:rPr>
                <w:b/>
              </w:rPr>
              <w:t>Contoso.SharePoint.</w:t>
            </w:r>
            <w:r w:rsidR="002A02AB">
              <w:rPr>
                <w:b/>
              </w:rPr>
              <w:t>SafetyNews</w:t>
            </w:r>
            <w:r>
              <w:rPr>
                <w:b/>
              </w:rPr>
              <w:t>.wsp</w:t>
            </w:r>
            <w:proofErr w:type="spellEnd"/>
          </w:p>
        </w:tc>
        <w:tc>
          <w:tcPr>
            <w:tcW w:w="5531" w:type="dxa"/>
          </w:tcPr>
          <w:p w14:paraId="6CB599E2" w14:textId="1021D12A" w:rsidR="00A03614" w:rsidRPr="004045F6" w:rsidRDefault="002A02AB" w:rsidP="003471A2">
            <w:pPr>
              <w:pStyle w:val="ListParagraph"/>
              <w:numPr>
                <w:ilvl w:val="0"/>
                <w:numId w:val="19"/>
              </w:numPr>
              <w:ind w:left="415"/>
            </w:pPr>
            <w:r>
              <w:t xml:space="preserve">Displays safety news articles from all sites and </w:t>
            </w:r>
            <w:proofErr w:type="spellStart"/>
            <w:r>
              <w:t>subsites</w:t>
            </w:r>
            <w:proofErr w:type="spellEnd"/>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77777777" w:rsidR="002A02AB" w:rsidRPr="00A03614" w:rsidRDefault="002A02AB" w:rsidP="002A02AB">
            <w:pPr>
              <w:pStyle w:val="ListParagraph"/>
              <w:numPr>
                <w:ilvl w:val="0"/>
                <w:numId w:val="19"/>
              </w:numPr>
              <w:ind w:left="415"/>
            </w:pPr>
            <w:r>
              <w:t>Adds custom navigation to the master page</w:t>
            </w:r>
          </w:p>
          <w:p w14:paraId="54C06369" w14:textId="77777777" w:rsidR="002A02AB" w:rsidRPr="00A03614"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D87B34"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2BB1BB04" w14:textId="35E78193"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1E4917CC" w:rsidR="002A02AB" w:rsidRPr="00B87F17" w:rsidRDefault="002A02AB" w:rsidP="002A02AB">
            <w:pPr>
              <w:pStyle w:val="ListParagraph"/>
              <w:numPr>
                <w:ilvl w:val="0"/>
                <w:numId w:val="19"/>
              </w:numPr>
              <w:ind w:left="415"/>
              <w:rPr>
                <w:b/>
              </w:rPr>
            </w:pPr>
            <w:r>
              <w:t>H</w:t>
            </w:r>
            <w:r w:rsidRPr="00D87B34">
              <w:t>ide</w:t>
            </w:r>
            <w:r>
              <w:t>s</w:t>
            </w:r>
            <w:r w:rsidRPr="00D87B34">
              <w:t xml:space="preserve"> Sites </w:t>
            </w:r>
            <w:r>
              <w:t xml:space="preserve">and </w:t>
            </w:r>
            <w:r w:rsidRPr="00D87B34">
              <w:t>Workspaces,</w:t>
            </w:r>
            <w:r>
              <w:t xml:space="preserve"> </w:t>
            </w:r>
          </w:p>
          <w:p w14:paraId="3D818ED7" w14:textId="77777777" w:rsidR="002A02AB" w:rsidRPr="00B87F17" w:rsidRDefault="002A02AB" w:rsidP="002A02AB">
            <w:pPr>
              <w:pStyle w:val="ListParagraph"/>
              <w:numPr>
                <w:ilvl w:val="0"/>
                <w:numId w:val="19"/>
              </w:numPr>
              <w:ind w:left="415"/>
              <w:rPr>
                <w:b/>
              </w:rPr>
            </w:pPr>
            <w:r>
              <w:t>H</w:t>
            </w:r>
            <w:r w:rsidRPr="00D87B34">
              <w:t>ide</w:t>
            </w:r>
            <w:r>
              <w:t>s</w:t>
            </w:r>
            <w:r w:rsidRPr="00D87B34">
              <w:t xml:space="preserve"> Manage Site Features,</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Default="002A02AB" w:rsidP="002A02AB">
            <w:pPr>
              <w:pStyle w:val="ListParagraph"/>
              <w:numPr>
                <w:ilvl w:val="0"/>
                <w:numId w:val="19"/>
              </w:numPr>
              <w:ind w:left="415"/>
            </w:pPr>
            <w:proofErr w:type="spellStart"/>
            <w:r>
              <w:t>TimerJob</w:t>
            </w:r>
            <w:proofErr w:type="spellEnd"/>
            <w:r w:rsidRPr="00471CCF">
              <w:t xml:space="preserve"> - Send</w:t>
            </w:r>
            <w:r>
              <w:t>s</w:t>
            </w:r>
            <w:r w:rsidRPr="00471CCF">
              <w:t xml:space="preserve"> Reminders to document owners</w:t>
            </w:r>
          </w:p>
          <w:p w14:paraId="12645FE1" w14:textId="08E30325" w:rsidR="002A02AB" w:rsidRDefault="002A02AB" w:rsidP="002A02AB">
            <w:pPr>
              <w:pStyle w:val="ListParagraph"/>
              <w:numPr>
                <w:ilvl w:val="0"/>
                <w:numId w:val="19"/>
              </w:numPr>
              <w:ind w:left="415"/>
            </w:pPr>
            <w:proofErr w:type="spellStart"/>
            <w:r>
              <w:t>ListInstance</w:t>
            </w:r>
            <w:proofErr w:type="spellEnd"/>
            <w:r>
              <w:t xml:space="preserve"> - </w:t>
            </w:r>
            <w:r w:rsidRPr="00471CCF">
              <w:t>create</w:t>
            </w:r>
            <w:r>
              <w:t>s</w:t>
            </w:r>
            <w:r w:rsidRPr="00471CCF">
              <w:t xml:space="preserve"> list instances for Document Retention List Templates</w:t>
            </w:r>
            <w:r>
              <w:t xml:space="preserve"> - </w:t>
            </w:r>
            <w:r w:rsidRPr="00471CCF">
              <w:t>Create</w:t>
            </w:r>
            <w:r>
              <w:t>s</w:t>
            </w:r>
            <w:r w:rsidRPr="00471CCF">
              <w:t xml:space="preserve"> List Definitions</w:t>
            </w:r>
            <w:r>
              <w:t xml:space="preserve">, </w:t>
            </w:r>
            <w:r w:rsidRPr="00471CCF">
              <w:t>Site Columns and Content Types for Document Retention</w:t>
            </w:r>
          </w:p>
          <w:p w14:paraId="4BE4F8B8" w14:textId="07FC6A4D" w:rsidR="002A02AB" w:rsidRDefault="002A02AB" w:rsidP="002A02AB">
            <w:pPr>
              <w:pStyle w:val="ListParagraph"/>
              <w:numPr>
                <w:ilvl w:val="0"/>
                <w:numId w:val="19"/>
              </w:numPr>
              <w:ind w:left="415"/>
            </w:pPr>
            <w:proofErr w:type="spellStart"/>
            <w:r>
              <w:t>ListTemplate</w:t>
            </w:r>
            <w:proofErr w:type="spellEnd"/>
            <w:r>
              <w:t xml:space="preserve"> - </w:t>
            </w:r>
            <w:r w:rsidRPr="00471CCF">
              <w:t>Create</w:t>
            </w:r>
            <w:r>
              <w:t>s</w:t>
            </w:r>
            <w:r w:rsidRPr="00471CCF">
              <w:t xml:space="preserve"> List Definitions,</w:t>
            </w:r>
            <w:r>
              <w:t xml:space="preserve"> </w:t>
            </w:r>
            <w:r w:rsidRPr="00471CCF">
              <w:t>Site Columns and Content Types for Document Retention</w:t>
            </w:r>
          </w:p>
          <w:p w14:paraId="5332FD53" w14:textId="2060A818" w:rsidR="002A02AB" w:rsidRPr="00471CCF" w:rsidRDefault="002A02AB" w:rsidP="002A02AB">
            <w:pPr>
              <w:pStyle w:val="ListParagraph"/>
              <w:numPr>
                <w:ilvl w:val="0"/>
                <w:numId w:val="19"/>
              </w:numPr>
              <w:ind w:left="415"/>
            </w:pPr>
            <w:proofErr w:type="spellStart"/>
            <w:r>
              <w:t>WorkflowActivity</w:t>
            </w:r>
            <w:proofErr w:type="spellEnd"/>
            <w:r>
              <w:t xml:space="preserve"> - </w:t>
            </w:r>
            <w:r w:rsidRPr="00471CCF">
              <w:t>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2A02AB" w:rsidRPr="004045F6" w14:paraId="7E7EC832" w14:textId="77777777" w:rsidTr="000B2751">
        <w:tc>
          <w:tcPr>
            <w:tcW w:w="0" w:type="auto"/>
          </w:tcPr>
          <w:p w14:paraId="505BED96" w14:textId="7CB79401" w:rsidR="002A02AB" w:rsidRDefault="002A02AB" w:rsidP="002A02AB">
            <w:proofErr w:type="spellStart"/>
            <w:r w:rsidRPr="000B2751">
              <w:rPr>
                <w:b/>
              </w:rPr>
              <w:t>Contoso.SharePoint.</w:t>
            </w:r>
            <w:r>
              <w:rPr>
                <w:b/>
              </w:rPr>
              <w:t>NewsAlerts.wsp</w:t>
            </w:r>
            <w:proofErr w:type="spellEnd"/>
          </w:p>
        </w:tc>
        <w:tc>
          <w:tcPr>
            <w:tcW w:w="5531" w:type="dxa"/>
          </w:tcPr>
          <w:p w14:paraId="23D14184" w14:textId="5B49C908" w:rsidR="002A02AB" w:rsidRDefault="002A02AB" w:rsidP="002A02AB">
            <w:pPr>
              <w:pStyle w:val="ListParagraph"/>
              <w:numPr>
                <w:ilvl w:val="0"/>
                <w:numId w:val="19"/>
              </w:numPr>
              <w:ind w:left="415"/>
            </w:pPr>
            <w:r>
              <w:t>Timer job to send “Weekly News” emails to Contoso Staff</w:t>
            </w:r>
          </w:p>
          <w:p w14:paraId="71B66CF4" w14:textId="38B21664" w:rsidR="002A02AB" w:rsidRPr="005C3627" w:rsidRDefault="002A02AB" w:rsidP="002A02AB">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t>Customer requirements</w:t>
      </w:r>
      <w:bookmarkEnd w:id="15"/>
    </w:p>
    <w:p w14:paraId="5609314D" w14:textId="130E2E46" w:rsidR="00B72077" w:rsidRDefault="00B72077" w:rsidP="00B72077">
      <w:r>
        <w:t>Contoso has decided that it will retain the native (out-of-box) look and feel of SharePoint and O365 as a whole, to minimize the cost of ownership and maximize the value added by current and future enhancements in the platform.</w:t>
      </w:r>
      <w:r w:rsidR="00446F5A">
        <w:t xml:space="preserve"> Contoso will get rid of all custom web controls (</w:t>
      </w:r>
      <w:r w:rsidR="00446F5A" w:rsidRPr="00446F5A">
        <w:t xml:space="preserve">Share </w:t>
      </w:r>
      <w:r w:rsidR="00446F5A" w:rsidRPr="00446F5A">
        <w:lastRenderedPageBreak/>
        <w:t>price, world clock, weather, emergency information, image rotator</w:t>
      </w:r>
      <w:r w:rsidR="00446F5A">
        <w:t xml:space="preserve"> </w:t>
      </w:r>
      <w:proofErr w:type="spellStart"/>
      <w:r w:rsidR="00446F5A">
        <w:t>etc</w:t>
      </w:r>
      <w:proofErr w:type="spellEnd"/>
      <w:r w:rsidR="00446F5A">
        <w:t xml:space="preserve">). These features will be implemented </w:t>
      </w:r>
      <w:proofErr w:type="gramStart"/>
      <w:r w:rsidR="00446F5A">
        <w:t>using  SharePoint</w:t>
      </w:r>
      <w:proofErr w:type="gramEnd"/>
      <w:r w:rsidR="00446F5A">
        <w:t xml:space="preserve"> apps where necessary.</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2344A9DB" w:rsidR="00B72077" w:rsidRDefault="00B72077" w:rsidP="00B72077">
      <w:r>
        <w:t xml:space="preserve">The decision to not replace or modify master pages </w:t>
      </w:r>
      <w:r w:rsidR="005D709A">
        <w:t>will benefit</w:t>
      </w:r>
      <w:r>
        <w:t xml:space="preserve"> </w:t>
      </w:r>
      <w:r w:rsidR="005D709A">
        <w:t xml:space="preserve">in the </w:t>
      </w:r>
      <w:proofErr w:type="gramStart"/>
      <w:r w:rsidR="005D709A">
        <w:t>long run</w:t>
      </w:r>
      <w:proofErr w:type="gramEnd"/>
      <w:r>
        <w:t xml:space="preserve"> by averting a cumbersome process of recreating side-by-side master pages and re-linking existing sites with new master pages.</w:t>
      </w:r>
    </w:p>
    <w:p w14:paraId="23783FDE" w14:textId="47160A0D" w:rsidR="005D709A" w:rsidRDefault="005D709A" w:rsidP="00B72077">
      <w:r>
        <w:t xml:space="preserve">The site branding needs </w:t>
      </w:r>
      <w:proofErr w:type="gramStart"/>
      <w:r>
        <w:t>can be met</w:t>
      </w:r>
      <w:proofErr w:type="gramEnd"/>
      <w:r>
        <w:t xml:space="preserve"> by using an Office 365 theme. </w:t>
      </w:r>
      <w:r w:rsidR="00112A79">
        <w:t xml:space="preserve">Composed looks allow the use of a custom theme. The custom theme can be built using the </w:t>
      </w:r>
      <w:hyperlink r:id="rId16" w:history="1">
        <w:r w:rsidR="00112A79" w:rsidRPr="00112A79">
          <w:rPr>
            <w:rStyle w:val="Hyperlink"/>
          </w:rPr>
          <w:t>SP Color tool</w:t>
        </w:r>
      </w:hyperlink>
      <w:r w:rsidR="00112A79">
        <w:t>.</w:t>
      </w:r>
      <w:r w:rsidR="00112A79" w:rsidRPr="00112A79">
        <w:t xml:space="preserve"> </w:t>
      </w:r>
      <w:r>
        <w:t>For additional branding needs alternate CSS file with the out of the box master page may be considered.</w:t>
      </w:r>
      <w:r w:rsidR="00112A79">
        <w:t xml:space="preserve"> </w:t>
      </w:r>
    </w:p>
    <w:p w14:paraId="70E155CC" w14:textId="3D38C188"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w:t>
      </w:r>
      <w:r w:rsidR="00BD2492">
        <w:t>ed</w:t>
      </w:r>
      <w:r>
        <w:t xml:space="preserve"> to allow single instance storage of dependent files and artifacts.</w:t>
      </w:r>
    </w:p>
    <w:p w14:paraId="0FA57809" w14:textId="75229DCF" w:rsidR="00B72077"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05BCCFA2" w14:textId="7375AD47" w:rsidR="005D709A" w:rsidRDefault="005D709A" w:rsidP="005D709A">
      <w:r>
        <w:t xml:space="preserve">Contoso’s social requirements </w:t>
      </w:r>
      <w:proofErr w:type="gramStart"/>
      <w:r>
        <w:t>can be met</w:t>
      </w:r>
      <w:proofErr w:type="gramEnd"/>
      <w:r>
        <w:t xml:space="preserve"> using the Yammer embedded code.</w:t>
      </w:r>
    </w:p>
    <w:p w14:paraId="3E4B8D3A" w14:textId="2F039C0C" w:rsidR="005D709A" w:rsidRDefault="00112A79" w:rsidP="005D709A">
      <w:r>
        <w:t xml:space="preserve">The custom navigation </w:t>
      </w:r>
      <w:proofErr w:type="gramStart"/>
      <w:r>
        <w:t>can be removed and replaced by the OOTB SharePoint global navigation</w:t>
      </w:r>
      <w:proofErr w:type="gramEnd"/>
      <w:r>
        <w:t xml:space="preserve">. The dynamic menus </w:t>
      </w:r>
      <w:proofErr w:type="gramStart"/>
      <w:r>
        <w:t>can be created</w:t>
      </w:r>
      <w:proofErr w:type="gramEnd"/>
      <w:r>
        <w:t xml:space="preserve"> by using CSS on top of global navigation.</w:t>
      </w:r>
    </w:p>
    <w:p w14:paraId="06FA0E69" w14:textId="399DAD03" w:rsidR="00AD6CFC" w:rsidRPr="00AD6CFC" w:rsidRDefault="00112A79" w:rsidP="00AD6CFC">
      <w:r>
        <w:t xml:space="preserve">The </w:t>
      </w:r>
      <w:proofErr w:type="spellStart"/>
      <w:r>
        <w:t>mysites</w:t>
      </w:r>
      <w:proofErr w:type="spellEnd"/>
      <w:r>
        <w:t xml:space="preserve"> will use the out of box SharePoint features. New changes </w:t>
      </w:r>
      <w:proofErr w:type="gramStart"/>
      <w:r>
        <w:t>are being introduced</w:t>
      </w:r>
      <w:proofErr w:type="gramEnd"/>
      <w:r>
        <w:t xml:space="preserve"> in Office 365 rapidly. This allows the users to make use of the new capabilities </w:t>
      </w:r>
      <w:proofErr w:type="gramStart"/>
      <w:r>
        <w:t>being introduced</w:t>
      </w:r>
      <w:proofErr w:type="gramEnd"/>
      <w:r>
        <w:t xml:space="preserve"> like Delve.</w:t>
      </w:r>
    </w:p>
    <w:p w14:paraId="60E42614" w14:textId="2E3B72BD" w:rsidR="008D2411" w:rsidRDefault="006D7129" w:rsidP="008D2411">
      <w:pPr>
        <w:pStyle w:val="Heading2Numbered"/>
      </w:pPr>
      <w:r w:rsidRPr="004045F6">
        <w:t>Provisionin</w:t>
      </w:r>
      <w:r w:rsidR="008D2411">
        <w:t>g</w:t>
      </w:r>
      <w:bookmarkEnd w:id="14"/>
    </w:p>
    <w:p w14:paraId="2BBA898B" w14:textId="7F572BAF"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w:t>
      </w:r>
      <w:r w:rsidR="007933CB">
        <w:t>above</w:t>
      </w:r>
      <w:r>
        <w:t xml:space="preserve"> in the </w:t>
      </w:r>
      <w:r w:rsidRPr="008D2411">
        <w:rPr>
          <w:u w:val="single"/>
        </w:rPr>
        <w:t>Branding</w:t>
      </w:r>
      <w:r>
        <w:t xml:space="preserve"> section.</w:t>
      </w:r>
    </w:p>
    <w:p w14:paraId="467D9226" w14:textId="708A6166" w:rsidR="006D7129" w:rsidRPr="004045F6" w:rsidRDefault="006D7129" w:rsidP="006D7129">
      <w:pPr>
        <w:pStyle w:val="Heading3Numbered"/>
      </w:pPr>
      <w:bookmarkStart w:id="18" w:name="_Toc416859131"/>
      <w:r w:rsidRPr="004045F6">
        <w:lastRenderedPageBreak/>
        <w:t>Customer requirements</w:t>
      </w:r>
      <w:bookmarkEnd w:id="18"/>
    </w:p>
    <w:p w14:paraId="54EE5583" w14:textId="292CCDA9" w:rsidR="009E64B3" w:rsidRDefault="00A86AD3" w:rsidP="00A86AD3">
      <w:r w:rsidRPr="004045F6">
        <w:t xml:space="preserve">Each </w:t>
      </w:r>
      <w:r w:rsidR="0016062D">
        <w:t>Contoso</w:t>
      </w:r>
      <w:r w:rsidR="00923623">
        <w:t xml:space="preserve"> </w:t>
      </w:r>
      <w:r w:rsidRPr="004045F6">
        <w:t xml:space="preserve">user </w:t>
      </w:r>
      <w:r w:rsidR="009E64B3">
        <w:t>is entitled to</w:t>
      </w:r>
      <w:r w:rsidRPr="004045F6">
        <w:t xml:space="preserve"> a personal s</w:t>
      </w:r>
      <w:r w:rsidR="009E64B3">
        <w:t xml:space="preserve">ite (OneDrive) for file storage and 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17C81CCA" w14:textId="0DBBE926" w:rsidR="00CC3F62" w:rsidRDefault="00CC3F62" w:rsidP="00CC3F62">
      <w:pPr>
        <w:pStyle w:val="ListParagraph"/>
        <w:numPr>
          <w:ilvl w:val="0"/>
          <w:numId w:val="19"/>
        </w:numPr>
      </w:pPr>
      <w:r>
        <w:t xml:space="preserve">Training validated automatically against a manual import of completed training from </w:t>
      </w:r>
      <w:r w:rsidR="0016062D">
        <w:t>Contoso</w:t>
      </w:r>
      <w:r>
        <w:t xml:space="preserve">’s Learning Management System </w:t>
      </w:r>
    </w:p>
    <w:p w14:paraId="394B2183" w14:textId="4BC4E9ED" w:rsidR="00FA7268" w:rsidRDefault="0043249A" w:rsidP="00E00AE5">
      <w:pPr>
        <w:pStyle w:val="ListParagraph"/>
        <w:numPr>
          <w:ilvl w:val="0"/>
          <w:numId w:val="19"/>
        </w:numPr>
      </w:pPr>
      <w:r>
        <w:t xml:space="preserve">Users may not access </w:t>
      </w:r>
      <w:r w:rsidR="00E00AE5">
        <w:t>the sites provisioned by other users.</w:t>
      </w:r>
    </w:p>
    <w:p w14:paraId="43D02E1F" w14:textId="77777777" w:rsidR="00E00AE5" w:rsidRDefault="0012054B" w:rsidP="00E00AE5">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4DDD9F07" w14:textId="77777777" w:rsidR="00E00AE5" w:rsidRDefault="00E00AE5" w:rsidP="00E00AE5">
      <w:pPr>
        <w:pStyle w:val="ListParagraph"/>
        <w:numPr>
          <w:ilvl w:val="0"/>
          <w:numId w:val="0"/>
        </w:numPr>
        <w:ind w:left="720"/>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19" w:name="_Toc416859132"/>
      <w:r w:rsidRPr="004045F6">
        <w:t>Considerations and workarounds</w:t>
      </w:r>
      <w:bookmarkEnd w:id="19"/>
    </w:p>
    <w:p w14:paraId="0971583F" w14:textId="1F38CC82" w:rsidR="00DC7094" w:rsidRDefault="0016062D" w:rsidP="00303781">
      <w:r>
        <w:t>Contoso</w:t>
      </w:r>
      <w:r w:rsidR="00946FCD">
        <w:t xml:space="preserve">’s </w:t>
      </w:r>
      <w:r w:rsidR="00303781">
        <w:t xml:space="preserve">maintains a central administrative site, dubbed the 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lastRenderedPageBreak/>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7295A26A" w14:textId="7766C5B8" w:rsidR="002A5A48" w:rsidRDefault="002A5A48" w:rsidP="002A5A48">
      <w:r>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1D46D99F" w14:textId="77777777" w:rsidR="00CE1A4D" w:rsidRDefault="00CE1A4D" w:rsidP="00CE1A4D">
      <w:pPr>
        <w:pStyle w:val="Heading2Numbered"/>
        <w:ind w:left="0" w:firstLine="0"/>
      </w:pPr>
      <w:bookmarkStart w:id="20" w:name="_Ref401946742"/>
      <w:bookmarkStart w:id="21" w:name="_Toc416859139"/>
      <w:r>
        <w:t>Event Handling</w:t>
      </w:r>
    </w:p>
    <w:p w14:paraId="0EAB17EC" w14:textId="77777777" w:rsidR="00CE1A4D" w:rsidRPr="004045F6" w:rsidRDefault="00CE1A4D" w:rsidP="00CE1A4D">
      <w:pPr>
        <w:pStyle w:val="Heading3Numbered"/>
      </w:pPr>
      <w:r w:rsidRPr="004045F6">
        <w:t>Customer requirements</w:t>
      </w:r>
    </w:p>
    <w:p w14:paraId="0DBDF466" w14:textId="6B8810C0" w:rsidR="00CE1A4D" w:rsidRDefault="00CE1A4D" w:rsidP="00CE1A4D">
      <w:r w:rsidRPr="00EE2FE5">
        <w:rPr>
          <w:b/>
        </w:rPr>
        <w:t>Event Receivers</w:t>
      </w:r>
      <w:r>
        <w:t xml:space="preserve"> </w:t>
      </w:r>
      <w:proofErr w:type="gramStart"/>
      <w:r>
        <w:t>are used</w:t>
      </w:r>
      <w:proofErr w:type="gramEnd"/>
      <w:r>
        <w:t xml:space="preserve"> to provide additional custom processing when a Site, Web, List or Item is affected. Event handling </w:t>
      </w:r>
      <w:proofErr w:type="gramStart"/>
      <w:r>
        <w:t>has been implemented</w:t>
      </w:r>
      <w:proofErr w:type="gramEnd"/>
      <w:r>
        <w:t xml:space="preserve"> to handle security after a site is provisioned or deleted. It </w:t>
      </w:r>
      <w:proofErr w:type="gramStart"/>
      <w:r>
        <w:t>has also been used</w:t>
      </w:r>
      <w:proofErr w:type="gramEnd"/>
      <w:r>
        <w:t xml:space="preserve"> to update the metadata of a document after it is </w:t>
      </w:r>
      <w:r>
        <w:lastRenderedPageBreak/>
        <w:t xml:space="preserve">uploaded. Creation of site columns and content types </w:t>
      </w:r>
      <w:proofErr w:type="gramStart"/>
      <w:r>
        <w:t>has also been performed</w:t>
      </w:r>
      <w:proofErr w:type="gramEnd"/>
      <w:r>
        <w:t xml:space="preserve"> using feature receivers.</w:t>
      </w:r>
    </w:p>
    <w:p w14:paraId="32382DD5" w14:textId="77777777" w:rsidR="00CE1A4D" w:rsidRDefault="00CE1A4D" w:rsidP="00CE1A4D">
      <w:pPr>
        <w:pStyle w:val="Heading3Numbered"/>
      </w:pPr>
      <w:r w:rsidRPr="004045F6">
        <w:t>Considerations and workarounds</w:t>
      </w:r>
    </w:p>
    <w:p w14:paraId="779CE251" w14:textId="5D9BEF86" w:rsidR="00CE1A4D" w:rsidRDefault="007E1D24" w:rsidP="007E1D24">
      <w:r w:rsidRPr="007E1D24">
        <w:t xml:space="preserve">A remote event receiver is like a traditional event receiver in SharePoint.  </w:t>
      </w:r>
      <w:r>
        <w:t>The</w:t>
      </w:r>
      <w:r w:rsidRPr="007E1D24">
        <w:t xml:space="preserve"> code registers itself with SharePoint to </w:t>
      </w:r>
      <w:proofErr w:type="gramStart"/>
      <w:r w:rsidRPr="007E1D24">
        <w:t>be called</w:t>
      </w:r>
      <w:proofErr w:type="gramEnd"/>
      <w:r w:rsidRPr="007E1D24">
        <w:t xml:space="preserve"> whenever an event occurs, such as a list is being deleted or a list item is being added.  </w:t>
      </w:r>
      <w:r>
        <w:t>Y</w:t>
      </w:r>
      <w:r w:rsidRPr="007E1D24">
        <w:t>ou register a remote endpoint</w:t>
      </w:r>
      <w:r>
        <w:t xml:space="preserve"> by</w:t>
      </w:r>
      <w:r w:rsidRPr="007E1D24">
        <w:t> </w:t>
      </w:r>
      <w:r>
        <w:t>providing</w:t>
      </w:r>
      <w:r w:rsidRPr="007E1D24">
        <w:t xml:space="preserve"> a URL to a service</w:t>
      </w:r>
      <w:r w:rsidR="00463F87">
        <w:t>.</w:t>
      </w:r>
    </w:p>
    <w:p w14:paraId="062D11FD" w14:textId="77777777" w:rsidR="009E376C" w:rsidRDefault="008F5AA0">
      <w:pPr>
        <w:spacing w:before="0" w:after="200"/>
      </w:pPr>
      <w:r w:rsidRPr="008F5AA0">
        <w:t xml:space="preserve">Remote event receivers are done by means of Web </w:t>
      </w:r>
      <w:proofErr w:type="gramStart"/>
      <w:r w:rsidRPr="008F5AA0">
        <w:t>services, that</w:t>
      </w:r>
      <w:proofErr w:type="gramEnd"/>
      <w:r w:rsidRPr="008F5AA0">
        <w:t xml:space="preserve"> listen for events to occur. Instead of running code on the SP server, the app fires an event that </w:t>
      </w:r>
      <w:proofErr w:type="gramStart"/>
      <w:r w:rsidRPr="008F5AA0">
        <w:t>is handled</w:t>
      </w:r>
      <w:proofErr w:type="gramEnd"/>
      <w:r w:rsidRPr="008F5AA0">
        <w:t xml:space="preserve"> by this web service. By registering a remote </w:t>
      </w:r>
      <w:proofErr w:type="gramStart"/>
      <w:r w:rsidRPr="008F5AA0">
        <w:t>end-point</w:t>
      </w:r>
      <w:proofErr w:type="gramEnd"/>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9E376C" w:rsidP="009E376C">
            <w:pPr>
              <w:pStyle w:val="AA-Normal"/>
              <w:numPr>
                <w:ilvl w:val="0"/>
                <w:numId w:val="25"/>
              </w:numPr>
            </w:pPr>
            <w:hyperlink r:id="rId18" w:history="1">
              <w:r>
                <w:rPr>
                  <w:rStyle w:val="Hyperlink"/>
                </w:rPr>
                <w:t>Remote Event Receivers in SP2013</w:t>
              </w:r>
              <w:r>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r>
        <w:t>Records Management</w:t>
      </w:r>
      <w:bookmarkEnd w:id="20"/>
      <w:bookmarkEnd w:id="21"/>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2" w:name="_Toc416859140"/>
      <w:r w:rsidRPr="004045F6">
        <w:t>Customer requirements</w:t>
      </w:r>
      <w:bookmarkEnd w:id="22"/>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lastRenderedPageBreak/>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3" w:name="_Toc416859141"/>
      <w:r w:rsidRPr="004045F6">
        <w:t>Considerations and workarounds</w:t>
      </w:r>
      <w:bookmarkEnd w:id="23"/>
    </w:p>
    <w:p w14:paraId="27E6F603" w14:textId="4120264B" w:rsidR="005868F3" w:rsidRDefault="005868F3" w:rsidP="005868F3">
      <w:r>
        <w:t xml:space="preserve">Choosing standard content types for the majority of document storage </w:t>
      </w:r>
      <w:r w:rsidR="00D609C8">
        <w:t xml:space="preserve">will </w:t>
      </w:r>
      <w:r>
        <w:t xml:space="preserve">pay off during migration to </w:t>
      </w:r>
      <w:r w:rsidR="000A34A4">
        <w:t xml:space="preserve">Office </w:t>
      </w:r>
      <w:proofErr w:type="gramStart"/>
      <w:r w:rsidR="000A34A4">
        <w:t>365</w:t>
      </w:r>
      <w:proofErr w:type="gramEnd"/>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674F78D" w14:textId="306E1F76" w:rsidR="006620D3" w:rsidRDefault="006620D3" w:rsidP="00AD6CFC">
      <w:pPr>
        <w:pStyle w:val="Heading2Numbered"/>
      </w:pPr>
      <w:bookmarkStart w:id="24" w:name="_Toc416859142"/>
      <w:r>
        <w:t>Safety News</w:t>
      </w:r>
    </w:p>
    <w:p w14:paraId="6829CEE4" w14:textId="1A60E180" w:rsidR="006620D3" w:rsidRDefault="006620D3" w:rsidP="006620D3">
      <w:r>
        <w:t>Contoso is very particular about Safety at Workplace. Every site has safety news displayed on the homepage through a safety web part.</w:t>
      </w:r>
    </w:p>
    <w:p w14:paraId="76AAE38E" w14:textId="3FBE1F33" w:rsidR="006620D3" w:rsidRDefault="006620D3" w:rsidP="006620D3">
      <w:pPr>
        <w:pStyle w:val="Heading3Numbered"/>
        <w:ind w:left="432" w:hanging="432"/>
      </w:pPr>
      <w:r>
        <w:t>Customer Requirements</w:t>
      </w:r>
    </w:p>
    <w:p w14:paraId="14E8BD98" w14:textId="3DEEB1A7" w:rsidR="006620D3" w:rsidRPr="006620D3" w:rsidRDefault="006620D3" w:rsidP="006620D3">
      <w:r>
        <w:t xml:space="preserve">Employees </w:t>
      </w:r>
      <w:r>
        <w:t>should receive</w:t>
      </w:r>
      <w:r>
        <w:t xml:space="preserve"> regular safety updates on the</w:t>
      </w:r>
      <w:r w:rsidR="00787826">
        <w:t>ir department</w:t>
      </w:r>
      <w:r>
        <w:t xml:space="preserve"> site</w:t>
      </w:r>
      <w:r>
        <w:t xml:space="preserve">. </w:t>
      </w:r>
      <w:r w:rsidR="00787826">
        <w:t xml:space="preserve">Safety incidents that occur in other departments </w:t>
      </w:r>
      <w:proofErr w:type="gramStart"/>
      <w:r w:rsidR="00787826">
        <w:t>should also be surfaced</w:t>
      </w:r>
      <w:proofErr w:type="gramEnd"/>
      <w:r w:rsidR="00787826">
        <w:t xml:space="preserve"> on the individual departmental sites. </w:t>
      </w:r>
      <w:r>
        <w:t xml:space="preserve">The safety </w:t>
      </w:r>
      <w:r w:rsidR="00787826">
        <w:t>updates</w:t>
      </w:r>
      <w:r>
        <w:t xml:space="preserve"> </w:t>
      </w:r>
      <w:r w:rsidR="00787826">
        <w:t>are</w:t>
      </w:r>
      <w:r>
        <w:t xml:space="preserve"> </w:t>
      </w:r>
      <w:r w:rsidR="00787826">
        <w:t>also been sent</w:t>
      </w:r>
      <w:r>
        <w:t xml:space="preserve"> through emails</w:t>
      </w:r>
      <w:r w:rsidR="00787826">
        <w:t xml:space="preserve"> at a periodic basis. Staff should also be able to view the safety news on mobile devices.</w:t>
      </w:r>
    </w:p>
    <w:p w14:paraId="605875AB" w14:textId="70187CF4" w:rsidR="006620D3" w:rsidRPr="006620D3" w:rsidRDefault="006620D3" w:rsidP="006620D3">
      <w:pPr>
        <w:pStyle w:val="Heading3Numbered"/>
        <w:ind w:left="432" w:hanging="432"/>
      </w:pPr>
      <w:r>
        <w:t>Considerations and Workarounds</w:t>
      </w:r>
    </w:p>
    <w:p w14:paraId="10D5BD2F" w14:textId="55F64550" w:rsidR="006620D3" w:rsidRDefault="006620D3" w:rsidP="006620D3">
      <w:r>
        <w:t xml:space="preserve">Safety Rollups on site landing pages </w:t>
      </w:r>
      <w:proofErr w:type="gramStart"/>
      <w:r>
        <w:t>are designed</w:t>
      </w:r>
      <w:proofErr w:type="gramEnd"/>
      <w:r>
        <w:t xml:space="preserve"> using the Site Data Queries to fetch data from multiple sites within the “Safety” site collection. This functionality </w:t>
      </w:r>
      <w:proofErr w:type="gramStart"/>
      <w:r>
        <w:t>can be simulated</w:t>
      </w:r>
      <w:proofErr w:type="gramEnd"/>
      <w:r>
        <w:t xml:space="preserve"> by creating a Safety Yammer group and adding the Yammer embedded code </w:t>
      </w:r>
      <w:r w:rsidR="00787826">
        <w:t>on</w:t>
      </w:r>
      <w:r>
        <w:t xml:space="preserve"> the </w:t>
      </w:r>
      <w:r w:rsidR="00787826">
        <w:t>homepage of every department</w:t>
      </w:r>
      <w:r>
        <w:t xml:space="preserve"> sites.</w:t>
      </w:r>
    </w:p>
    <w:p w14:paraId="50498B34" w14:textId="5E9E063F" w:rsidR="006620D3" w:rsidRDefault="006620D3" w:rsidP="006620D3">
      <w:r>
        <w:t xml:space="preserve">The Safety News alerts </w:t>
      </w:r>
      <w:proofErr w:type="gramStart"/>
      <w:r>
        <w:t>can be sent</w:t>
      </w:r>
      <w:proofErr w:type="gramEnd"/>
      <w:r>
        <w:t xml:space="preserve"> via Yammer announcements. Every </w:t>
      </w:r>
      <w:r w:rsidR="00787826">
        <w:t>Yammer announcement</w:t>
      </w:r>
      <w:r>
        <w:t xml:space="preserve"> send</w:t>
      </w:r>
      <w:r w:rsidR="00787826">
        <w:t>s</w:t>
      </w:r>
      <w:r>
        <w:t xml:space="preserve"> </w:t>
      </w:r>
      <w:proofErr w:type="gramStart"/>
      <w:r>
        <w:t>a notifications</w:t>
      </w:r>
      <w:proofErr w:type="gramEnd"/>
      <w:r>
        <w:t xml:space="preserve"> to the company staff via email</w:t>
      </w:r>
      <w:r w:rsidR="00787826">
        <w:t xml:space="preserve"> out of box</w:t>
      </w:r>
      <w:r>
        <w:t>.</w:t>
      </w:r>
    </w:p>
    <w:p w14:paraId="09142EF2" w14:textId="462CC0D6" w:rsidR="00787826" w:rsidRPr="006620D3" w:rsidRDefault="00787826" w:rsidP="006620D3">
      <w:r>
        <w:lastRenderedPageBreak/>
        <w:t>Yammer has a mobile app that can generate mobile views of the safety announcements.</w:t>
      </w:r>
    </w:p>
    <w:p w14:paraId="0D53274D" w14:textId="6C8C9A4E" w:rsidR="006A325C" w:rsidRPr="004045F6" w:rsidRDefault="006A325C" w:rsidP="00AD6CFC">
      <w:pPr>
        <w:pStyle w:val="Heading2Numbered"/>
      </w:pPr>
      <w:r w:rsidRPr="004045F6">
        <w:t>UX Components</w:t>
      </w:r>
      <w:bookmarkEnd w:id="24"/>
      <w:r w:rsidR="00120ADC">
        <w:t xml:space="preserve"> </w:t>
      </w:r>
    </w:p>
    <w:p w14:paraId="704E6B90" w14:textId="77777777" w:rsidR="006620D3" w:rsidRDefault="00244D74" w:rsidP="006620D3">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bookmarkStart w:id="25" w:name="_Toc416859143"/>
    </w:p>
    <w:p w14:paraId="4A1774E3" w14:textId="0B815925" w:rsidR="006A325C" w:rsidRDefault="006A325C" w:rsidP="006620D3">
      <w:r w:rsidRPr="004045F6">
        <w:t>Customer requirements</w:t>
      </w:r>
      <w:bookmarkEnd w:id="25"/>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F629A71" w:rsidR="002E0D99" w:rsidRPr="005C1C7F" w:rsidRDefault="002E0D99" w:rsidP="006A325C">
      <w:r>
        <w:t xml:space="preserve">Delegate </w:t>
      </w:r>
      <w:r w:rsidR="00006971">
        <w:t>and</w:t>
      </w:r>
      <w:r>
        <w:t xml:space="preserve"> </w:t>
      </w:r>
      <w:bookmarkStart w:id="26" w:name="_GoBack"/>
      <w:bookmarkEnd w:id="26"/>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xml:space="preserve">) </w:t>
      </w:r>
      <w:proofErr w:type="gramStart"/>
      <w:r w:rsidR="00006971">
        <w:t>cannot be used</w:t>
      </w:r>
      <w:proofErr w:type="gramEnd"/>
      <w:r w:rsidR="00006971">
        <w:t xml:space="preserve"> as is in the App model. Alternate options </w:t>
      </w:r>
      <w:proofErr w:type="gramStart"/>
      <w:r w:rsidR="00006971">
        <w:t>have been suggested</w:t>
      </w:r>
      <w:proofErr w:type="gramEnd"/>
      <w:r w:rsidR="00006971">
        <w:t xml:space="preserve"> below:</w:t>
      </w:r>
    </w:p>
    <w:p w14:paraId="78C82004" w14:textId="77777777" w:rsidR="006A325C" w:rsidRDefault="006A325C" w:rsidP="006620D3">
      <w:pPr>
        <w:pStyle w:val="Heading3Numbered"/>
        <w:numPr>
          <w:ilvl w:val="0"/>
          <w:numId w:val="0"/>
        </w:numPr>
      </w:pPr>
      <w:bookmarkStart w:id="27" w:name="_Ref402115851"/>
      <w:bookmarkStart w:id="28" w:name="_Toc416859144"/>
      <w:r w:rsidRPr="004045F6">
        <w:t>Considerations and workarounds</w:t>
      </w:r>
      <w:bookmarkEnd w:id="27"/>
      <w:bookmarkEnd w:id="28"/>
    </w:p>
    <w:p w14:paraId="30811F82" w14:textId="65667C4B" w:rsidR="006A325C" w:rsidRDefault="004B1B93" w:rsidP="006A325C">
      <w:r>
        <w:t>R</w:t>
      </w:r>
      <w:r w:rsidR="006A325C">
        <w:t xml:space="preserve">untime modifications to rendering pages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t xml:space="preserve"> (</w:t>
      </w:r>
      <w:proofErr w:type="gramStart"/>
      <w:r>
        <w:t>see</w:t>
      </w:r>
      <w:proofErr w:type="gramEnd"/>
      <w:r>
        <w:t xml:space="preserve"> </w:t>
      </w:r>
      <w:r>
        <w:fldChar w:fldCharType="begin"/>
      </w:r>
      <w:r>
        <w:instrText xml:space="preserve"> REF _Ref402165032 \r \p \h </w:instrText>
      </w:r>
      <w:r>
        <w:fldChar w:fldCharType="separate"/>
      </w:r>
      <w:r w:rsidR="00C17DD7">
        <w:t>3.</w:t>
      </w:r>
      <w:r w:rsidR="00120ADC">
        <w:t>3</w:t>
      </w:r>
      <w:r w:rsidR="00C17DD7">
        <w:t>.2 above</w:t>
      </w:r>
      <w:r>
        <w:fldChar w:fldCharType="end"/>
      </w:r>
      <w:r>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08BECE7" w:rsidR="004A4AB5" w:rsidRDefault="00950E58" w:rsidP="004A4AB5">
      <w:pPr>
        <w:pStyle w:val="Heading2Numbered"/>
      </w:pPr>
      <w:bookmarkStart w:id="29" w:name="_Toc416859145"/>
      <w:r>
        <w:t>3</w:t>
      </w:r>
      <w:r w:rsidRPr="00950E58">
        <w:rPr>
          <w:vertAlign w:val="superscript"/>
        </w:rPr>
        <w:t>rd</w:t>
      </w:r>
      <w:r>
        <w:t xml:space="preserve"> Party </w:t>
      </w:r>
      <w:proofErr w:type="spellStart"/>
      <w:r>
        <w:t>Software</w:t>
      </w:r>
      <w:bookmarkEnd w:id="29"/>
      <w:r w:rsidR="00006971">
        <w:t>s</w:t>
      </w:r>
      <w:proofErr w:type="spellEnd"/>
    </w:p>
    <w:p w14:paraId="2573C393" w14:textId="47C70D51" w:rsidR="00244D74" w:rsidRP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w:t>
      </w:r>
      <w:r>
        <w:lastRenderedPageBreak/>
        <w:t xml:space="preserve">and benefit from the software was quantified to assist </w:t>
      </w:r>
      <w:r w:rsidR="0016062D">
        <w:t>Contoso</w:t>
      </w:r>
      <w:r>
        <w:t xml:space="preserve"> in planning an alternative approach to achieve a similar benefit.</w:t>
      </w:r>
    </w:p>
    <w:p w14:paraId="024F42BF" w14:textId="77777777" w:rsidR="004A4AB5" w:rsidRDefault="004A4AB5" w:rsidP="004A4AB5">
      <w:pPr>
        <w:pStyle w:val="Heading3Numbered"/>
      </w:pPr>
      <w:bookmarkStart w:id="30" w:name="_Toc416859146"/>
      <w:r w:rsidRPr="004045F6">
        <w:t>Customer requirements</w:t>
      </w:r>
      <w:bookmarkEnd w:id="30"/>
    </w:p>
    <w:p w14:paraId="43AAD4B4" w14:textId="34EF1E3D" w:rsidR="00950E58" w:rsidRDefault="003819D3" w:rsidP="00950E58">
      <w:r>
        <w:t xml:space="preserve">Additional </w:t>
      </w:r>
      <w:proofErr w:type="gramStart"/>
      <w:r>
        <w:t>turn-key</w:t>
      </w:r>
      <w:proofErr w:type="gramEnd"/>
      <w:r>
        <w:t xml:space="preserve"> </w:t>
      </w:r>
      <w:proofErr w:type="spellStart"/>
      <w:r w:rsidR="000F63D5">
        <w:t>software</w:t>
      </w:r>
      <w:r w:rsidR="00006971">
        <w:t>s</w:t>
      </w:r>
      <w:proofErr w:type="spellEnd"/>
      <w:r>
        <w:t xml:space="preserve"> ha</w:t>
      </w:r>
      <w:r w:rsidR="00006971">
        <w:t>ve</w:t>
      </w:r>
      <w:r>
        <w:t xml:space="preserve"> been procured and installed to provide </w:t>
      </w:r>
      <w:r w:rsidR="0016062D">
        <w:t>Contoso</w:t>
      </w:r>
      <w:r>
        <w:t xml:space="preserve"> with enhanced system administration capabilities, including:</w:t>
      </w:r>
    </w:p>
    <w:p w14:paraId="16B70CB7" w14:textId="77777777" w:rsidR="00006971" w:rsidRDefault="00006971" w:rsidP="00006971">
      <w:proofErr w:type="spellStart"/>
      <w:r>
        <w:rPr>
          <w:rStyle w:val="Strong"/>
        </w:rPr>
        <w:t>TailSpin</w:t>
      </w:r>
      <w:proofErr w:type="spellEnd"/>
      <w:r>
        <w:rPr>
          <w:rStyle w:val="Strong"/>
        </w:rPr>
        <w:t xml:space="preserve"> </w:t>
      </w:r>
      <w:r w:rsidRPr="00006971">
        <w:rPr>
          <w:b/>
        </w:rPr>
        <w:t xml:space="preserve">- </w:t>
      </w:r>
      <w:r>
        <w:t>Provides skill finder capability</w:t>
      </w:r>
    </w:p>
    <w:p w14:paraId="62A88CB6" w14:textId="4372CA63" w:rsidR="006A325C" w:rsidRDefault="00B72077" w:rsidP="003819D3">
      <w:pPr>
        <w:pStyle w:val="ListParagraph"/>
        <w:numPr>
          <w:ilvl w:val="0"/>
          <w:numId w:val="19"/>
        </w:numPr>
      </w:pPr>
      <w:r>
        <w:t>Ability to search staff members based on their skill and years of experience</w:t>
      </w:r>
    </w:p>
    <w:p w14:paraId="0E351C5E" w14:textId="77777777" w:rsidR="00006971" w:rsidRPr="00006971" w:rsidRDefault="00006971" w:rsidP="00006971">
      <w:pPr>
        <w:pStyle w:val="ListParagraph"/>
        <w:numPr>
          <w:ilvl w:val="0"/>
          <w:numId w:val="0"/>
        </w:numPr>
        <w:ind w:left="720"/>
      </w:pPr>
    </w:p>
    <w:p w14:paraId="51463A3D" w14:textId="77777777" w:rsidR="00006971" w:rsidRDefault="00006971" w:rsidP="00006971">
      <w:proofErr w:type="spellStart"/>
      <w:r w:rsidRPr="00006971">
        <w:rPr>
          <w:b/>
        </w:rPr>
        <w:t>Fabrikam</w:t>
      </w:r>
      <w:proofErr w:type="spellEnd"/>
      <w:r w:rsidRPr="00006971">
        <w:rPr>
          <w:b/>
        </w:rPr>
        <w:t xml:space="preserve"> -</w:t>
      </w:r>
      <w:r>
        <w:t xml:space="preserve"> Provides location finder capability</w:t>
      </w:r>
    </w:p>
    <w:p w14:paraId="39E5E444" w14:textId="25CB0EF5"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58C12E95" w14:textId="77777777" w:rsidR="00006971" w:rsidRPr="00006971" w:rsidRDefault="00006971" w:rsidP="00006971">
      <w:pPr>
        <w:pStyle w:val="ListParagraph"/>
        <w:numPr>
          <w:ilvl w:val="0"/>
          <w:numId w:val="0"/>
        </w:numPr>
        <w:ind w:left="720"/>
        <w:rPr>
          <w:rStyle w:val="Strong"/>
          <w:b w:val="0"/>
          <w:bCs w:val="0"/>
        </w:rPr>
      </w:pPr>
    </w:p>
    <w:p w14:paraId="61E63D0E" w14:textId="77777777" w:rsidR="00006971" w:rsidRPr="00006971" w:rsidRDefault="00006971" w:rsidP="00006971">
      <w:pPr>
        <w:rPr>
          <w:rStyle w:val="Strong"/>
          <w:b w:val="0"/>
          <w:bCs w:val="0"/>
        </w:rPr>
      </w:pPr>
      <w:proofErr w:type="spellStart"/>
      <w:r>
        <w:rPr>
          <w:rStyle w:val="Strong"/>
        </w:rPr>
        <w:t>WingTip</w:t>
      </w:r>
      <w:proofErr w:type="spellEnd"/>
      <w:r>
        <w:rPr>
          <w:rStyle w:val="Strong"/>
        </w:rPr>
        <w:t xml:space="preserve"> – </w:t>
      </w:r>
      <w:r w:rsidRPr="00006971">
        <w:rPr>
          <w:rStyle w:val="Strong"/>
          <w:b w:val="0"/>
        </w:rPr>
        <w:t>Content Migration</w:t>
      </w:r>
    </w:p>
    <w:p w14:paraId="665A10B0" w14:textId="77777777" w:rsidR="000F63D5" w:rsidRDefault="000F63D5" w:rsidP="000F63D5">
      <w:pPr>
        <w:pStyle w:val="ListParagraph"/>
        <w:numPr>
          <w:ilvl w:val="0"/>
          <w:numId w:val="19"/>
        </w:numPr>
      </w:pPr>
      <w:r>
        <w:t>Content migration from site to site, or on-premises systems to O365</w:t>
      </w:r>
    </w:p>
    <w:p w14:paraId="283F18C4" w14:textId="77777777" w:rsidR="000F63D5" w:rsidRDefault="000F63D5" w:rsidP="000F63D5">
      <w:pPr>
        <w:pStyle w:val="ListParagraph"/>
        <w:numPr>
          <w:ilvl w:val="0"/>
          <w:numId w:val="19"/>
        </w:numPr>
      </w:pPr>
      <w:r>
        <w:t>Importing files from a conventional file system into SharePoint</w:t>
      </w:r>
    </w:p>
    <w:p w14:paraId="17A5CF1A" w14:textId="77777777" w:rsidR="000F63D5" w:rsidRDefault="000F63D5" w:rsidP="000F63D5">
      <w:pPr>
        <w:pStyle w:val="ListParagraph"/>
        <w:numPr>
          <w:ilvl w:val="0"/>
          <w:numId w:val="19"/>
        </w:numPr>
      </w:pPr>
      <w:r>
        <w:t>Operational and administrative assistance</w:t>
      </w:r>
    </w:p>
    <w:p w14:paraId="0624E492" w14:textId="5443658E" w:rsidR="00006971" w:rsidRDefault="00006971" w:rsidP="00006971">
      <w:proofErr w:type="spellStart"/>
      <w:r>
        <w:rPr>
          <w:rStyle w:val="Strong"/>
        </w:rPr>
        <w:t>AdventureWorks</w:t>
      </w:r>
      <w:proofErr w:type="spellEnd"/>
      <w:r>
        <w:rPr>
          <w:rStyle w:val="Strong"/>
        </w:rPr>
        <w:t xml:space="preserve"> – </w:t>
      </w:r>
      <w:r w:rsidRPr="00E746EE">
        <w:rPr>
          <w:rStyle w:val="Strong"/>
          <w:b w:val="0"/>
        </w:rPr>
        <w:t>Web Analytics</w:t>
      </w:r>
    </w:p>
    <w:p w14:paraId="55AF8D0A" w14:textId="77777777" w:rsidR="000F63D5" w:rsidRDefault="000F63D5" w:rsidP="000F63D5">
      <w:pPr>
        <w:pStyle w:val="ListParagraph"/>
        <w:numPr>
          <w:ilvl w:val="0"/>
          <w:numId w:val="19"/>
        </w:numPr>
      </w:pPr>
      <w:r>
        <w:t>Gather usage statistics on collaboration and document storage sites</w:t>
      </w:r>
    </w:p>
    <w:p w14:paraId="4AC29CF6" w14:textId="77777777" w:rsidR="000F63D5" w:rsidRDefault="000F63D5" w:rsidP="000F63D5">
      <w:pPr>
        <w:pStyle w:val="ListParagraph"/>
        <w:numPr>
          <w:ilvl w:val="0"/>
          <w:numId w:val="19"/>
        </w:numPr>
      </w:pPr>
      <w:r>
        <w:t>Report on usage statistics gathered</w:t>
      </w:r>
    </w:p>
    <w:p w14:paraId="02620948" w14:textId="77777777" w:rsidR="000F63D5" w:rsidRDefault="000F63D5" w:rsidP="000F63D5">
      <w:pPr>
        <w:pStyle w:val="ListParagraph"/>
        <w:numPr>
          <w:ilvl w:val="0"/>
          <w:numId w:val="0"/>
        </w:numPr>
        <w:ind w:left="720"/>
      </w:pPr>
    </w:p>
    <w:p w14:paraId="51A3A4B9" w14:textId="77777777" w:rsidR="00006971" w:rsidRDefault="00006971">
      <w:pPr>
        <w:spacing w:before="0" w:after="200"/>
        <w:rPr>
          <w:rFonts w:eastAsiaTheme="minorHAnsi"/>
          <w:color w:val="008AC8"/>
          <w:sz w:val="28"/>
          <w:szCs w:val="28"/>
        </w:rPr>
      </w:pPr>
      <w:bookmarkStart w:id="31" w:name="_Toc416859147"/>
      <w:r>
        <w:br w:type="page"/>
      </w:r>
    </w:p>
    <w:p w14:paraId="0F311ACD" w14:textId="2D91E8FB" w:rsidR="004A4AB5" w:rsidRDefault="004A4AB5" w:rsidP="004A4AB5">
      <w:pPr>
        <w:pStyle w:val="Heading3Numbered"/>
      </w:pPr>
      <w:r w:rsidRPr="004045F6">
        <w:lastRenderedPageBreak/>
        <w:t>Considerations and workarounds</w:t>
      </w:r>
      <w:bookmarkEnd w:id="31"/>
    </w:p>
    <w:p w14:paraId="5467CF8B" w14:textId="4A1A7966" w:rsidR="00006971" w:rsidRDefault="00006971" w:rsidP="00B1233D">
      <w:proofErr w:type="spellStart"/>
      <w:r w:rsidRPr="00006971">
        <w:rPr>
          <w:b/>
        </w:rPr>
        <w:t>TailSpin</w:t>
      </w:r>
      <w:proofErr w:type="spellEnd"/>
      <w:r>
        <w:t xml:space="preserve"> and </w:t>
      </w:r>
      <w:proofErr w:type="spellStart"/>
      <w:r w:rsidRPr="00006971">
        <w:rPr>
          <w:b/>
        </w:rPr>
        <w:t>Fabrikam</w:t>
      </w:r>
      <w:proofErr w:type="spellEnd"/>
      <w:r>
        <w:t xml:space="preserve"> features </w:t>
      </w:r>
      <w:proofErr w:type="gramStart"/>
      <w:r>
        <w:t>can be achieved</w:t>
      </w:r>
      <w:proofErr w:type="gramEnd"/>
      <w:r>
        <w:t xml:space="preserve"> through out of the box content search </w:t>
      </w:r>
      <w:proofErr w:type="spellStart"/>
      <w:r>
        <w:t>webparts</w:t>
      </w:r>
      <w:proofErr w:type="spellEnd"/>
      <w:r>
        <w:t xml:space="preserve"> with custom display templates.</w:t>
      </w:r>
    </w:p>
    <w:p w14:paraId="1D48E59B" w14:textId="722B2325" w:rsidR="00B1233D" w:rsidRPr="000F63D5" w:rsidRDefault="00ED2458" w:rsidP="00B1233D">
      <w:r w:rsidRPr="000F63D5">
        <w:t xml:space="preserve">Currently the </w:t>
      </w:r>
      <w:r w:rsidR="00E746EE" w:rsidRPr="002C460D">
        <w:rPr>
          <w:b/>
        </w:rPr>
        <w:t>Wingtip</w:t>
      </w:r>
      <w:r w:rsidR="005C6F63" w:rsidRPr="002C460D">
        <w:rPr>
          <w:b/>
        </w:rPr>
        <w:t>’s</w:t>
      </w:r>
      <w:r w:rsidR="00DC41E7" w:rsidRPr="000F63D5">
        <w:t xml:space="preserve"> </w:t>
      </w:r>
      <w:r w:rsidR="005C6F63">
        <w:t xml:space="preserve">Migration </w:t>
      </w:r>
      <w:r w:rsidR="002C460D">
        <w:t>tool</w:t>
      </w:r>
      <w:r w:rsidR="00DC41E7" w:rsidRPr="000F63D5">
        <w:t xml:space="preserve"> </w:t>
      </w:r>
      <w:r w:rsidR="00B6533B" w:rsidRPr="000F63D5">
        <w:t xml:space="preserve">is </w:t>
      </w:r>
      <w:r w:rsidR="002C460D">
        <w:t>installed on</w:t>
      </w:r>
      <w:r w:rsidRPr="000F63D5">
        <w:t xml:space="preserve"> </w:t>
      </w:r>
      <w:r w:rsidR="0016062D" w:rsidRPr="000F63D5">
        <w:t>Contoso</w:t>
      </w:r>
      <w:r w:rsidRPr="000F63D5">
        <w:t xml:space="preserve">’s </w:t>
      </w:r>
      <w:r w:rsidR="002C460D">
        <w:t xml:space="preserve">web </w:t>
      </w:r>
      <w:proofErr w:type="gramStart"/>
      <w:r w:rsidR="002C460D">
        <w:t>front end</w:t>
      </w:r>
      <w:proofErr w:type="gramEnd"/>
      <w:r w:rsidR="002C460D">
        <w:t xml:space="preserve"> server</w:t>
      </w:r>
      <w:r w:rsidRPr="000F63D5">
        <w:t xml:space="preserve">; this cannot be transferred to </w:t>
      </w:r>
      <w:r w:rsidR="005C6F63">
        <w:t>Office 365</w:t>
      </w:r>
      <w:r w:rsidRPr="000F63D5">
        <w:t xml:space="preserve">. </w:t>
      </w:r>
      <w:r w:rsidR="00E91B08">
        <w:t>Contoso should consider other third party offerings that offer migration capabilities using web services</w:t>
      </w:r>
      <w:r w:rsidR="00B60F34" w:rsidRPr="000F63D5">
        <w:t>.</w:t>
      </w:r>
    </w:p>
    <w:p w14:paraId="7EBF7F53" w14:textId="7D8AFD8B" w:rsidR="00F44C55" w:rsidRDefault="00F44C55" w:rsidP="00B1233D">
      <w:r w:rsidRPr="000F63D5">
        <w:br/>
      </w:r>
      <w:proofErr w:type="spellStart"/>
      <w:r w:rsidR="00533C6D">
        <w:rPr>
          <w:b/>
        </w:rPr>
        <w:t>AdventureWorks</w:t>
      </w:r>
      <w:proofErr w:type="spellEnd"/>
      <w:r w:rsidRPr="000F63D5">
        <w:t xml:space="preserve"> analytics </w:t>
      </w:r>
      <w:proofErr w:type="gramStart"/>
      <w:r w:rsidRPr="000F63D5">
        <w:t>is i</w:t>
      </w:r>
      <w:r w:rsidR="000F63D5" w:rsidRPr="000F63D5">
        <w:t>mplemented</w:t>
      </w:r>
      <w:proofErr w:type="gramEnd"/>
      <w:r w:rsidRPr="000F63D5">
        <w:t xml:space="preserve"> through HTML injection of the master page through a </w:t>
      </w:r>
      <w:r w:rsidR="00B1233D" w:rsidRPr="000F63D5">
        <w:rPr>
          <w:b/>
        </w:rPr>
        <w:t>D</w:t>
      </w:r>
      <w:r w:rsidRPr="000F63D5">
        <w:rPr>
          <w:b/>
        </w:rPr>
        <w:t xml:space="preserve">elegate </w:t>
      </w:r>
      <w:r w:rsidR="00B1233D" w:rsidRPr="000F63D5">
        <w:rPr>
          <w:b/>
        </w:rPr>
        <w:t>C</w:t>
      </w:r>
      <w:r w:rsidRPr="000F63D5">
        <w:rPr>
          <w:b/>
        </w:rPr>
        <w:t>ontrol</w:t>
      </w:r>
      <w:r w:rsidRPr="000F63D5">
        <w:t xml:space="preserve">. Custom delegate controls are not compatible with </w:t>
      </w:r>
      <w:r w:rsidR="005C6F63">
        <w:t xml:space="preserve">Office </w:t>
      </w:r>
      <w:proofErr w:type="gramStart"/>
      <w:r w:rsidR="005C6F63">
        <w:t>365</w:t>
      </w:r>
      <w:r w:rsidRPr="000F63D5">
        <w:t>,</w:t>
      </w:r>
      <w:proofErr w:type="gramEnd"/>
      <w:r w:rsidRPr="000F63D5">
        <w:t xml:space="preserve"> however a similar HTML injection can be accomplished through a custom </w:t>
      </w:r>
      <w:r w:rsidRPr="000F63D5">
        <w:rPr>
          <w:b/>
        </w:rPr>
        <w:t>User Action</w:t>
      </w:r>
      <w:r w:rsidRPr="000F63D5">
        <w:t xml:space="preserve">, either through a </w:t>
      </w:r>
      <w:proofErr w:type="spellStart"/>
      <w:r w:rsidRPr="000F63D5">
        <w:rPr>
          <w:b/>
        </w:rPr>
        <w:t>ScriptBlock</w:t>
      </w:r>
      <w:proofErr w:type="spellEnd"/>
      <w:r w:rsidRPr="000F63D5">
        <w:t xml:space="preserve"> or </w:t>
      </w:r>
      <w:proofErr w:type="spellStart"/>
      <w:r w:rsidRPr="000F63D5">
        <w:rPr>
          <w:b/>
        </w:rPr>
        <w:t>ScriptLink</w:t>
      </w:r>
      <w:proofErr w:type="spellEnd"/>
      <w:r w:rsidRPr="000F63D5">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896A" w14:textId="77777777" w:rsidR="005B59A5" w:rsidRDefault="005B59A5">
      <w:pPr>
        <w:spacing w:after="0" w:line="240" w:lineRule="auto"/>
      </w:pPr>
      <w:r>
        <w:separator/>
      </w:r>
    </w:p>
  </w:endnote>
  <w:endnote w:type="continuationSeparator" w:id="0">
    <w:p w14:paraId="22B793F4" w14:textId="77777777" w:rsidR="005B59A5" w:rsidRDefault="005B59A5">
      <w:pPr>
        <w:spacing w:after="0" w:line="240" w:lineRule="auto"/>
      </w:pPr>
      <w:r>
        <w:continuationSeparator/>
      </w:r>
    </w:p>
  </w:endnote>
  <w:endnote w:type="continuationNotice" w:id="1">
    <w:p w14:paraId="429E90BC" w14:textId="77777777" w:rsidR="005B59A5" w:rsidRDefault="005B59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7933CB" w:rsidRDefault="007933CB">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7933CB" w:rsidRDefault="007933CB">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7933CB" w:rsidRDefault="007933CB">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7933CB" w:rsidRDefault="007933CB">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7933CB" w:rsidRDefault="007933CB">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7933CB" w:rsidRDefault="007933CB">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7933CB" w:rsidRDefault="007933CB">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7933CB" w:rsidRDefault="007933CB">
    <w:pPr>
      <w:pStyle w:val="Footer"/>
      <w:pBdr>
        <w:top w:val="single" w:sz="4" w:space="1" w:color="auto"/>
      </w:pBdr>
      <w:jc w:val="right"/>
    </w:pPr>
    <w:r>
      <w:fldChar w:fldCharType="begin"/>
    </w:r>
    <w:r>
      <w:instrText xml:space="preserve"> PAGE  \* roman  \* MERGEFORMAT </w:instrText>
    </w:r>
    <w:r>
      <w:fldChar w:fldCharType="separate"/>
    </w:r>
    <w:r w:rsidR="006620D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7933CB" w14:paraId="078D7A49" w14:textId="77777777">
      <w:tc>
        <w:tcPr>
          <w:tcW w:w="7200" w:type="dxa"/>
        </w:tcPr>
        <w:p w14:paraId="078D7A46" w14:textId="63D70D4A" w:rsidR="007933CB" w:rsidRDefault="007933CB">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 xml:space="preserve">     </w:t>
              </w:r>
            </w:sdtContent>
          </w:sdt>
        </w:p>
        <w:p w14:paraId="078D7A47" w14:textId="7CDDF3FE" w:rsidR="007933CB" w:rsidRDefault="007933CB">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48" w14:textId="1F1CA419" w:rsidR="007933CB" w:rsidRDefault="007933CB"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2 Jun. 15</w:t>
          </w:r>
          <w:r>
            <w:fldChar w:fldCharType="end"/>
          </w:r>
          <w:r>
            <w:t xml:space="preserve">, Rev </w:t>
          </w:r>
          <w:fldSimple w:instr=" REVNUM   \* MERGEFORMAT ">
            <w:r>
              <w:rPr>
                <w:noProof/>
              </w:rPr>
              <w:t>46</w:t>
            </w:r>
          </w:fldSimple>
        </w:p>
      </w:tc>
    </w:tr>
  </w:tbl>
  <w:p w14:paraId="078D7A4A" w14:textId="77777777" w:rsidR="007933CB" w:rsidRDefault="007933C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7933CB" w:rsidRDefault="007933CB">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787826">
      <w:rPr>
        <w:noProof/>
      </w:rPr>
      <w:t>15</w:t>
    </w:r>
    <w:r>
      <w:fldChar w:fldCharType="end"/>
    </w:r>
  </w:p>
  <w:tbl>
    <w:tblPr>
      <w:tblW w:w="7200" w:type="dxa"/>
      <w:tblInd w:w="-227" w:type="dxa"/>
      <w:tblLayout w:type="fixed"/>
      <w:tblLook w:val="01E0" w:firstRow="1" w:lastRow="1" w:firstColumn="1" w:lastColumn="1" w:noHBand="0" w:noVBand="0"/>
    </w:tblPr>
    <w:tblGrid>
      <w:gridCol w:w="7200"/>
    </w:tblGrid>
    <w:tr w:rsidR="007933CB" w14:paraId="078D7A61" w14:textId="77777777">
      <w:tc>
        <w:tcPr>
          <w:tcW w:w="7200" w:type="dxa"/>
        </w:tcPr>
        <w:p w14:paraId="078D7A5E" w14:textId="37B486FF" w:rsidR="007933CB" w:rsidRDefault="007933CB">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Draft</w:t>
          </w:r>
        </w:p>
        <w:p w14:paraId="078D7A5F" w14:textId="16D6EB9D" w:rsidR="007933CB" w:rsidRDefault="007933CB">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Content>
              <w:r>
                <w:rPr>
                  <w:lang w:val="en-NZ"/>
                </w:rPr>
                <w:t xml:space="preserve">Pavel </w:t>
              </w:r>
              <w:proofErr w:type="spellStart"/>
              <w:r>
                <w:rPr>
                  <w:lang w:val="en-NZ"/>
                </w:rPr>
                <w:t>Bansky</w:t>
              </w:r>
              <w:proofErr w:type="spellEnd"/>
            </w:sdtContent>
          </w:sdt>
        </w:p>
        <w:p w14:paraId="078D7A60" w14:textId="23D58ADA" w:rsidR="007933CB" w:rsidRDefault="007933CB"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2 Jun. 15</w:t>
          </w:r>
          <w:r>
            <w:fldChar w:fldCharType="end"/>
          </w:r>
          <w:r>
            <w:t xml:space="preserve">, Rev </w:t>
          </w:r>
          <w:fldSimple w:instr=" REVNUM   \* MERGEFORMAT ">
            <w:r>
              <w:rPr>
                <w:noProof/>
              </w:rPr>
              <w:t>46</w:t>
            </w:r>
          </w:fldSimple>
        </w:p>
      </w:tc>
    </w:tr>
  </w:tbl>
  <w:p w14:paraId="078D7A62" w14:textId="77777777" w:rsidR="007933CB" w:rsidRDefault="007933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9DBF3" w14:textId="77777777" w:rsidR="005B59A5" w:rsidRDefault="005B59A5">
      <w:pPr>
        <w:spacing w:after="0" w:line="240" w:lineRule="auto"/>
      </w:pPr>
      <w:r>
        <w:separator/>
      </w:r>
    </w:p>
  </w:footnote>
  <w:footnote w:type="continuationSeparator" w:id="0">
    <w:p w14:paraId="3D5DFCCD" w14:textId="77777777" w:rsidR="005B59A5" w:rsidRDefault="005B59A5">
      <w:pPr>
        <w:spacing w:after="0" w:line="240" w:lineRule="auto"/>
      </w:pPr>
      <w:r>
        <w:continuationSeparator/>
      </w:r>
    </w:p>
  </w:footnote>
  <w:footnote w:type="continuationNotice" w:id="1">
    <w:p w14:paraId="0602A52A" w14:textId="77777777" w:rsidR="005B59A5" w:rsidRDefault="005B59A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7933CB" w:rsidRDefault="007933CB">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t>Contoso Corporation</w:t>
    </w:r>
    <w:r>
      <w:fldChar w:fldCharType="end"/>
    </w:r>
  </w:p>
  <w:p w14:paraId="078D7A3D" w14:textId="77777777" w:rsidR="007933CB" w:rsidRDefault="00793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D513B9"/>
    <w:multiLevelType w:val="hybridMultilevel"/>
    <w:tmpl w:val="BFEC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5">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6"/>
  </w:num>
  <w:num w:numId="5">
    <w:abstractNumId w:val="14"/>
  </w:num>
  <w:num w:numId="6">
    <w:abstractNumId w:val="8"/>
  </w:num>
  <w:num w:numId="7">
    <w:abstractNumId w:val="10"/>
  </w:num>
  <w:num w:numId="8">
    <w:abstractNumId w:val="18"/>
  </w:num>
  <w:num w:numId="9">
    <w:abstractNumId w:val="5"/>
  </w:num>
  <w:num w:numId="10">
    <w:abstractNumId w:val="2"/>
  </w:num>
  <w:num w:numId="11">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19"/>
  </w:num>
  <w:num w:numId="14">
    <w:abstractNumId w:val="11"/>
  </w:num>
  <w:num w:numId="15">
    <w:abstractNumId w:val="16"/>
  </w:num>
  <w:num w:numId="16">
    <w:abstractNumId w:val="4"/>
  </w:num>
  <w:num w:numId="17">
    <w:abstractNumId w:val="15"/>
  </w:num>
  <w:num w:numId="18">
    <w:abstractNumId w:val="1"/>
  </w:num>
  <w:num w:numId="19">
    <w:abstractNumId w:val="3"/>
  </w:num>
  <w:num w:numId="20">
    <w:abstractNumId w:val="17"/>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2"/>
  </w:num>
  <w:num w:numId="25">
    <w:abstractNumId w:val="13"/>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2A79"/>
    <w:rsid w:val="001164CD"/>
    <w:rsid w:val="0012054B"/>
    <w:rsid w:val="00120845"/>
    <w:rsid w:val="00120ADC"/>
    <w:rsid w:val="00124EF4"/>
    <w:rsid w:val="00132902"/>
    <w:rsid w:val="00133ED6"/>
    <w:rsid w:val="00136914"/>
    <w:rsid w:val="00136966"/>
    <w:rsid w:val="0013751D"/>
    <w:rsid w:val="00137C47"/>
    <w:rsid w:val="00145A0C"/>
    <w:rsid w:val="001509F8"/>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2362C"/>
    <w:rsid w:val="00323E71"/>
    <w:rsid w:val="00342676"/>
    <w:rsid w:val="003471A2"/>
    <w:rsid w:val="00354FA7"/>
    <w:rsid w:val="00357C5B"/>
    <w:rsid w:val="00363285"/>
    <w:rsid w:val="00380BFC"/>
    <w:rsid w:val="003819D3"/>
    <w:rsid w:val="0039700C"/>
    <w:rsid w:val="003B06BA"/>
    <w:rsid w:val="003B0EFF"/>
    <w:rsid w:val="003C5D31"/>
    <w:rsid w:val="003D2BB8"/>
    <w:rsid w:val="003E4E0F"/>
    <w:rsid w:val="003E7AE0"/>
    <w:rsid w:val="004003EB"/>
    <w:rsid w:val="00402543"/>
    <w:rsid w:val="004045F6"/>
    <w:rsid w:val="00406AD5"/>
    <w:rsid w:val="00413838"/>
    <w:rsid w:val="00415738"/>
    <w:rsid w:val="00426976"/>
    <w:rsid w:val="0043249A"/>
    <w:rsid w:val="00434005"/>
    <w:rsid w:val="00437290"/>
    <w:rsid w:val="00446F5A"/>
    <w:rsid w:val="00460398"/>
    <w:rsid w:val="00463F87"/>
    <w:rsid w:val="00466689"/>
    <w:rsid w:val="00471CCF"/>
    <w:rsid w:val="004825A8"/>
    <w:rsid w:val="0048640C"/>
    <w:rsid w:val="004912CF"/>
    <w:rsid w:val="00491BED"/>
    <w:rsid w:val="004A2A61"/>
    <w:rsid w:val="004A4AB5"/>
    <w:rsid w:val="004B01A6"/>
    <w:rsid w:val="004B1B93"/>
    <w:rsid w:val="004B7454"/>
    <w:rsid w:val="004D02C6"/>
    <w:rsid w:val="004D3EB8"/>
    <w:rsid w:val="004E2ECD"/>
    <w:rsid w:val="004E459E"/>
    <w:rsid w:val="004F76B3"/>
    <w:rsid w:val="00501087"/>
    <w:rsid w:val="00502A88"/>
    <w:rsid w:val="00507B50"/>
    <w:rsid w:val="00525307"/>
    <w:rsid w:val="00533667"/>
    <w:rsid w:val="00533C6D"/>
    <w:rsid w:val="00540CFF"/>
    <w:rsid w:val="005510DA"/>
    <w:rsid w:val="005533EB"/>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5BDE"/>
    <w:rsid w:val="00716330"/>
    <w:rsid w:val="00726001"/>
    <w:rsid w:val="0072600F"/>
    <w:rsid w:val="00727C3A"/>
    <w:rsid w:val="0074273C"/>
    <w:rsid w:val="00743FA6"/>
    <w:rsid w:val="00747406"/>
    <w:rsid w:val="00757581"/>
    <w:rsid w:val="00757882"/>
    <w:rsid w:val="00766692"/>
    <w:rsid w:val="007811D1"/>
    <w:rsid w:val="007812A7"/>
    <w:rsid w:val="007852E3"/>
    <w:rsid w:val="00787826"/>
    <w:rsid w:val="00791EC6"/>
    <w:rsid w:val="007933CB"/>
    <w:rsid w:val="00793505"/>
    <w:rsid w:val="007A2EBC"/>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50A2"/>
    <w:rsid w:val="00830A68"/>
    <w:rsid w:val="00865FCC"/>
    <w:rsid w:val="00871C39"/>
    <w:rsid w:val="00873929"/>
    <w:rsid w:val="0087424B"/>
    <w:rsid w:val="00881292"/>
    <w:rsid w:val="00882EAE"/>
    <w:rsid w:val="00885F09"/>
    <w:rsid w:val="0089642C"/>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58BE"/>
    <w:rsid w:val="00BF68A3"/>
    <w:rsid w:val="00C068BF"/>
    <w:rsid w:val="00C17DD7"/>
    <w:rsid w:val="00C5046E"/>
    <w:rsid w:val="00C507B1"/>
    <w:rsid w:val="00C53299"/>
    <w:rsid w:val="00C6397D"/>
    <w:rsid w:val="00C76649"/>
    <w:rsid w:val="00C90AF1"/>
    <w:rsid w:val="00C90CAA"/>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43E94"/>
    <w:rsid w:val="00D4446B"/>
    <w:rsid w:val="00D454CE"/>
    <w:rsid w:val="00D46B30"/>
    <w:rsid w:val="00D609C8"/>
    <w:rsid w:val="00D672EB"/>
    <w:rsid w:val="00D85C8A"/>
    <w:rsid w:val="00D87B34"/>
    <w:rsid w:val="00DA3D58"/>
    <w:rsid w:val="00DB47B9"/>
    <w:rsid w:val="00DB47D5"/>
    <w:rsid w:val="00DC41E7"/>
    <w:rsid w:val="00DC7094"/>
    <w:rsid w:val="00DD3C6E"/>
    <w:rsid w:val="00DE37D9"/>
    <w:rsid w:val="00E00527"/>
    <w:rsid w:val="00E00AE5"/>
    <w:rsid w:val="00E0540C"/>
    <w:rsid w:val="00E12F74"/>
    <w:rsid w:val="00E26663"/>
    <w:rsid w:val="00E31B2F"/>
    <w:rsid w:val="00E32460"/>
    <w:rsid w:val="00E339B7"/>
    <w:rsid w:val="00E35602"/>
    <w:rsid w:val="00E41DCC"/>
    <w:rsid w:val="00E45461"/>
    <w:rsid w:val="00E45FCF"/>
    <w:rsid w:val="00E57BDC"/>
    <w:rsid w:val="00E63083"/>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E2FE5"/>
    <w:rsid w:val="00EE404A"/>
    <w:rsid w:val="00EE6BAD"/>
    <w:rsid w:val="00EF3F86"/>
    <w:rsid w:val="00F00284"/>
    <w:rsid w:val="00F015E9"/>
    <w:rsid w:val="00F0505F"/>
    <w:rsid w:val="00F23FAE"/>
    <w:rsid w:val="00F34FE3"/>
    <w:rsid w:val="00F43878"/>
    <w:rsid w:val="00F44C55"/>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BF5"/>
    <w:rsid w:val="006E7C42"/>
    <w:rsid w:val="00702E1C"/>
    <w:rsid w:val="007656AD"/>
    <w:rsid w:val="007C14A9"/>
    <w:rsid w:val="007E762A"/>
    <w:rsid w:val="00804A75"/>
    <w:rsid w:val="00841B5E"/>
    <w:rsid w:val="00896DE7"/>
    <w:rsid w:val="008F616D"/>
    <w:rsid w:val="00952BAB"/>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5.xml><?xml version="1.0" encoding="utf-8"?>
<ds:datastoreItem xmlns:ds="http://schemas.openxmlformats.org/officeDocument/2006/customXml" ds:itemID="{241D9349-64FB-4D2F-90BC-49C2474E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681</TotalTime>
  <Pages>16</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27</cp:revision>
  <cp:lastPrinted>2015-04-16T04:34:00Z</cp:lastPrinted>
  <dcterms:created xsi:type="dcterms:W3CDTF">2015-04-16T05:18:00Z</dcterms:created>
  <dcterms:modified xsi:type="dcterms:W3CDTF">2015-06-02T10:36:00Z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