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Starship-Bot in CARLA – Umsetzung &amp; Sensorik</w:t>
      </w:r>
    </w:p>
    <w:p>
      <w:pPr/>
      <w:r>
        <w:t xml:space="preserve">Oct 9, 2026</w:t>
      </w:r>
      <w:r>
        <w:t xml:space="preserve"> · </w:t>
      </w:r>
      <w:r>
        <w:t xml:space="preserve">@Anvin</w:t>
      </w:r>
    </w:p>
    <w:p>
      <w:pPr>
        <w:pStyle w:val="Heading2"/>
      </w:pPr>
      <w:r>
        <w:t xml:space="preserve">Überblick</w:t>
      </w:r>
    </w:p>
    <w:p>
      <w:pPr/>
      <w:r>
        <w:t xml:space="preserve">Der Lieferroboter fährt als eigenes Fahrzeug </w:t>
      </w:r>
      <w:r>
        <w:rPr>
          <w:rStyle w:val="CodeChar"/>
        </w:rPr>
        <w:t xml:space="preserve">vehicle.starship.bot</w:t>
      </w:r>
      <w:r>
        <w:t xml:space="preserve"> in CARLA 0.9.16 (Unreal Engine 4.26), trägt ein eigenes HKA-Design und 26 simulierte Sensoren. Im Abschlusstest am 09.10.2026 (Karte Town02) erreichte er wie das Original rund 6 km/h, lenkte und bremste stabil, und alle Sensoren lieferten Daten.</w:t>
      </w:r>
    </w:p>
    <w:p>
      <w:pPr/>
      <w:r>
        <w:t xml:space="preserve">Werkzeugkette:</w:t>
      </w:r>
    </w:p>
    <w:p>
      <w:pPr>
        <w:pStyle w:val="ListParagraph"/>
        <w:numPr>
          <w:ilvl w:val="0"/>
          <w:numId w:val="2"/>
        </w:numPr>
      </w:pPr>
      <w:r>
        <w:rPr>
          <w:b/>
        </w:rPr>
        <w:t xml:space="preserve">Blender 5.2</w:t>
      </w:r>
      <w:r>
        <w:t xml:space="preserve"> – Modell, Skelett (Armature) und FBX-Export in Zentimetern.</w:t>
      </w:r>
    </w:p>
    <w:p>
      <w:pPr>
        <w:pStyle w:val="ListParagraph"/>
        <w:numPr>
          <w:ilvl w:val="0"/>
          <w:numId w:val="2"/>
        </w:numPr>
      </w:pPr>
      <w:r>
        <w:rPr>
          <w:b/>
        </w:rPr>
        <w:t xml:space="preserve">Unreal Engine 4.26 (CARLA-Editor)</w:t>
      </w:r>
      <w:r>
        <w:t xml:space="preserve"> – Import als Skeletal Mesh, Physics Asset, Animation Blueprint, Rad- und Fahrzeug-Blueprint.</w:t>
      </w:r>
    </w:p>
    <w:p>
      <w:pPr>
        <w:pStyle w:val="ListParagraph"/>
        <w:numPr>
          <w:ilvl w:val="0"/>
          <w:numId w:val="2"/>
        </w:numPr>
      </w:pPr>
      <w:r>
        <w:rPr>
          <w:b/>
        </w:rPr>
        <w:t xml:space="preserve">CARLA</w:t>
      </w:r>
      <w:r>
        <w:t xml:space="preserve"> – Registrierung im Blueprint-Katalog, Steuerung und Sensoren über die Python-API.</w:t>
      </w:r>
    </w:p>
    <w:tbl>
      <w:tblPr>
        <w:tblStyle w:val="TableGrid"/>
        <w:tblW w:w="0" w:type="auto"/>
        <w:tblLayout w:type="fixed"/>
        <w:tblLook w:val="04A0" w:firstRow="1" w:lastRow="0" w:firstColumn="0" w:lastColumn="0" w:noHBand="0" w:noVBand="1"/>
      </w:tblPr>
      <w:tblGrid>
        <w:gridCol w:w="3782"/>
        <w:gridCol w:w="3116"/>
        <w:gridCol w:w="2462"/>
      </w:tblGrid>
      <w:tr>
        <w:trPr>
          <w:tblHeader/>
        </w:trPr>
        <w:tc>
          <w:tcPr>
            <w:tcW w:w="3782" w:type="dxa"/>
            <w:shd w:val="clear" w:color="auto" w:fill="F2F2F2"/>
          </w:tcPr>
          <w:p>
            <w:pPr/>
            <w:r>
              <w:t xml:space="preserve">Datei / Asset</w:t>
            </w:r>
          </w:p>
        </w:tc>
        <w:tc>
          <w:tcPr>
            <w:tcW w:w="3116" w:type="dxa"/>
            <w:shd w:val="clear" w:color="auto" w:fill="F2F2F2"/>
          </w:tcPr>
          <w:p>
            <w:pPr/>
            <w:r>
              <w:t xml:space="preserve">Ort</w:t>
            </w:r>
          </w:p>
        </w:tc>
        <w:tc>
          <w:tcPr>
            <w:tcW w:w="2462" w:type="dxa"/>
            <w:shd w:val="clear" w:color="auto" w:fill="F2F2F2"/>
          </w:tcPr>
          <w:p>
            <w:pPr/>
            <w:r>
              <w:t xml:space="preserve">Zweck</w:t>
            </w:r>
          </w:p>
        </w:tc>
      </w:tr>
      <w:tr>
        <w:tc>
          <w:tcPr>
            <w:tcW w:w="3782" w:type="dxa"/>
          </w:tcPr>
          <w:p>
            <w:pPr/>
            <w:r>
              <w:rPr>
                <w:rStyle w:val="CodeChar"/>
              </w:rPr>
              <w:t xml:space="preserve">starship_hka_v5.blend</w:t>
            </w:r>
            <w:r>
              <w:t xml:space="preserve">, </w:t>
            </w:r>
            <w:r>
              <w:rPr>
                <w:rStyle w:val="CodeChar"/>
              </w:rPr>
              <w:t xml:space="preserve">starship_hka_v5.fbx</w:t>
            </w:r>
          </w:p>
        </w:tc>
        <w:tc>
          <w:tcPr>
            <w:tcW w:w="3116" w:type="dxa"/>
          </w:tcPr>
          <w:p>
            <w:pPr/>
            <w:r>
              <w:rPr>
                <w:rStyle w:val="CodeChar"/>
              </w:rPr>
              <w:t xml:space="preserve">C:\Users\letie\Downloads</w:t>
            </w:r>
          </w:p>
        </w:tc>
        <w:tc>
          <w:tcPr>
            <w:tcW w:w="2462" w:type="dxa"/>
          </w:tcPr>
          <w:p>
            <w:pPr/>
            <w:r>
              <w:t xml:space="preserve">aktuelles Modell im HKA-Design</w:t>
            </w:r>
          </w:p>
        </w:tc>
      </w:tr>
      <w:tr>
        <w:tc>
          <w:tcPr>
            <w:tcW w:w="3782" w:type="dxa"/>
          </w:tcPr>
          <w:p>
            <w:pPr/>
            <w:r>
              <w:rPr>
                <w:rStyle w:val="CodeChar"/>
              </w:rPr>
              <w:t xml:space="preserve">starship_carla_cm_v4.blend</w:t>
            </w:r>
            <w:r>
              <w:t xml:space="preserve">, </w:t>
            </w:r>
            <w:r>
              <w:rPr>
                <w:rStyle w:val="CodeChar"/>
              </w:rPr>
              <w:t xml:space="preserve">starship_carla_v4.fbx</w:t>
            </w:r>
          </w:p>
        </w:tc>
        <w:tc>
          <w:tcPr>
            <w:tcW w:w="3116" w:type="dxa"/>
          </w:tcPr>
          <w:p>
            <w:pPr/>
            <w:r>
              <w:rPr>
                <w:rStyle w:val="CodeChar"/>
              </w:rPr>
              <w:t xml:space="preserve">C:\Users\letie\Downloads</w:t>
            </w:r>
          </w:p>
        </w:tc>
        <w:tc>
          <w:tcPr>
            <w:tcW w:w="2462" w:type="dxa"/>
          </w:tcPr>
          <w:p>
            <w:pPr/>
            <w:r>
              <w:t xml:space="preserve">Vorstufe: Maßstab und Bones korrigiert</w:t>
            </w:r>
          </w:p>
        </w:tc>
      </w:tr>
      <w:tr>
        <w:tc>
          <w:tcPr>
            <w:tcW w:w="3782" w:type="dxa"/>
          </w:tcPr>
          <w:p>
            <w:pPr/>
            <w:r>
              <w:rPr>
                <w:rStyle w:val="CodeChar"/>
              </w:rPr>
              <w:t xml:space="preserve">SK_Starship_Mesh_HKA</w:t>
            </w:r>
            <w:r>
              <w:t xml:space="preserve">, Skeleton </w:t>
            </w:r>
            <w:r>
              <w:rPr>
                <w:rStyle w:val="CodeChar"/>
              </w:rPr>
              <w:t xml:space="preserve">SK_Starship_v4_SM_Starship_Skeleton</w:t>
            </w:r>
          </w:p>
        </w:tc>
        <w:tc>
          <w:tcPr>
            <w:tcW w:w="3116" w:type="dxa"/>
          </w:tcPr>
          <w:p>
            <w:pPr/>
            <w:r>
              <w:rPr>
                <w:rStyle w:val="CodeChar"/>
              </w:rPr>
              <w:t xml:space="preserve">Content/Carla/vehicle3</w:t>
            </w:r>
          </w:p>
        </w:tc>
        <w:tc>
          <w:tcPr>
            <w:tcW w:w="2462" w:type="dxa"/>
          </w:tcPr>
          <w:p>
            <w:pPr/>
            <w:r>
              <w:t xml:space="preserve">Mesh und Skelett</w:t>
            </w:r>
          </w:p>
        </w:tc>
      </w:tr>
      <w:tr>
        <w:tc>
          <w:tcPr>
            <w:tcW w:w="3782" w:type="dxa"/>
          </w:tcPr>
          <w:p>
            <w:pPr/>
            <w:r>
              <w:rPr>
                <w:rStyle w:val="CodeChar"/>
              </w:rPr>
              <w:t xml:space="preserve">PA_Starship_v4</w:t>
            </w:r>
            <w:r>
              <w:t xml:space="preserve">, </w:t>
            </w:r>
            <w:r>
              <w:rPr>
                <w:rStyle w:val="CodeChar"/>
              </w:rPr>
              <w:t xml:space="preserve">AnimBP_Starship_v4</w:t>
            </w:r>
          </w:p>
        </w:tc>
        <w:tc>
          <w:tcPr>
            <w:tcW w:w="3116" w:type="dxa"/>
          </w:tcPr>
          <w:p>
            <w:pPr/>
            <w:r>
              <w:rPr>
                <w:rStyle w:val="CodeChar"/>
              </w:rPr>
              <w:t xml:space="preserve">Content/Carla/vehicle3</w:t>
            </w:r>
          </w:p>
        </w:tc>
        <w:tc>
          <w:tcPr>
            <w:tcW w:w="2462" w:type="dxa"/>
          </w:tcPr>
          <w:p>
            <w:pPr/>
            <w:r>
              <w:t xml:space="preserve">Physik-Box und Rad-Animation</w:t>
            </w:r>
          </w:p>
        </w:tc>
      </w:tr>
      <w:tr>
        <w:tc>
          <w:tcPr>
            <w:tcW w:w="3782" w:type="dxa"/>
          </w:tcPr>
          <w:p>
            <w:pPr/>
            <w:r>
              <w:rPr>
                <w:rStyle w:val="CodeChar"/>
              </w:rPr>
              <w:t xml:space="preserve">BP_Starship</w:t>
            </w:r>
            <w:r>
              <w:t xml:space="preserve">, </w:t>
            </w:r>
            <w:r>
              <w:rPr>
                <w:rStyle w:val="CodeChar"/>
              </w:rPr>
              <w:t xml:space="preserve">BP_Starship_FLW/FRW/RLW/RRW</w:t>
            </w:r>
          </w:p>
        </w:tc>
        <w:tc>
          <w:tcPr>
            <w:tcW w:w="3116" w:type="dxa"/>
          </w:tcPr>
          <w:p>
            <w:pPr/>
            <w:r>
              <w:rPr>
                <w:rStyle w:val="CodeChar"/>
              </w:rPr>
              <w:t xml:space="preserve">Content/Carla/vehicle3</w:t>
            </w:r>
          </w:p>
        </w:tc>
        <w:tc>
          <w:tcPr>
            <w:tcW w:w="2462" w:type="dxa"/>
          </w:tcPr>
          <w:p>
            <w:pPr/>
            <w:r>
              <w:t xml:space="preserve">Fahrzeug und vier Rad-Blueprints</w:t>
            </w:r>
          </w:p>
        </w:tc>
      </w:tr>
      <w:tr>
        <w:tc>
          <w:tcPr>
            <w:tcW w:w="3782" w:type="dxa"/>
          </w:tcPr>
          <w:p>
            <w:pPr/>
            <w:r>
              <w:rPr>
                <w:rStyle w:val="CodeChar"/>
              </w:rPr>
              <w:t xml:space="preserve">starship_sensors.json</w:t>
            </w:r>
            <w:r>
              <w:t xml:space="preserve">, </w:t>
            </w:r>
            <w:r>
              <w:rPr>
                <w:rStyle w:val="CodeChar"/>
              </w:rPr>
              <w:t xml:space="preserve">starship_sensors.py</w:t>
            </w:r>
          </w:p>
        </w:tc>
        <w:tc>
          <w:tcPr>
            <w:tcW w:w="3116" w:type="dxa"/>
          </w:tcPr>
          <w:p>
            <w:pPr/>
            <w:r>
              <w:rPr>
                <w:rStyle w:val="CodeChar"/>
              </w:rPr>
              <w:t xml:space="preserve">C:\Users\letie\Downloads</w:t>
            </w:r>
          </w:p>
        </w:tc>
        <w:tc>
          <w:tcPr>
            <w:tcW w:w="2462" w:type="dxa"/>
          </w:tcPr>
          <w:p>
            <w:pPr/>
            <w:r>
              <w:t xml:space="preserve">Sensor-Konfiguration und Laufzeit-Skript</w:t>
            </w:r>
          </w:p>
        </w:tc>
      </w:tr>
    </w:tbl>
    <w:p>
      <w:pPr/>
      <w:r>
        <w:t xml:space="preserve">Weitere Meshes und Skelette im Ordner </w:t>
      </w:r>
      <w:r>
        <w:rPr>
          <w:rStyle w:val="CodeChar"/>
        </w:rPr>
        <w:t xml:space="preserve">vehicle3</w:t>
      </w:r>
      <w:r>
        <w:t xml:space="preserve"> (v2, v3, cm, ältere AnimBPs, </w:t>
      </w:r>
      <w:r>
        <w:rPr>
          <w:rStyle w:val="CodeChar"/>
        </w:rPr>
        <w:t xml:space="preserve">pa_starship</w:t>
      </w:r>
      <w:r>
        <w:t xml:space="preserve">) sind Zwischenstände der Fehlersuche und werden nicht mehr verwendet.</w:t>
      </w:r>
    </w:p>
    <w:p>
      <w:pPr>
        <w:pStyle w:val="Heading2"/>
      </w:pPr>
      <w:r>
        <w:t xml:space="preserve">Blender: Modell, Knochen und Export</w:t>
      </w:r>
    </w:p>
    <w:p>
      <w:pPr/>
      <w:r>
        <w:t xml:space="preserve">Das Modell wird in Zentimetern exportiert, und alle Bones zeigen nach +Y mit Roll 0. Nur so kommt das Skelett ohne versteckte Skalierung oder Drehung in Unreal an.</w:t>
      </w:r>
    </w:p>
    <w:p>
      <w:pPr/>
      <w:r>
        <w:drawing>
          <wp:inline distT="0" distB="0" distL="0" distR="0">
            <wp:extent cx="5486400" cy="3918857"/>
            <wp:docPr id="1" name="image1" descr="Starship-Modell in Blender mit eingeblendeten Bones: orange VehicleBase, blau Vorderräder, grau Mittelräder, grün Hinterräder"/>
            <a:graphic xmlns:a="http://schemas.openxmlformats.org/drawingml/2006/main">
              <a:graphicData uri="http://schemas.openxmlformats.org/drawingml/2006/picture">
                <pic:pic xmlns:pic="http://schemas.openxmlformats.org/drawingml/2006/picture">
                  <pic:nvPicPr>
                    <pic:cNvPr id="1" name="image1" descr="Starship-Modell in Blender mit eingeblendeten Bones: orange VehicleBase, blau Vorderräder, grau Mittelräder, grün Hinterräder"/>
                    <pic:cNvPicPr/>
                  </pic:nvPicPr>
                  <pic:blipFill>
                    <a:blip r:embed="rId3"/>
                    <a:stretch>
                      <a:fillRect/>
                    </a:stretch>
                  </pic:blipFill>
                  <pic:spPr>
                    <a:xfrm>
                      <a:off x="0" y="0"/>
                      <a:ext cx="5486400" cy="3918857"/>
                    </a:xfrm>
                    <a:prstGeom prst="rect">
                      <a:avLst/>
                    </a:prstGeom>
                  </pic:spPr>
                </pic:pic>
              </a:graphicData>
            </a:graphic>
          </wp:inline>
        </w:drawing>
      </w:r>
    </w:p>
    <w:p>
      <w:pPr/>
      <w:r>
        <w:rPr>
          <w:b/>
        </w:rPr>
        <w:t xml:space="preserve">Maße des Modells</w:t>
      </w:r>
      <w:r>
        <w:t xml:space="preserve"> (</w:t>
      </w:r>
      <w:r>
        <w:rPr>
          <w:rStyle w:val="CodeChar"/>
        </w:rPr>
        <w:t xml:space="preserve">SM_Starship</w:t>
      </w:r>
      <w:r>
        <w:t xml:space="preserve">): 56,5 × 57,9 × 87,7 cm (L × B × H inkl. Fahne). Der Rumpf ist etwa 55 × 45 cm, seine Unterkante liegt bei 16 cm. Die Räder haben 9 cm Radius und 4 cm Breite.</w:t>
      </w:r>
    </w:p>
    <w:p>
      <w:pPr/>
      <w:r>
        <w:rPr>
          <w:b/>
        </w:rPr>
        <w:t xml:space="preserve">Skelett (Armature </w:t>
      </w:r>
      <w:r>
        <w:rPr>
          <w:rStyle w:val="CodeChar"/>
          <w:b/>
        </w:rPr>
        <w:t xml:space="preserve">Armature</w:t>
      </w:r>
      <w:r>
        <w:rPr>
          <w:b/>
        </w:rPr>
        <w:t xml:space="preserve">)</w:t>
      </w:r>
    </w:p>
    <w:tbl>
      <w:tblPr>
        <w:tblStyle w:val="TableGrid"/>
        <w:tblW w:w="0" w:type="auto"/>
        <w:tblLayout w:type="fixed"/>
        <w:tblLook w:val="04A0" w:firstRow="1" w:lastRow="0" w:firstColumn="0" w:lastColumn="0" w:noHBand="0" w:noVBand="1"/>
      </w:tblPr>
      <w:tblGrid>
        <w:gridCol w:w="2510"/>
        <w:gridCol w:w="2371"/>
        <w:gridCol w:w="2578"/>
        <w:gridCol w:w="1901"/>
      </w:tblGrid>
      <w:tr>
        <w:trPr>
          <w:tblHeader/>
        </w:trPr>
        <w:tc>
          <w:tcPr>
            <w:tcW w:w="2510" w:type="dxa"/>
            <w:shd w:val="clear" w:color="auto" w:fill="F2F2F2"/>
          </w:tcPr>
          <w:p>
            <w:pPr/>
            <w:r>
              <w:t xml:space="preserve">Bone</w:t>
            </w:r>
          </w:p>
        </w:tc>
        <w:tc>
          <w:tcPr>
            <w:tcW w:w="2371" w:type="dxa"/>
            <w:shd w:val="clear" w:color="auto" w:fill="F2F2F2"/>
          </w:tcPr>
          <w:p>
            <w:pPr/>
            <w:r>
              <w:t xml:space="preserve">Kopf-Position (cm)</w:t>
            </w:r>
          </w:p>
        </w:tc>
        <w:tc>
          <w:tcPr>
            <w:tcW w:w="2578" w:type="dxa"/>
            <w:shd w:val="clear" w:color="auto" w:fill="F2F2F2"/>
          </w:tcPr>
          <w:p>
            <w:pPr/>
            <w:r>
              <w:t xml:space="preserve">Aufgabe</w:t>
            </w:r>
          </w:p>
        </w:tc>
        <w:tc>
          <w:tcPr>
            <w:tcW w:w="1901" w:type="dxa"/>
            <w:shd w:val="clear" w:color="auto" w:fill="F2F2F2"/>
          </w:tcPr>
          <w:p>
            <w:pPr/>
            <w:r>
              <w:t xml:space="preserve">Gewichtung</w:t>
            </w:r>
          </w:p>
        </w:tc>
      </w:tr>
      <w:tr>
        <w:tc>
          <w:tcPr>
            <w:tcW w:w="2510" w:type="dxa"/>
          </w:tcPr>
          <w:p>
            <w:pPr/>
            <w:r>
              <w:rPr>
                <w:rStyle w:val="CodeChar"/>
              </w:rPr>
              <w:t xml:space="preserve">VehicleBase</w:t>
            </w:r>
          </w:p>
        </w:tc>
        <w:tc>
          <w:tcPr>
            <w:tcW w:w="2371" w:type="dxa"/>
          </w:tcPr>
          <w:p>
            <w:pPr/>
            <w:r>
              <w:t xml:space="preserve">0 / 0 / 9,05</w:t>
            </w:r>
          </w:p>
        </w:tc>
        <w:tc>
          <w:tcPr>
            <w:tcW w:w="2578" w:type="dxa"/>
          </w:tcPr>
          <w:p>
            <w:pPr/>
            <w:r>
              <w:t xml:space="preserve">Root-Bone, Fahrzeugkörper</w:t>
            </w:r>
          </w:p>
        </w:tc>
        <w:tc>
          <w:tcPr>
            <w:tcW w:w="1901" w:type="dxa"/>
          </w:tcPr>
          <w:p>
            <w:pPr/>
            <w:r>
              <w:t xml:space="preserve">Rumpf, Deckel, Fahne</w:t>
            </w:r>
          </w:p>
        </w:tc>
      </w:tr>
      <w:tr>
        <w:tc>
          <w:tcPr>
            <w:tcW w:w="2510" w:type="dxa"/>
          </w:tcPr>
          <w:p>
            <w:pPr/>
            <w:r>
              <w:rPr>
                <w:rStyle w:val="CodeChar"/>
              </w:rPr>
              <w:t xml:space="preserve">Wheel_Front_Left</w:t>
            </w:r>
            <w:r>
              <w:t xml:space="preserve"> / </w:t>
            </w:r>
            <w:r>
              <w:rPr>
                <w:rStyle w:val="CodeChar"/>
              </w:rPr>
              <w:t xml:space="preserve">_Right</w:t>
            </w:r>
          </w:p>
        </w:tc>
        <w:tc>
          <w:tcPr>
            <w:tcW w:w="2371" w:type="dxa"/>
          </w:tcPr>
          <w:p>
            <w:pPr/>
            <w:r>
              <w:t xml:space="preserve">±19,1 / ±25,65 / 9,05</w:t>
            </w:r>
          </w:p>
        </w:tc>
        <w:tc>
          <w:tcPr>
            <w:tcW w:w="2578" w:type="dxa"/>
          </w:tcPr>
          <w:p>
            <w:pPr/>
            <w:r>
              <w:t xml:space="preserve">Vorderräder, gelenkt und angetrieben</w:t>
            </w:r>
          </w:p>
        </w:tc>
        <w:tc>
          <w:tcPr>
            <w:tcW w:w="1901" w:type="dxa"/>
          </w:tcPr>
          <w:p>
            <w:pPr/>
            <w:r>
              <w:t xml:space="preserve">je Rad 100 %</w:t>
            </w:r>
          </w:p>
        </w:tc>
      </w:tr>
      <w:tr>
        <w:tc>
          <w:tcPr>
            <w:tcW w:w="2510" w:type="dxa"/>
          </w:tcPr>
          <w:p>
            <w:pPr/>
            <w:r>
              <w:rPr>
                <w:rStyle w:val="CodeChar"/>
              </w:rPr>
              <w:t xml:space="preserve">Wheel_Middle_Left</w:t>
            </w:r>
            <w:r>
              <w:t xml:space="preserve"> / </w:t>
            </w:r>
            <w:r>
              <w:rPr>
                <w:rStyle w:val="CodeChar"/>
              </w:rPr>
              <w:t xml:space="preserve">_Right</w:t>
            </w:r>
          </w:p>
        </w:tc>
        <w:tc>
          <w:tcPr>
            <w:tcW w:w="2371" w:type="dxa"/>
          </w:tcPr>
          <w:p>
            <w:pPr/>
            <w:r>
              <w:t xml:space="preserve">0 / ±25,65 / 9,05</w:t>
            </w:r>
          </w:p>
        </w:tc>
        <w:tc>
          <w:tcPr>
            <w:tcW w:w="2578" w:type="dxa"/>
          </w:tcPr>
          <w:p>
            <w:pPr/>
            <w:r>
              <w:t xml:space="preserve">Mittelräder, nur Optik</w:t>
            </w:r>
          </w:p>
        </w:tc>
        <w:tc>
          <w:tcPr>
            <w:tcW w:w="1901" w:type="dxa"/>
          </w:tcPr>
          <w:p>
            <w:pPr/>
            <w:r>
              <w:t xml:space="preserve">je Rad 100 %</w:t>
            </w:r>
          </w:p>
        </w:tc>
      </w:tr>
      <w:tr>
        <w:tc>
          <w:tcPr>
            <w:tcW w:w="2510" w:type="dxa"/>
          </w:tcPr>
          <w:p>
            <w:pPr/>
            <w:r>
              <w:rPr>
                <w:rStyle w:val="CodeChar"/>
              </w:rPr>
              <w:t xml:space="preserve">Wheel_Rear_Left</w:t>
            </w:r>
            <w:r>
              <w:t xml:space="preserve"> / </w:t>
            </w:r>
            <w:r>
              <w:rPr>
                <w:rStyle w:val="CodeChar"/>
              </w:rPr>
              <w:t xml:space="preserve">_Right</w:t>
            </w:r>
          </w:p>
        </w:tc>
        <w:tc>
          <w:tcPr>
            <w:tcW w:w="2371" w:type="dxa"/>
          </w:tcPr>
          <w:p>
            <w:pPr/>
            <w:r>
              <w:t xml:space="preserve">−19,1 / ±25,65 / 9,05</w:t>
            </w:r>
          </w:p>
        </w:tc>
        <w:tc>
          <w:tcPr>
            <w:tcW w:w="2578" w:type="dxa"/>
          </w:tcPr>
          <w:p>
            <w:pPr/>
            <w:r>
              <w:t xml:space="preserve">Hinterräder</w:t>
            </w:r>
          </w:p>
        </w:tc>
        <w:tc>
          <w:tcPr>
            <w:tcW w:w="1901" w:type="dxa"/>
          </w:tcPr>
          <w:p>
            <w:pPr/>
            <w:r>
              <w:t xml:space="preserve">je Rad 100 %</w:t>
            </w:r>
          </w:p>
        </w:tc>
      </w:tr>
    </w:tbl>
    <w:p>
      <w:pPr/>
      <w:r>
        <w:t xml:space="preserve">Alle Rad-Bones hängen direkt unter </w:t>
      </w:r>
      <w:r>
        <w:rPr>
          <w:rStyle w:val="CodeChar"/>
        </w:rPr>
        <w:t xml:space="preserve">VehicleBase</w:t>
      </w:r>
      <w:r>
        <w:t xml:space="preserve"> (Hierarchietiefe 2). Positive Y-Werte sind in Blender links.</w:t>
      </w:r>
    </w:p>
    <w:p>
      <w:pPr/>
      <w:r>
        <w:rPr>
          <w:b/>
        </w:rPr>
        <w:t xml:space="preserve">Bone-Ausrichtung – die wichtigste Einstellung</w:t>
      </w:r>
    </w:p>
    <w:p>
      <w:pPr>
        <w:pStyle w:val="ListParagraph"/>
        <w:numPr>
          <w:ilvl w:val="0"/>
          <w:numId w:val="3"/>
        </w:numPr>
      </w:pPr>
      <w:r>
        <w:t xml:space="preserve">Jeder Bone: Tail = Head + (0, 15, 0) cm, also Richtung +Y, Roll = 0°. Damit ist sein lokales Achsenkreuz identisch mit dem des Modells.</w:t>
      </w:r>
    </w:p>
    <w:p>
      <w:pPr>
        <w:pStyle w:val="ListParagraph"/>
        <w:numPr>
          <w:ilvl w:val="0"/>
          <w:numId w:val="3"/>
        </w:numPr>
      </w:pPr>
      <w:r>
        <w:t xml:space="preserve">Früher zeigten die Bones nach oben (+Z). In Unreal war </w:t>
      </w:r>
      <w:r>
        <w:rPr>
          <w:rStyle w:val="CodeChar"/>
        </w:rPr>
        <w:t xml:space="preserve">VehicleBase</w:t>
      </w:r>
      <w:r>
        <w:t xml:space="preserve"> dadurch um 90° gekippt. PhysX nutzt diesen Bone als Fahrzeug-Koordinatensystem, die Federungs-Raycasts gingen seitwärts, und der Bot fuhr nicht.</w:t>
      </w:r>
    </w:p>
    <w:p>
      <w:pPr/>
      <w:r>
        <w:rPr>
          <w:b/>
        </w:rPr>
        <w:t xml:space="preserve">Maßstab</w:t>
      </w:r>
    </w:p>
    <w:p>
      <w:pPr>
        <w:pStyle w:val="ListParagraph"/>
        <w:numPr>
          <w:ilvl w:val="0"/>
          <w:numId w:val="4"/>
        </w:numPr>
      </w:pPr>
      <w:r>
        <w:t xml:space="preserve">Szene: Unit System Metric, Unit Scale 0,01. Mesh-Daten und Bones sind auf Zentimeter-Werte skaliert, alle Objekt-Skalierungen stehen auf 1.</w:t>
      </w:r>
    </w:p>
    <w:p>
      <w:pPr>
        <w:pStyle w:val="ListParagraph"/>
        <w:numPr>
          <w:ilvl w:val="0"/>
          <w:numId w:val="4"/>
        </w:numPr>
      </w:pPr>
      <w:r>
        <w:t xml:space="preserve">Das Mesh darf beim Speichern nicht im Edit Mode sein, sonst überschreibt Blender die skalierten Daten beim Export wieder.</w:t>
      </w:r>
    </w:p>
    <w:p>
      <w:pPr/>
      <w:r>
        <w:rPr>
          <w:b/>
        </w:rPr>
        <w:t xml:space="preserve">FBX-Export</w:t>
      </w:r>
      <w:r>
        <w:t xml:space="preserve"> (</w:t>
      </w:r>
      <w:r>
        <w:rPr>
          <w:rStyle w:val="CodeChar"/>
        </w:rPr>
        <w:t xml:space="preserve">starship_carla_v4.fbx</w:t>
      </w:r>
      <w:r>
        <w:t xml:space="preserve">)</w:t>
      </w:r>
    </w:p>
    <w:tbl>
      <w:tblPr>
        <w:tblStyle w:val="TableGrid"/>
        <w:tblW w:w="0" w:type="auto"/>
        <w:tblLayout w:type="fixed"/>
        <w:tblLook w:val="04A0" w:firstRow="1" w:lastRow="0" w:firstColumn="0" w:lastColumn="0" w:noHBand="0" w:noVBand="1"/>
      </w:tblPr>
      <w:tblGrid>
        <w:gridCol w:w="3932"/>
        <w:gridCol w:w="5427"/>
      </w:tblGrid>
      <w:tr>
        <w:trPr>
          <w:tblHeader/>
        </w:trPr>
        <w:tc>
          <w:tcPr>
            <w:tcW w:w="3932" w:type="dxa"/>
            <w:shd w:val="clear" w:color="auto" w:fill="F2F2F2"/>
          </w:tcPr>
          <w:p>
            <w:pPr/>
            <w:r>
              <w:t xml:space="preserve">Einstellung</w:t>
            </w:r>
          </w:p>
        </w:tc>
        <w:tc>
          <w:tcPr>
            <w:tcW w:w="5427" w:type="dxa"/>
            <w:shd w:val="clear" w:color="auto" w:fill="F2F2F2"/>
          </w:tcPr>
          <w:p>
            <w:pPr/>
            <w:r>
              <w:t xml:space="preserve">Wert</w:t>
            </w:r>
          </w:p>
        </w:tc>
      </w:tr>
      <w:tr>
        <w:tc>
          <w:tcPr>
            <w:tcW w:w="3932" w:type="dxa"/>
          </w:tcPr>
          <w:p>
            <w:pPr/>
            <w:r>
              <w:t xml:space="preserve">Selected Objects</w:t>
            </w:r>
          </w:p>
        </w:tc>
        <w:tc>
          <w:tcPr>
            <w:tcW w:w="5427" w:type="dxa"/>
          </w:tcPr>
          <w:p>
            <w:pPr/>
            <w:r>
              <w:t xml:space="preserve">an (Armature + </w:t>
            </w:r>
            <w:r>
              <w:rPr>
                <w:rStyle w:val="CodeChar"/>
              </w:rPr>
              <w:t xml:space="preserve">SM_Starship</w:t>
            </w:r>
            <w:r>
              <w:t xml:space="preserve">)</w:t>
            </w:r>
          </w:p>
        </w:tc>
      </w:tr>
      <w:tr>
        <w:tc>
          <w:tcPr>
            <w:tcW w:w="3932" w:type="dxa"/>
          </w:tcPr>
          <w:p>
            <w:pPr/>
            <w:r>
              <w:t xml:space="preserve">Object Types</w:t>
            </w:r>
          </w:p>
        </w:tc>
        <w:tc>
          <w:tcPr>
            <w:tcW w:w="5427" w:type="dxa"/>
          </w:tcPr>
          <w:p>
            <w:pPr/>
            <w:r>
              <w:t xml:space="preserve">Armature, Mesh</w:t>
            </w:r>
          </w:p>
        </w:tc>
      </w:tr>
      <w:tr>
        <w:tc>
          <w:tcPr>
            <w:tcW w:w="3932" w:type="dxa"/>
          </w:tcPr>
          <w:p>
            <w:pPr/>
            <w:r>
              <w:t xml:space="preserve">Apply Unit</w:t>
            </w:r>
          </w:p>
        </w:tc>
        <w:tc>
          <w:tcPr>
            <w:tcW w:w="5427" w:type="dxa"/>
          </w:tcPr>
          <w:p>
            <w:pPr/>
            <w:r>
              <w:t xml:space="preserve">an</w:t>
            </w:r>
          </w:p>
        </w:tc>
      </w:tr>
      <w:tr>
        <w:tc>
          <w:tcPr>
            <w:tcW w:w="3932" w:type="dxa"/>
          </w:tcPr>
          <w:p>
            <w:pPr/>
            <w:r>
              <w:t xml:space="preserve">Apply Scalings</w:t>
            </w:r>
          </w:p>
        </w:tc>
        <w:tc>
          <w:tcPr>
            <w:tcW w:w="5427" w:type="dxa"/>
          </w:tcPr>
          <w:p>
            <w:pPr/>
            <w:r>
              <w:t xml:space="preserve">FBX Units Scale → </w:t>
            </w:r>
            <w:r>
              <w:rPr>
                <w:i/>
              </w:rPr>
              <w:t xml:space="preserve">All Local</w:t>
            </w:r>
            <w:r>
              <w:t xml:space="preserve"> (</w:t>
            </w:r>
            <w:r>
              <w:rPr>
                <w:rStyle w:val="CodeChar"/>
              </w:rPr>
              <w:t xml:space="preserve">FBX_SCALE_NONE</w:t>
            </w:r>
            <w:r>
              <w:t xml:space="preserve">), Scale 1,0</w:t>
            </w:r>
          </w:p>
        </w:tc>
      </w:tr>
      <w:tr>
        <w:tc>
          <w:tcPr>
            <w:tcW w:w="3932" w:type="dxa"/>
          </w:tcPr>
          <w:p>
            <w:pPr/>
            <w:r>
              <w:t xml:space="preserve">Forward / Up</w:t>
            </w:r>
          </w:p>
        </w:tc>
        <w:tc>
          <w:tcPr>
            <w:tcW w:w="5427" w:type="dxa"/>
          </w:tcPr>
          <w:p>
            <w:pPr/>
            <w:r>
              <w:t xml:space="preserve">−Z Forward / Y Up</w:t>
            </w:r>
          </w:p>
        </w:tc>
      </w:tr>
      <w:tr>
        <w:tc>
          <w:tcPr>
            <w:tcW w:w="3932" w:type="dxa"/>
          </w:tcPr>
          <w:p>
            <w:pPr/>
            <w:r>
              <w:t xml:space="preserve">Primary / Secondary Bone Axis</w:t>
            </w:r>
          </w:p>
        </w:tc>
        <w:tc>
          <w:tcPr>
            <w:tcW w:w="5427" w:type="dxa"/>
          </w:tcPr>
          <w:p>
            <w:pPr/>
            <w:r>
              <w:t xml:space="preserve">Y / X</w:t>
            </w:r>
          </w:p>
        </w:tc>
      </w:tr>
      <w:tr>
        <w:tc>
          <w:tcPr>
            <w:tcW w:w="3932" w:type="dxa"/>
          </w:tcPr>
          <w:p>
            <w:pPr/>
            <w:r>
              <w:t xml:space="preserve">Add Leaf Bones</w:t>
            </w:r>
          </w:p>
        </w:tc>
        <w:tc>
          <w:tcPr>
            <w:tcW w:w="5427" w:type="dxa"/>
          </w:tcPr>
          <w:p>
            <w:pPr/>
            <w:r>
              <w:t xml:space="preserve">aus</w:t>
            </w:r>
          </w:p>
        </w:tc>
      </w:tr>
      <w:tr>
        <w:tc>
          <w:tcPr>
            <w:tcW w:w="3932" w:type="dxa"/>
          </w:tcPr>
          <w:p>
            <w:pPr/>
            <w:r>
              <w:t xml:space="preserve">Only Deform Bones</w:t>
            </w:r>
          </w:p>
        </w:tc>
        <w:tc>
          <w:tcPr>
            <w:tcW w:w="5427" w:type="dxa"/>
          </w:tcPr>
          <w:p>
            <w:pPr/>
            <w:r>
              <w:t xml:space="preserve">aus</w:t>
            </w:r>
          </w:p>
        </w:tc>
      </w:tr>
      <w:tr>
        <w:tc>
          <w:tcPr>
            <w:tcW w:w="3932" w:type="dxa"/>
          </w:tcPr>
          <w:p>
            <w:pPr/>
            <w:r>
              <w:t xml:space="preserve">Bake Animation</w:t>
            </w:r>
          </w:p>
        </w:tc>
        <w:tc>
          <w:tcPr>
            <w:tcW w:w="5427" w:type="dxa"/>
          </w:tcPr>
          <w:p>
            <w:pPr/>
            <w:r>
              <w:t xml:space="preserve">aus</w:t>
            </w:r>
          </w:p>
        </w:tc>
      </w:tr>
      <w:tr>
        <w:tc>
          <w:tcPr>
            <w:tcW w:w="3932" w:type="dxa"/>
          </w:tcPr>
          <w:p>
            <w:pPr/>
            <w:r>
              <w:t xml:space="preserve">Smoothing</w:t>
            </w:r>
          </w:p>
        </w:tc>
        <w:tc>
          <w:tcPr>
            <w:tcW w:w="5427" w:type="dxa"/>
          </w:tcPr>
          <w:p>
            <w:pPr/>
            <w:r>
              <w:t xml:space="preserve">Face</w:t>
            </w:r>
          </w:p>
        </w:tc>
      </w:tr>
    </w:tbl>
    <w:p>
      <w:pPr/>
      <w:r>
        <w:t xml:space="preserve">Prüfung im FBX: </w:t>
      </w:r>
      <w:r>
        <w:rPr>
          <w:rStyle w:val="CodeChar"/>
        </w:rPr>
        <w:t xml:space="preserve">UnitScaleFactor</w:t>
      </w:r>
      <w:r>
        <w:t xml:space="preserve"> = 1,0, keine </w:t>
      </w:r>
      <w:r>
        <w:rPr>
          <w:rStyle w:val="CodeChar"/>
        </w:rPr>
        <w:t xml:space="preserve">Lcl Scaling</w:t>
      </w:r>
      <w:r>
        <w:t xml:space="preserve">-Werte und keine </w:t>
      </w:r>
      <w:r>
        <w:rPr>
          <w:rStyle w:val="CodeChar"/>
        </w:rPr>
        <w:t xml:space="preserve">Lcl Rotation</w:t>
      </w:r>
      <w:r>
        <w:t xml:space="preserve"> an den Bones. Die Armature heißt bewusst </w:t>
      </w:r>
      <w:r>
        <w:rPr>
          <w:rStyle w:val="CodeChar"/>
        </w:rPr>
        <w:t xml:space="preserve">Armature</w:t>
      </w:r>
      <w:r>
        <w:t xml:space="preserve">. Unreal überspringt diesen Knoten, sodass </w:t>
      </w:r>
      <w:r>
        <w:rPr>
          <w:rStyle w:val="CodeChar"/>
        </w:rPr>
        <w:t xml:space="preserve">VehicleBase</w:t>
      </w:r>
      <w:r>
        <w:t xml:space="preserve"> der Root-Bone wird.</w:t>
      </w:r>
    </w:p>
    <w:p>
      <w:pPr>
        <w:pStyle w:val="Heading3"/>
      </w:pPr>
      <w:r>
        <w:t xml:space="preserve">Eigenes Design: HKA-Lieferroboter</w:t>
      </w:r>
    </w:p>
    <w:p>
      <w:pPr/>
      <w:r>
        <w:t xml:space="preserve">Das Modell trägt jetzt ein eigenes Erscheinungsbild mit rotem „HKA“ an beiden Seiten. So ist es optisch klar vom Starship-Original abgegrenzt. Rumpfmaße und Skelett blieben gleich, damit Physik, Rad-Animation und Sensorpositionen weiter passen.</w:t>
      </w:r>
    </w:p>
    <w:tbl>
      <w:tblPr>
        <w:tblStyle w:val="TableGrid"/>
        <w:tblW w:w="0" w:type="auto"/>
        <w:tblLayout w:type="fixed"/>
        <w:tblLook w:val="04A0" w:firstRow="1" w:lastRow="0" w:firstColumn="0" w:lastColumn="0" w:noHBand="0" w:noVBand="1"/>
      </w:tblPr>
      <w:tblGrid>
        <w:gridCol w:w="1160"/>
        <w:gridCol w:w="3280"/>
        <w:gridCol w:w="4920"/>
      </w:tblGrid>
      <w:tr>
        <w:trPr>
          <w:tblHeader/>
        </w:trPr>
        <w:tc>
          <w:tcPr>
            <w:tcW w:w="1160" w:type="dxa"/>
            <w:shd w:val="clear" w:color="auto" w:fill="F2F2F2"/>
          </w:tcPr>
          <w:p>
            <w:pPr/>
            <w:r>
              <w:t xml:space="preserve">Merkmal</w:t>
            </w:r>
          </w:p>
        </w:tc>
        <w:tc>
          <w:tcPr>
            <w:tcW w:w="3280" w:type="dxa"/>
            <w:shd w:val="clear" w:color="auto" w:fill="F2F2F2"/>
          </w:tcPr>
          <w:p>
            <w:pPr/>
            <w:r>
              <w:t xml:space="preserve">Starship-Vorbild</w:t>
            </w:r>
          </w:p>
        </w:tc>
        <w:tc>
          <w:tcPr>
            <w:tcW w:w="4920" w:type="dxa"/>
            <w:shd w:val="clear" w:color="auto" w:fill="F2F2F2"/>
          </w:tcPr>
          <w:p>
            <w:pPr/>
            <w:r>
              <w:t xml:space="preserve">HKA-Modell</w:t>
            </w:r>
          </w:p>
        </w:tc>
      </w:tr>
      <w:tr>
        <w:tc>
          <w:tcPr>
            <w:tcW w:w="1160" w:type="dxa"/>
          </w:tcPr>
          <w:p>
            <w:pPr/>
            <w:r>
              <w:t xml:space="preserve">Farben</w:t>
            </w:r>
          </w:p>
        </w:tc>
        <w:tc>
          <w:tcPr>
            <w:tcW w:w="3280" w:type="dxa"/>
          </w:tcPr>
          <w:p>
            <w:pPr/>
            <w:r>
              <w:t xml:space="preserve">weißer Rumpf, schwarzer Unterbau</w:t>
            </w:r>
          </w:p>
        </w:tc>
        <w:tc>
          <w:tcPr>
            <w:tcW w:w="4920" w:type="dxa"/>
          </w:tcPr>
          <w:p>
            <w:pPr/>
            <w:r>
              <w:t xml:space="preserve">anthrazitgrauer Rumpf, hellgrauer Deckel, rote Akzente</w:t>
            </w:r>
          </w:p>
        </w:tc>
      </w:tr>
      <w:tr>
        <w:tc>
          <w:tcPr>
            <w:tcW w:w="1160" w:type="dxa"/>
          </w:tcPr>
          <w:p>
            <w:pPr/>
            <w:r>
              <w:t xml:space="preserve">Antenne</w:t>
            </w:r>
          </w:p>
        </w:tc>
        <w:tc>
          <w:tcPr>
            <w:tcW w:w="3280" w:type="dxa"/>
          </w:tcPr>
          <w:p>
            <w:pPr/>
            <w:r>
              <w:t xml:space="preserve">hohe Stange mit orangefarbener Fahne</w:t>
            </w:r>
          </w:p>
        </w:tc>
        <w:tc>
          <w:tcPr>
            <w:tcW w:w="4920" w:type="dxa"/>
          </w:tcPr>
          <w:p>
            <w:pPr/>
            <w:r>
              <w:t xml:space="preserve">kürzere Antenne (62 cm) mit rotem Signallicht</w:t>
            </w:r>
          </w:p>
        </w:tc>
      </w:tr>
      <w:tr>
        <w:tc>
          <w:tcPr>
            <w:tcW w:w="1160" w:type="dxa"/>
          </w:tcPr>
          <w:p>
            <w:pPr/>
            <w:r>
              <w:t xml:space="preserve">Front</w:t>
            </w:r>
          </w:p>
        </w:tc>
        <w:tc>
          <w:tcPr>
            <w:tcW w:w="3280" w:type="dxa"/>
          </w:tcPr>
          <w:p>
            <w:pPr/>
            <w:r>
              <w:t xml:space="preserve">glatt</w:t>
            </w:r>
          </w:p>
        </w:tc>
        <w:tc>
          <w:tcPr>
            <w:tcW w:w="4920" w:type="dxa"/>
          </w:tcPr>
          <w:p>
            <w:pPr/>
            <w:r>
              <w:t xml:space="preserve">rotes Lichtband auf 31 cm Höhe</w:t>
            </w:r>
          </w:p>
        </w:tc>
      </w:tr>
      <w:tr>
        <w:tc>
          <w:tcPr>
            <w:tcW w:w="1160" w:type="dxa"/>
          </w:tcPr>
          <w:p>
            <w:pPr/>
            <w:r>
              <w:t xml:space="preserve">Seiten</w:t>
            </w:r>
          </w:p>
        </w:tc>
        <w:tc>
          <w:tcPr>
            <w:tcW w:w="3280" w:type="dxa"/>
          </w:tcPr>
          <w:p>
            <w:pPr/>
            <w:r>
              <w:t xml:space="preserve">glatt</w:t>
            </w:r>
          </w:p>
        </w:tc>
        <w:tc>
          <w:tcPr>
            <w:tcW w:w="4920" w:type="dxa"/>
          </w:tcPr>
          <w:p>
            <w:pPr/>
            <w:r>
              <w:t xml:space="preserve">Schriftzug „HKA“ in Rot (11 cm hoch), schwarze Rammschutzleisten</w:t>
            </w:r>
          </w:p>
        </w:tc>
      </w:tr>
      <w:tr>
        <w:tc>
          <w:tcPr>
            <w:tcW w:w="1160" w:type="dxa"/>
          </w:tcPr>
          <w:p>
            <w:pPr/>
            <w:r>
              <w:t xml:space="preserve">Deckel</w:t>
            </w:r>
          </w:p>
        </w:tc>
        <w:tc>
          <w:tcPr>
            <w:tcW w:w="3280" w:type="dxa"/>
          </w:tcPr>
          <w:p>
            <w:pPr/>
            <w:r>
              <w:t xml:space="preserve">glatt</w:t>
            </w:r>
          </w:p>
        </w:tc>
        <w:tc>
          <w:tcPr>
            <w:tcW w:w="4920" w:type="dxa"/>
          </w:tcPr>
          <w:p>
            <w:pPr/>
            <w:r>
              <w:t xml:space="preserve">Griffleiste</w:t>
            </w:r>
          </w:p>
        </w:tc>
      </w:tr>
    </w:tbl>
    <w:p>
      <w:pPr/>
      <w:r>
        <w:t xml:space="preserve">Dateien: </w:t>
      </w:r>
      <w:r>
        <w:rPr>
          <w:rStyle w:val="CodeChar"/>
        </w:rPr>
        <w:t xml:space="preserve">starship_hka_v5.blend</w:t>
      </w:r>
      <w:r>
        <w:t xml:space="preserve"> und </w:t>
      </w:r>
      <w:r>
        <w:rPr>
          <w:rStyle w:val="CodeChar"/>
        </w:rPr>
        <w:t xml:space="preserve">starship_hka_v5.fbx</w:t>
      </w:r>
      <w:r>
        <w:t xml:space="preserve">; in Unreal </w:t>
      </w:r>
      <w:r>
        <w:rPr>
          <w:rStyle w:val="CodeChar"/>
        </w:rPr>
        <w:t xml:space="preserve">SK_Starship_Mesh_HKA</w:t>
      </w:r>
      <w:r>
        <w:t xml:space="preserve"> mit neuen Materialien </w:t>
      </w:r>
      <w:r>
        <w:rPr>
          <w:rStyle w:val="CodeChar"/>
        </w:rPr>
        <w:t xml:space="preserve">hka_body</w:t>
      </w:r>
      <w:r>
        <w:t xml:space="preserve">, </w:t>
      </w:r>
      <w:r>
        <w:rPr>
          <w:rStyle w:val="CodeChar"/>
        </w:rPr>
        <w:t xml:space="preserve">hka_red</w:t>
      </w:r>
      <w:r>
        <w:t xml:space="preserve">, </w:t>
      </w:r>
      <w:r>
        <w:rPr>
          <w:rStyle w:val="CodeChar"/>
        </w:rPr>
        <w:t xml:space="preserve">hka_lid</w:t>
      </w:r>
      <w:r>
        <w:t xml:space="preserve">. Das Modell nutzt dasselbe Skelett wie v4, Physics Asset und AnimBP gelten unverändert.</w:t>
      </w:r>
    </w:p>
    <w:p>
      <w:pPr/>
      <w:r>
        <w:drawing>
          <wp:inline distT="0" distB="0" distL="0" distR="0">
            <wp:extent cx="5486400" cy="3918857"/>
            <wp:docPr id="2" name="image2" descr="HKA-Lieferroboter in Blender, Ansicht schräg von vorne links"/>
            <a:graphic xmlns:a="http://schemas.openxmlformats.org/drawingml/2006/main">
              <a:graphicData uri="http://schemas.openxmlformats.org/drawingml/2006/picture">
                <pic:pic xmlns:pic="http://schemas.openxmlformats.org/drawingml/2006/picture">
                  <pic:nvPicPr>
                    <pic:cNvPr id="2" name="image2" descr="HKA-Lieferroboter in Blender, Ansicht schräg von vorne links"/>
                    <pic:cNvPicPr/>
                  </pic:nvPicPr>
                  <pic:blipFill>
                    <a:blip r:embed="rId4"/>
                    <a:stretch>
                      <a:fillRect/>
                    </a:stretch>
                  </pic:blipFill>
                  <pic:spPr>
                    <a:xfrm>
                      <a:off x="0" y="0"/>
                      <a:ext cx="5486400" cy="3918857"/>
                    </a:xfrm>
                    <a:prstGeom prst="rect">
                      <a:avLst/>
                    </a:prstGeom>
                  </pic:spPr>
                </pic:pic>
              </a:graphicData>
            </a:graphic>
          </wp:inline>
        </w:drawing>
      </w:r>
    </w:p>
    <w:p>
      <w:pPr/>
      <w:r>
        <w:drawing>
          <wp:inline distT="0" distB="0" distL="0" distR="0">
            <wp:extent cx="5486400" cy="3918857"/>
            <wp:docPr id="3" name="image3" descr="HKA-Lieferroboter in Blender, Seitenansicht rechts mit rotem HKA-Schriftzug"/>
            <a:graphic xmlns:a="http://schemas.openxmlformats.org/drawingml/2006/main">
              <a:graphicData uri="http://schemas.openxmlformats.org/drawingml/2006/picture">
                <pic:pic xmlns:pic="http://schemas.openxmlformats.org/drawingml/2006/picture">
                  <pic:nvPicPr>
                    <pic:cNvPr id="3" name="image3" descr="HKA-Lieferroboter in Blender, Seitenansicht rechts mit rotem HKA-Schriftzug"/>
                    <pic:cNvPicPr/>
                  </pic:nvPicPr>
                  <pic:blipFill>
                    <a:blip r:embed="rId5"/>
                    <a:stretch>
                      <a:fillRect/>
                    </a:stretch>
                  </pic:blipFill>
                  <pic:spPr>
                    <a:xfrm>
                      <a:off x="0" y="0"/>
                      <a:ext cx="5486400" cy="3918857"/>
                    </a:xfrm>
                    <a:prstGeom prst="rect">
                      <a:avLst/>
                    </a:prstGeom>
                  </pic:spPr>
                </pic:pic>
              </a:graphicData>
            </a:graphic>
          </wp:inline>
        </w:drawing>
      </w:r>
    </w:p>
    <w:p>
      <w:pPr/>
      <w:r>
        <w:t xml:space="preserve">Die Veränderungen betreffen die Gestaltung. Ob sie für eine Veröffentlichung urheber- und markenrechtlich ausreichen, ist eine Rechtsfrage und hier nicht geprüft.</w:t>
      </w:r>
    </w:p>
    <w:p>
      <w:pPr>
        <w:pStyle w:val="Heading2"/>
      </w:pPr>
      <w:r>
        <w:t xml:space="preserve">Unreal Engine: Assets und Einstellungen</w:t>
      </w:r>
    </w:p>
    <w:p>
      <w:pPr/>
      <w:r>
        <w:t xml:space="preserve">In Unreal besteht der Bot aus fünf Teilen: Skeletal Mesh, Physics Asset mit einer Box, Animation Blueprint für die Räder, vier Rad-Blueprints und dem Fahrzeug-Blueprint </w:t>
      </w:r>
      <w:r>
        <w:rPr>
          <w:rStyle w:val="CodeChar"/>
        </w:rPr>
        <w:t xml:space="preserve">BP_Starship</w:t>
      </w:r>
      <w:r>
        <w:t xml:space="preserve">. Alle liegen in </w:t>
      </w:r>
      <w:r>
        <w:rPr>
          <w:rStyle w:val="CodeChar"/>
        </w:rPr>
        <w:t xml:space="preserve">Content/Carla/vehicle3</w:t>
      </w:r>
      <w:r>
        <w:t xml:space="preserve">.</w:t>
      </w:r>
    </w:p>
    <w:p>
      <w:pPr>
        <w:pStyle w:val="Heading3"/>
      </w:pPr>
      <w:r>
        <w:t xml:space="preserve">1. Import des Skeletal Mesh</w:t>
      </w:r>
    </w:p>
    <w:tbl>
      <w:tblPr>
        <w:tblStyle w:val="TableGrid"/>
        <w:tblW w:w="0" w:type="auto"/>
        <w:tblLayout w:type="fixed"/>
        <w:tblLook w:val="04A0" w:firstRow="1" w:lastRow="0" w:firstColumn="0" w:lastColumn="0" w:noHBand="0" w:noVBand="1"/>
      </w:tblPr>
      <w:tblGrid>
        <w:gridCol w:w="4650"/>
        <w:gridCol w:w="4710"/>
      </w:tblGrid>
      <w:tr>
        <w:trPr>
          <w:tblHeader/>
        </w:trPr>
        <w:tc>
          <w:tcPr>
            <w:tcW w:w="4650" w:type="dxa"/>
            <w:shd w:val="clear" w:color="auto" w:fill="F2F2F2"/>
          </w:tcPr>
          <w:p>
            <w:pPr/>
            <w:r>
              <w:t xml:space="preserve">Option</w:t>
            </w:r>
          </w:p>
        </w:tc>
        <w:tc>
          <w:tcPr>
            <w:tcW w:w="4710" w:type="dxa"/>
            <w:shd w:val="clear" w:color="auto" w:fill="F2F2F2"/>
          </w:tcPr>
          <w:p>
            <w:pPr/>
            <w:r>
              <w:t xml:space="preserve">Wert</w:t>
            </w:r>
          </w:p>
        </w:tc>
      </w:tr>
      <w:tr>
        <w:tc>
          <w:tcPr>
            <w:tcW w:w="4650" w:type="dxa"/>
          </w:tcPr>
          <w:p>
            <w:pPr/>
            <w:r>
              <w:t xml:space="preserve">Import as Skeletal</w:t>
            </w:r>
          </w:p>
        </w:tc>
        <w:tc>
          <w:tcPr>
            <w:tcW w:w="4710" w:type="dxa"/>
          </w:tcPr>
          <w:p>
            <w:pPr/>
            <w:r>
              <w:t xml:space="preserve">an</w:t>
            </w:r>
          </w:p>
        </w:tc>
      </w:tr>
      <w:tr>
        <w:tc>
          <w:tcPr>
            <w:tcW w:w="4650" w:type="dxa"/>
          </w:tcPr>
          <w:p>
            <w:pPr/>
            <w:r>
              <w:t xml:space="preserve">Skeleton</w:t>
            </w:r>
          </w:p>
        </w:tc>
        <w:tc>
          <w:tcPr>
            <w:tcW w:w="4710" w:type="dxa"/>
          </w:tcPr>
          <w:p>
            <w:pPr/>
            <w:r>
              <w:t xml:space="preserve">leer (neues Skeleton anlegen)</w:t>
            </w:r>
          </w:p>
        </w:tc>
      </w:tr>
      <w:tr>
        <w:tc>
          <w:tcPr>
            <w:tcW w:w="4650" w:type="dxa"/>
          </w:tcPr>
          <w:p>
            <w:pPr/>
            <w:r>
              <w:t xml:space="preserve">Create Physics Asset</w:t>
            </w:r>
          </w:p>
        </w:tc>
        <w:tc>
          <w:tcPr>
            <w:tcW w:w="4710" w:type="dxa"/>
          </w:tcPr>
          <w:p>
            <w:pPr/>
            <w:r>
              <w:t xml:space="preserve">an (wird danach ersetzt)</w:t>
            </w:r>
          </w:p>
        </w:tc>
      </w:tr>
      <w:tr>
        <w:tc>
          <w:tcPr>
            <w:tcW w:w="4650" w:type="dxa"/>
          </w:tcPr>
          <w:p>
            <w:pPr/>
            <w:r>
              <w:t xml:space="preserve">Import Animations / Materials / Textures</w:t>
            </w:r>
          </w:p>
        </w:tc>
        <w:tc>
          <w:tcPr>
            <w:tcW w:w="4710" w:type="dxa"/>
          </w:tcPr>
          <w:p>
            <w:pPr/>
            <w:r>
              <w:t xml:space="preserve">aus (Materialien </w:t>
            </w:r>
            <w:r>
              <w:rPr>
                <w:rStyle w:val="CodeChar"/>
              </w:rPr>
              <w:t xml:space="preserve">orange</w:t>
            </w:r>
            <w:r>
              <w:t xml:space="preserve">, </w:t>
            </w:r>
            <w:r>
              <w:rPr>
                <w:rStyle w:val="CodeChar"/>
              </w:rPr>
              <w:t xml:space="preserve">white</w:t>
            </w:r>
            <w:r>
              <w:t xml:space="preserve">, </w:t>
            </w:r>
            <w:r>
              <w:rPr>
                <w:rStyle w:val="CodeChar"/>
              </w:rPr>
              <w:t xml:space="preserve">black</w:t>
            </w:r>
            <w:r>
              <w:t xml:space="preserve">, </w:t>
            </w:r>
            <w:r>
              <w:rPr>
                <w:rStyle w:val="CodeChar"/>
              </w:rPr>
              <w:t xml:space="preserve">dark_gray</w:t>
            </w:r>
            <w:r>
              <w:t xml:space="preserve"> existieren bereits)</w:t>
            </w:r>
          </w:p>
        </w:tc>
      </w:tr>
      <w:tr>
        <w:tc>
          <w:tcPr>
            <w:tcW w:w="4650" w:type="dxa"/>
          </w:tcPr>
          <w:p>
            <w:pPr/>
            <w:r>
              <w:t xml:space="preserve">Import Uniform Scale</w:t>
            </w:r>
          </w:p>
        </w:tc>
        <w:tc>
          <w:tcPr>
            <w:tcW w:w="4710" w:type="dxa"/>
          </w:tcPr>
          <w:p>
            <w:pPr/>
            <w:r>
              <w:t xml:space="preserve">1,0</w:t>
            </w:r>
          </w:p>
        </w:tc>
      </w:tr>
    </w:tbl>
    <w:p>
      <w:pPr/>
      <w:r>
        <w:t xml:space="preserve">Ergebnis: </w:t>
      </w:r>
      <w:r>
        <w:rPr>
          <w:rStyle w:val="CodeChar"/>
        </w:rPr>
        <w:t xml:space="preserve">SK_Starship_Mesh_v4</w:t>
      </w:r>
      <w:r>
        <w:t xml:space="preserve"> mit 7 Bones und den Bounds 56,5 × 57,9 × 87,7 cm. Ein Faktor 100 an dieser Stelle wäre ein Warnsignal für einen falschen Export.</w:t>
      </w:r>
    </w:p>
    <w:p>
      <w:pPr>
        <w:pStyle w:val="Heading3"/>
      </w:pPr>
      <w:r>
        <w:t xml:space="preserve">2. Physics Asset </w:t>
      </w:r>
      <w:r>
        <w:rPr>
          <w:rStyle w:val="CodeChar"/>
        </w:rPr>
        <w:t xml:space="preserve">PA_Starship_v4</w:t>
      </w:r>
    </w:p>
    <w:p>
      <w:pPr>
        <w:pStyle w:val="ListParagraph"/>
        <w:numPr>
          <w:ilvl w:val="0"/>
          <w:numId w:val="5"/>
        </w:numPr>
      </w:pPr>
      <w:r>
        <w:t xml:space="preserve">Genau ein Body auf </w:t>
      </w:r>
      <w:r>
        <w:rPr>
          <w:rStyle w:val="CodeChar"/>
        </w:rPr>
        <w:t xml:space="preserve">VehicleBase</w:t>
      </w:r>
      <w:r>
        <w:t xml:space="preserve">, eine Box, Physics Type </w:t>
      </w:r>
      <w:r>
        <w:rPr>
          <w:i/>
        </w:rPr>
        <w:t xml:space="preserve">Default</w:t>
      </w:r>
      <w:r>
        <w:t xml:space="preserve">.</w:t>
      </w:r>
    </w:p>
    <w:p>
      <w:pPr>
        <w:pStyle w:val="ListParagraph"/>
        <w:numPr>
          <w:ilvl w:val="0"/>
          <w:numId w:val="5"/>
        </w:numPr>
      </w:pPr>
      <w:r>
        <w:t xml:space="preserve">Box im Bone-Raum: Center (0, 0, 23,45) cm, X = 55, Y = 45, Z = 33 cm. In Weltkoordinaten reicht sie von 16 bis 49 cm über dem Boden.</w:t>
      </w:r>
    </w:p>
    <w:p>
      <w:pPr>
        <w:pStyle w:val="ListParagraph"/>
        <w:numPr>
          <w:ilvl w:val="0"/>
          <w:numId w:val="5"/>
        </w:numPr>
      </w:pPr>
      <w:r>
        <w:t xml:space="preserve">Die Räder haben keine eigenen Bodies. Sie tragen den Bot über die Federung, die Box berührt die Straße nie.</w:t>
      </w:r>
    </w:p>
    <w:p>
      <w:pPr>
        <w:pStyle w:val="ListParagraph"/>
        <w:numPr>
          <w:ilvl w:val="0"/>
          <w:numId w:val="5"/>
        </w:numPr>
      </w:pPr>
      <w:r>
        <w:t xml:space="preserve">Unreal 4.26 Python kann Physics-Asset-Bodies nicht bearbeiten. Die Box-Werte wurden deshalb direkt in der </w:t>
      </w:r>
      <w:r>
        <w:rPr>
          <w:rStyle w:val="CodeChar"/>
        </w:rPr>
        <w:t xml:space="preserve">.uasset</w:t>
      </w:r>
      <w:r>
        <w:t xml:space="preserve"> gesetzt; im Editor geht das über </w:t>
      </w:r>
      <w:r>
        <w:rPr>
          <w:i/>
        </w:rPr>
        <w:t xml:space="preserve">Body Setup → Primitives → Boxes</w:t>
      </w:r>
      <w:r>
        <w:t xml:space="preserve">.</w:t>
      </w:r>
    </w:p>
    <w:p>
      <w:pPr>
        <w:pStyle w:val="Heading3"/>
      </w:pPr>
      <w:r>
        <w:t xml:space="preserve">3. Animation Blueprint </w:t>
      </w:r>
      <w:r>
        <w:rPr>
          <w:rStyle w:val="CodeChar"/>
        </w:rPr>
        <w:t xml:space="preserve">AnimBP_Starship_v4</w:t>
      </w:r>
    </w:p>
    <w:p>
      <w:pPr/>
      <w:r>
        <w:t xml:space="preserve">Parent Class </w:t>
      </w:r>
      <w:r>
        <w:rPr>
          <w:i/>
        </w:rPr>
        <w:t xml:space="preserve">Vehicle Anim Instance</w:t>
      </w:r>
      <w:r>
        <w:t xml:space="preserve">, Skeleton </w:t>
      </w:r>
      <w:r>
        <w:rPr>
          <w:rStyle w:val="CodeChar"/>
        </w:rPr>
        <w:t xml:space="preserve">SK_Starship_v4_SM_Starship_Skeleton</w:t>
      </w:r>
      <w:r>
        <w:t xml:space="preserve">. AnimGraph:</w:t>
      </w:r>
    </w:p>
    <w:p>
      <w:pPr>
        <w:pStyle w:val="ListParagraph"/>
        <w:numPr>
          <w:ilvl w:val="0"/>
          <w:numId w:val="6"/>
        </w:numPr>
      </w:pPr>
      <w:r>
        <w:rPr>
          <w:b/>
        </w:rPr>
        <w:t xml:space="preserve">Mesh Space Ref Pose</w:t>
      </w:r>
    </w:p>
    <w:p>
      <w:pPr>
        <w:pStyle w:val="ListParagraph"/>
        <w:numPr>
          <w:ilvl w:val="0"/>
          <w:numId w:val="6"/>
        </w:numPr>
      </w:pPr>
      <w:r>
        <w:rPr>
          <w:b/>
        </w:rPr>
        <w:t xml:space="preserve">Wheel Handler</w:t>
      </w:r>
      <w:r>
        <w:t xml:space="preserve"> – dreht und lenkt die vier physikalischen Räder.</w:t>
      </w:r>
    </w:p>
    <w:p>
      <w:pPr>
        <w:pStyle w:val="ListParagraph"/>
        <w:numPr>
          <w:ilvl w:val="0"/>
          <w:numId w:val="6"/>
        </w:numPr>
      </w:pPr>
      <w:r>
        <w:rPr>
          <w:b/>
        </w:rPr>
        <w:t xml:space="preserve">Copy Bone</w:t>
      </w:r>
      <w:r>
        <w:t xml:space="preserve"> </w:t>
      </w:r>
      <w:r>
        <w:rPr>
          <w:rStyle w:val="CodeChar"/>
        </w:rPr>
        <w:t xml:space="preserve">Wheel_Rear_Right</w:t>
      </w:r>
      <w:r>
        <w:t xml:space="preserve"> → </w:t>
      </w:r>
      <w:r>
        <w:rPr>
          <w:rStyle w:val="CodeChar"/>
        </w:rPr>
        <w:t xml:space="preserve">Wheel_Middle_Right</w:t>
      </w:r>
      <w:r>
        <w:t xml:space="preserve"> (nur Rotation).</w:t>
      </w:r>
    </w:p>
    <w:p>
      <w:pPr>
        <w:pStyle w:val="ListParagraph"/>
        <w:numPr>
          <w:ilvl w:val="0"/>
          <w:numId w:val="6"/>
        </w:numPr>
      </w:pPr>
      <w:r>
        <w:rPr>
          <w:b/>
        </w:rPr>
        <w:t xml:space="preserve">Copy Bone</w:t>
      </w:r>
      <w:r>
        <w:t xml:space="preserve"> </w:t>
      </w:r>
      <w:r>
        <w:rPr>
          <w:rStyle w:val="CodeChar"/>
        </w:rPr>
        <w:t xml:space="preserve">Wheel_Rear_Left</w:t>
      </w:r>
      <w:r>
        <w:t xml:space="preserve"> → </w:t>
      </w:r>
      <w:r>
        <w:rPr>
          <w:rStyle w:val="CodeChar"/>
        </w:rPr>
        <w:t xml:space="preserve">Wheel_Middle_Left</w:t>
      </w:r>
      <w:r>
        <w:t xml:space="preserve"> (nur Rotation).</w:t>
      </w:r>
    </w:p>
    <w:p>
      <w:pPr>
        <w:pStyle w:val="ListParagraph"/>
        <w:numPr>
          <w:ilvl w:val="0"/>
          <w:numId w:val="6"/>
        </w:numPr>
      </w:pPr>
      <w:r>
        <w:rPr>
          <w:b/>
        </w:rPr>
        <w:t xml:space="preserve">Component To Local</w:t>
      </w:r>
      <w:r>
        <w:t xml:space="preserve"> → </w:t>
      </w:r>
      <w:r>
        <w:rPr>
          <w:b/>
        </w:rPr>
        <w:t xml:space="preserve">Output Pose</w:t>
      </w:r>
    </w:p>
    <w:p>
      <w:pPr/>
      <w:r>
        <w:t xml:space="preserve">PhysX simuliert nur vier Räder (</w:t>
      </w:r>
      <w:r>
        <w:rPr>
          <w:rStyle w:val="CodeChar"/>
        </w:rPr>
        <w:t xml:space="preserve">WheeledVehicleMovementComponent4W</w:t>
      </w:r>
      <w:r>
        <w:t xml:space="preserve">). Die Mittelräder drehen deshalb nur optisch mit den Hinterrädern mit.</w:t>
      </w:r>
    </w:p>
    <w:p>
      <w:pPr/>
      <w:r>
        <w:drawing>
          <wp:inline distT="0" distB="0" distL="0" distR="0">
            <wp:extent cx="5486400" cy="2250739"/>
            <wp:docPr id="4" name="image4" descr="AnimGraph von AnimBP_Starship_v4: Mesh Space Ref Pose, Wheel Handler, zwei Copy Bone, Component To Local, Output Pose"/>
            <a:graphic xmlns:a="http://schemas.openxmlformats.org/drawingml/2006/main">
              <a:graphicData uri="http://schemas.openxmlformats.org/drawingml/2006/picture">
                <pic:pic xmlns:pic="http://schemas.openxmlformats.org/drawingml/2006/picture">
                  <pic:nvPicPr>
                    <pic:cNvPr id="4" name="image4" descr="AnimGraph von AnimBP_Starship_v4: Mesh Space Ref Pose, Wheel Handler, zwei Copy Bone, Component To Local, Output Pose"/>
                    <pic:cNvPicPr/>
                  </pic:nvPicPr>
                  <pic:blipFill>
                    <a:blip r:embed="rId6"/>
                    <a:stretch>
                      <a:fillRect/>
                    </a:stretch>
                  </pic:blipFill>
                  <pic:spPr>
                    <a:xfrm>
                      <a:off x="0" y="0"/>
                      <a:ext cx="5486400" cy="2250739"/>
                    </a:xfrm>
                    <a:prstGeom prst="rect">
                      <a:avLst/>
                    </a:prstGeom>
                  </pic:spPr>
                </pic:pic>
              </a:graphicData>
            </a:graphic>
          </wp:inline>
        </w:drawing>
      </w:r>
    </w:p>
    <w:p>
      <w:pPr>
        <w:pStyle w:val="Heading3"/>
      </w:pPr>
      <w:r>
        <w:t xml:space="preserve">4. Rad-Blueprints </w:t>
      </w:r>
      <w:r>
        <w:rPr>
          <w:rStyle w:val="CodeChar"/>
        </w:rPr>
        <w:t xml:space="preserve">BP_Starship_FLW / FRW / RLW / RRW</w:t>
      </w:r>
    </w:p>
    <w:p>
      <w:pPr/>
      <w:r>
        <w:t xml:space="preserve">Parent Class </w:t>
      </w:r>
      <w:r>
        <w:rPr>
          <w:i/>
        </w:rPr>
        <w:t xml:space="preserve">VehicleWheel</w:t>
      </w:r>
      <w:r>
        <w:t xml:space="preserve">.</w:t>
      </w:r>
    </w:p>
    <w:tbl>
      <w:tblPr>
        <w:tblStyle w:val="TableGrid"/>
        <w:tblW w:w="0" w:type="auto"/>
        <w:tblLayout w:type="fixed"/>
        <w:tblLook w:val="04A0" w:firstRow="1" w:lastRow="0" w:firstColumn="0" w:lastColumn="0" w:noHBand="0" w:noVBand="1"/>
      </w:tblPr>
      <w:tblGrid>
        <w:gridCol w:w="4828"/>
        <w:gridCol w:w="2266"/>
        <w:gridCol w:w="2266"/>
      </w:tblGrid>
      <w:tr>
        <w:trPr>
          <w:tblHeader/>
        </w:trPr>
        <w:tc>
          <w:tcPr>
            <w:tcW w:w="4828" w:type="dxa"/>
            <w:shd w:val="clear" w:color="auto" w:fill="F2F2F2"/>
          </w:tcPr>
          <w:p>
            <w:pPr/>
            <w:r>
              <w:t xml:space="preserve">Einstellung</w:t>
            </w:r>
          </w:p>
        </w:tc>
        <w:tc>
          <w:tcPr>
            <w:tcW w:w="2266" w:type="dxa"/>
            <w:shd w:val="clear" w:color="auto" w:fill="F2F2F2"/>
          </w:tcPr>
          <w:p>
            <w:pPr/>
            <w:r>
              <w:t xml:space="preserve">Vorne (FLW, FRW)</w:t>
            </w:r>
          </w:p>
        </w:tc>
        <w:tc>
          <w:tcPr>
            <w:tcW w:w="2266" w:type="dxa"/>
            <w:shd w:val="clear" w:color="auto" w:fill="F2F2F2"/>
          </w:tcPr>
          <w:p>
            <w:pPr/>
            <w:r>
              <w:t xml:space="preserve">Hinten (RLW, RRW)</w:t>
            </w:r>
          </w:p>
        </w:tc>
      </w:tr>
      <w:tr>
        <w:tc>
          <w:tcPr>
            <w:tcW w:w="4828" w:type="dxa"/>
          </w:tcPr>
          <w:p>
            <w:pPr/>
            <w:r>
              <w:t xml:space="preserve">Shape Radius / Width</w:t>
            </w:r>
          </w:p>
        </w:tc>
        <w:tc>
          <w:tcPr>
            <w:tcW w:w="2266" w:type="dxa"/>
          </w:tcPr>
          <w:p>
            <w:pPr/>
            <w:r>
              <w:t xml:space="preserve">9 / 4 cm</w:t>
            </w:r>
          </w:p>
        </w:tc>
        <w:tc>
          <w:tcPr>
            <w:tcW w:w="2266" w:type="dxa"/>
          </w:tcPr>
          <w:p>
            <w:pPr/>
            <w:r>
              <w:t xml:space="preserve">9 / 4 cm</w:t>
            </w:r>
          </w:p>
        </w:tc>
      </w:tr>
      <w:tr>
        <w:tc>
          <w:tcPr>
            <w:tcW w:w="4828" w:type="dxa"/>
          </w:tcPr>
          <w:p>
            <w:pPr/>
            <w:r>
              <w:t xml:space="preserve">Mass</w:t>
            </w:r>
          </w:p>
        </w:tc>
        <w:tc>
          <w:tcPr>
            <w:tcW w:w="2266" w:type="dxa"/>
          </w:tcPr>
          <w:p>
            <w:pPr/>
            <w:r>
              <w:t xml:space="preserve">1 kg</w:t>
            </w:r>
          </w:p>
        </w:tc>
        <w:tc>
          <w:tcPr>
            <w:tcW w:w="2266" w:type="dxa"/>
          </w:tcPr>
          <w:p>
            <w:pPr/>
            <w:r>
              <w:t xml:space="preserve">1 kg</w:t>
            </w:r>
          </w:p>
        </w:tc>
      </w:tr>
      <w:tr>
        <w:tc>
          <w:tcPr>
            <w:tcW w:w="4828" w:type="dxa"/>
          </w:tcPr>
          <w:p>
            <w:pPr/>
            <w:r>
              <w:t xml:space="preserve">Steer Angle</w:t>
            </w:r>
          </w:p>
        </w:tc>
        <w:tc>
          <w:tcPr>
            <w:tcW w:w="2266" w:type="dxa"/>
          </w:tcPr>
          <w:p>
            <w:pPr/>
            <w:r>
              <w:t xml:space="preserve">30°</w:t>
            </w:r>
          </w:p>
        </w:tc>
        <w:tc>
          <w:tcPr>
            <w:tcW w:w="2266" w:type="dxa"/>
          </w:tcPr>
          <w:p>
            <w:pPr/>
            <w:r>
              <w:t xml:space="preserve">0°</w:t>
            </w:r>
          </w:p>
        </w:tc>
      </w:tr>
      <w:tr>
        <w:tc>
          <w:tcPr>
            <w:tcW w:w="4828" w:type="dxa"/>
          </w:tcPr>
          <w:p>
            <w:pPr/>
            <w:r>
              <w:t xml:space="preserve">Affected by Handbrake</w:t>
            </w:r>
          </w:p>
        </w:tc>
        <w:tc>
          <w:tcPr>
            <w:tcW w:w="2266" w:type="dxa"/>
          </w:tcPr>
          <w:p>
            <w:pPr/>
            <w:r>
              <w:t xml:space="preserve">aus</w:t>
            </w:r>
          </w:p>
        </w:tc>
        <w:tc>
          <w:tcPr>
            <w:tcW w:w="2266" w:type="dxa"/>
          </w:tcPr>
          <w:p>
            <w:pPr/>
            <w:r>
              <w:t xml:space="preserve">an</w:t>
            </w:r>
          </w:p>
        </w:tc>
      </w:tr>
      <w:tr>
        <w:tc>
          <w:tcPr>
            <w:tcW w:w="4828" w:type="dxa"/>
          </w:tcPr>
          <w:p>
            <w:pPr/>
            <w:r>
              <w:t xml:space="preserve">Max Brake / Handbrake Torque</w:t>
            </w:r>
          </w:p>
        </w:tc>
        <w:tc>
          <w:tcPr>
            <w:tcW w:w="2266" w:type="dxa"/>
          </w:tcPr>
          <w:p>
            <w:pPr/>
            <w:r>
              <w:t xml:space="preserve">20 / 40 Nm</w:t>
            </w:r>
          </w:p>
        </w:tc>
        <w:tc>
          <w:tcPr>
            <w:tcW w:w="2266" w:type="dxa"/>
          </w:tcPr>
          <w:p>
            <w:pPr/>
            <w:r>
              <w:t xml:space="preserve">20 / 40 Nm</w:t>
            </w:r>
          </w:p>
        </w:tc>
      </w:tr>
      <w:tr>
        <w:tc>
          <w:tcPr>
            <w:tcW w:w="4828" w:type="dxa"/>
          </w:tcPr>
          <w:p>
            <w:pPr/>
            <w:r>
              <w:t xml:space="preserve">Suspension Max Raise / Drop</w:t>
            </w:r>
          </w:p>
        </w:tc>
        <w:tc>
          <w:tcPr>
            <w:tcW w:w="2266" w:type="dxa"/>
          </w:tcPr>
          <w:p>
            <w:pPr/>
            <w:r>
              <w:t xml:space="preserve">2 / 2 cm</w:t>
            </w:r>
          </w:p>
        </w:tc>
        <w:tc>
          <w:tcPr>
            <w:tcW w:w="2266" w:type="dxa"/>
          </w:tcPr>
          <w:p>
            <w:pPr/>
            <w:r>
              <w:t xml:space="preserve">2 / 2 cm</w:t>
            </w:r>
          </w:p>
        </w:tc>
      </w:tr>
      <w:tr>
        <w:tc>
          <w:tcPr>
            <w:tcW w:w="4828" w:type="dxa"/>
          </w:tcPr>
          <w:p>
            <w:pPr/>
            <w:r>
              <w:t xml:space="preserve">Suspension Natural Frequency / Damping</w:t>
            </w:r>
          </w:p>
        </w:tc>
        <w:tc>
          <w:tcPr>
            <w:tcW w:w="2266" w:type="dxa"/>
          </w:tcPr>
          <w:p>
            <w:pPr/>
            <w:r>
              <w:t xml:space="preserve">9 Hz / 0,8</w:t>
            </w:r>
          </w:p>
        </w:tc>
        <w:tc>
          <w:tcPr>
            <w:tcW w:w="2266" w:type="dxa"/>
          </w:tcPr>
          <w:p>
            <w:pPr/>
            <w:r>
              <w:t xml:space="preserve">9 Hz / 0,8</w:t>
            </w:r>
          </w:p>
        </w:tc>
      </w:tr>
      <w:tr>
        <w:tc>
          <w:tcPr>
            <w:tcW w:w="4828" w:type="dxa"/>
          </w:tcPr>
          <w:p>
            <w:pPr/>
            <w:r>
              <w:t xml:space="preserve">Lat Stiff Max Load / Value, Long Stiff</w:t>
            </w:r>
          </w:p>
        </w:tc>
        <w:tc>
          <w:tcPr>
            <w:tcW w:w="2266" w:type="dxa"/>
          </w:tcPr>
          <w:p>
            <w:pPr/>
            <w:r>
              <w:t xml:space="preserve">1 / 17, 3000</w:t>
            </w:r>
          </w:p>
        </w:tc>
        <w:tc>
          <w:tcPr>
            <w:tcW w:w="2266" w:type="dxa"/>
          </w:tcPr>
          <w:p>
            <w:pPr/>
            <w:r>
              <w:t xml:space="preserve">1 / 17, 3000</w:t>
            </w:r>
          </w:p>
        </w:tc>
      </w:tr>
      <w:tr>
        <w:tc>
          <w:tcPr>
            <w:tcW w:w="4828" w:type="dxa"/>
          </w:tcPr>
          <w:p>
            <w:pPr/>
            <w:r>
              <w:t xml:space="preserve">Tire Config</w:t>
            </w:r>
          </w:p>
        </w:tc>
        <w:tc>
          <w:tcPr>
            <w:tcW w:w="2266" w:type="dxa"/>
          </w:tcPr>
          <w:p>
            <w:pPr/>
            <w:r>
              <w:rPr>
                <w:b/>
              </w:rPr>
              <w:t xml:space="preserve">CommonTireConfig</w:t>
            </w:r>
            <w:r>
              <w:t xml:space="preserve"> (CARLA)</w:t>
            </w:r>
          </w:p>
        </w:tc>
        <w:tc>
          <w:tcPr>
            <w:tcW w:w="2266" w:type="dxa"/>
          </w:tcPr>
          <w:p>
            <w:pPr/>
            <w:r>
              <w:rPr>
                <w:b/>
              </w:rPr>
              <w:t xml:space="preserve">CommonTireConfig</w:t>
            </w:r>
            <w:r>
              <w:t xml:space="preserve"> (CARLA)</w:t>
            </w:r>
          </w:p>
        </w:tc>
      </w:tr>
      <w:tr>
        <w:tc>
          <w:tcPr>
            <w:tcW w:w="4828" w:type="dxa"/>
          </w:tcPr>
          <w:p>
            <w:pPr/>
            <w:r>
              <w:t xml:space="preserve">Auto Adjust Collision Size</w:t>
            </w:r>
          </w:p>
        </w:tc>
        <w:tc>
          <w:tcPr>
            <w:tcW w:w="2266" w:type="dxa"/>
          </w:tcPr>
          <w:p>
            <w:pPr/>
            <w:r>
              <w:rPr>
                <w:b/>
              </w:rPr>
              <w:t xml:space="preserve">aus</w:t>
            </w:r>
          </w:p>
        </w:tc>
        <w:tc>
          <w:tcPr>
            <w:tcW w:w="2266" w:type="dxa"/>
          </w:tcPr>
          <w:p>
            <w:pPr/>
            <w:r>
              <w:rPr>
                <w:b/>
              </w:rPr>
              <w:t xml:space="preserve">aus</w:t>
            </w:r>
          </w:p>
        </w:tc>
      </w:tr>
      <w:tr>
        <w:tc>
          <w:tcPr>
            <w:tcW w:w="4828" w:type="dxa"/>
          </w:tcPr>
          <w:p>
            <w:pPr/>
            <w:r>
              <w:t xml:space="preserve">Dont Create Shape (im Editor: UsePhysAssetShape)</w:t>
            </w:r>
          </w:p>
        </w:tc>
        <w:tc>
          <w:tcPr>
            <w:tcW w:w="2266" w:type="dxa"/>
          </w:tcPr>
          <w:p>
            <w:pPr/>
            <w:r>
              <w:t xml:space="preserve">aus</w:t>
            </w:r>
          </w:p>
        </w:tc>
        <w:tc>
          <w:tcPr>
            <w:tcW w:w="2266" w:type="dxa"/>
          </w:tcPr>
          <w:p>
            <w:pPr/>
            <w:r>
              <w:t xml:space="preserve">aus</w:t>
            </w:r>
          </w:p>
        </w:tc>
      </w:tr>
    </w:tbl>
    <w:p>
      <w:pPr/>
      <w:r>
        <w:rPr>
          <w:i/>
        </w:rPr>
        <w:t xml:space="preserve">Auto Adjust Collision Size</w:t>
      </w:r>
      <w:r>
        <w:t xml:space="preserve"> maß einen falschen Radius von etwa 4 cm, der Bot saß dadurch 5 cm zu tief. Die Rad-Kollisionsform (</w:t>
      </w:r>
      <w:r>
        <w:rPr>
          <w:rStyle w:val="CodeChar"/>
        </w:rPr>
        <w:t xml:space="preserve">Wheel_Shape</w:t>
      </w:r>
      <w:r>
        <w:t xml:space="preserve">) hob ihn an, sodass die Federung keinen Bodenkontakt bekam.</w:t>
      </w:r>
    </w:p>
    <w:p>
      <w:pPr/>
      <w:r>
        <w:drawing>
          <wp:inline distT="0" distB="0" distL="0" distR="0">
            <wp:extent cx="5486400" cy="3840480"/>
            <wp:docPr id="5" name="image5" descr="Class Defaults von BP_Starship_FLW: Shape, Wheel, Tire und Suspension"/>
            <a:graphic xmlns:a="http://schemas.openxmlformats.org/drawingml/2006/main">
              <a:graphicData uri="http://schemas.openxmlformats.org/drawingml/2006/picture">
                <pic:pic xmlns:pic="http://schemas.openxmlformats.org/drawingml/2006/picture">
                  <pic:nvPicPr>
                    <pic:cNvPr id="5" name="image5" descr="Class Defaults von BP_Starship_FLW: Shape, Wheel, Tire und Suspension"/>
                    <pic:cNvPicPr/>
                  </pic:nvPicPr>
                  <pic:blipFill>
                    <a:blip r:embed="rId7"/>
                    <a:stretch>
                      <a:fillRect/>
                    </a:stretch>
                  </pic:blipFill>
                  <pic:spPr>
                    <a:xfrm>
                      <a:off x="0" y="0"/>
                      <a:ext cx="5486400" cy="3840480"/>
                    </a:xfrm>
                    <a:prstGeom prst="rect">
                      <a:avLst/>
                    </a:prstGeom>
                  </pic:spPr>
                </pic:pic>
              </a:graphicData>
            </a:graphic>
          </wp:inline>
        </w:drawing>
      </w:r>
    </w:p>
    <w:p>
      <w:pPr>
        <w:pStyle w:val="Heading3"/>
      </w:pPr>
      <w:r>
        <w:t xml:space="preserve">5. Fahrzeug-Blueprint </w:t>
      </w:r>
      <w:r>
        <w:rPr>
          <w:rStyle w:val="CodeChar"/>
        </w:rPr>
        <w:t xml:space="preserve">BP_Starship</w:t>
      </w:r>
    </w:p>
    <w:p>
      <w:pPr/>
      <w:r>
        <w:t xml:space="preserve">Parent Class </w:t>
      </w:r>
      <w:r>
        <w:rPr>
          <w:i/>
        </w:rPr>
        <w:t xml:space="preserve">BaseVehiclePawn</w:t>
      </w:r>
      <w:r>
        <w:t xml:space="preserve"> (CARLA).</w:t>
      </w:r>
    </w:p>
    <w:tbl>
      <w:tblPr>
        <w:tblStyle w:val="TableGrid"/>
        <w:tblW w:w="0" w:type="auto"/>
        <w:tblLayout w:type="fixed"/>
        <w:tblLook w:val="04A0" w:firstRow="1" w:lastRow="0" w:firstColumn="0" w:lastColumn="0" w:noHBand="0" w:noVBand="1"/>
      </w:tblPr>
      <w:tblGrid>
        <w:gridCol w:w="2189"/>
        <w:gridCol w:w="2410"/>
        <w:gridCol w:w="4760"/>
      </w:tblGrid>
      <w:tr>
        <w:trPr>
          <w:tblHeader/>
        </w:trPr>
        <w:tc>
          <w:tcPr>
            <w:tcW w:w="2189" w:type="dxa"/>
            <w:shd w:val="clear" w:color="auto" w:fill="F2F2F2"/>
          </w:tcPr>
          <w:p>
            <w:pPr/>
            <w:r>
              <w:t xml:space="preserve">Bereich</w:t>
            </w:r>
          </w:p>
        </w:tc>
        <w:tc>
          <w:tcPr>
            <w:tcW w:w="2410" w:type="dxa"/>
            <w:shd w:val="clear" w:color="auto" w:fill="F2F2F2"/>
          </w:tcPr>
          <w:p>
            <w:pPr/>
            <w:r>
              <w:t xml:space="preserve">Einstellung</w:t>
            </w:r>
          </w:p>
        </w:tc>
        <w:tc>
          <w:tcPr>
            <w:tcW w:w="4760" w:type="dxa"/>
            <w:shd w:val="clear" w:color="auto" w:fill="F2F2F2"/>
          </w:tcPr>
          <w:p>
            <w:pPr/>
            <w:r>
              <w:t xml:space="preserve">Wert</w:t>
            </w:r>
          </w:p>
        </w:tc>
      </w:tr>
      <w:tr>
        <w:tc>
          <w:tcPr>
            <w:tcW w:w="2189" w:type="dxa"/>
          </w:tcPr>
          <w:p>
            <w:pPr/>
            <w:r>
              <w:t xml:space="preserve">Mesh</w:t>
            </w:r>
          </w:p>
        </w:tc>
        <w:tc>
          <w:tcPr>
            <w:tcW w:w="2410" w:type="dxa"/>
          </w:tcPr>
          <w:p>
            <w:pPr/>
            <w:r>
              <w:t xml:space="preserve">Skeletal Mesh / Anim Class</w:t>
            </w:r>
          </w:p>
        </w:tc>
        <w:tc>
          <w:tcPr>
            <w:tcW w:w="4760" w:type="dxa"/>
          </w:tcPr>
          <w:p>
            <w:pPr/>
            <w:r>
              <w:rPr>
                <w:rStyle w:val="CodeChar"/>
              </w:rPr>
              <w:t xml:space="preserve">SK_Starship_Mesh_v4</w:t>
            </w:r>
            <w:r>
              <w:t xml:space="preserve"> / </w:t>
            </w:r>
            <w:r>
              <w:rPr>
                <w:rStyle w:val="CodeChar"/>
              </w:rPr>
              <w:t xml:space="preserve">AnimBP_Starship_v4_C</w:t>
            </w:r>
          </w:p>
        </w:tc>
      </w:tr>
      <w:tr>
        <w:tc>
          <w:tcPr>
            <w:tcW w:w="2189" w:type="dxa"/>
          </w:tcPr>
          <w:p>
            <w:pPr/>
            <w:r>
              <w:t xml:space="preserve">Mesh</w:t>
            </w:r>
          </w:p>
        </w:tc>
        <w:tc>
          <w:tcPr>
            <w:tcW w:w="2410" w:type="dxa"/>
          </w:tcPr>
          <w:p>
            <w:pPr/>
            <w:r>
              <w:t xml:space="preserve">Center Of Mass Offset (COM Nudge)</w:t>
            </w:r>
          </w:p>
        </w:tc>
        <w:tc>
          <w:tcPr>
            <w:tcW w:w="4760" w:type="dxa"/>
          </w:tcPr>
          <w:p>
            <w:pPr/>
            <w:r>
              <w:t xml:space="preserve">(0, 0, −15) cm, vorher (25, 0, −30)</w:t>
            </w:r>
          </w:p>
        </w:tc>
      </w:tr>
      <w:tr>
        <w:tc>
          <w:tcPr>
            <w:tcW w:w="2189" w:type="dxa"/>
          </w:tcPr>
          <w:p>
            <w:pPr/>
            <w:r>
              <w:t xml:space="preserve">VehicleBounds</w:t>
            </w:r>
          </w:p>
        </w:tc>
        <w:tc>
          <w:tcPr>
            <w:tcW w:w="2410" w:type="dxa"/>
          </w:tcPr>
          <w:p>
            <w:pPr/>
            <w:r>
              <w:t xml:space="preserve">Collision Preset</w:t>
            </w:r>
          </w:p>
        </w:tc>
        <w:tc>
          <w:tcPr>
            <w:tcW w:w="4760" w:type="dxa"/>
          </w:tcPr>
          <w:p>
            <w:pPr/>
            <w:r>
              <w:rPr>
                <w:b/>
              </w:rPr>
              <w:t xml:space="preserve">NoCollision</w:t>
            </w:r>
            <w:r>
              <w:t xml:space="preserve">, vorher </w:t>
            </w:r>
            <w:r>
              <w:rPr>
                <w:i/>
              </w:rPr>
              <w:t xml:space="preserve">Vehicle</w:t>
            </w:r>
          </w:p>
        </w:tc>
      </w:tr>
      <w:tr>
        <w:tc>
          <w:tcPr>
            <w:tcW w:w="2189" w:type="dxa"/>
          </w:tcPr>
          <w:p>
            <w:pPr/>
            <w:r>
              <w:t xml:space="preserve">Vehicle Movement</w:t>
            </w:r>
          </w:p>
        </w:tc>
        <w:tc>
          <w:tcPr>
            <w:tcW w:w="2410" w:type="dxa"/>
          </w:tcPr>
          <w:p>
            <w:pPr/>
            <w:r>
              <w:t xml:space="preserve">Mass / Drag</w:t>
            </w:r>
          </w:p>
        </w:tc>
        <w:tc>
          <w:tcPr>
            <w:tcW w:w="4760" w:type="dxa"/>
          </w:tcPr>
          <w:p>
            <w:pPr/>
            <w:r>
              <w:t xml:space="preserve">35 kg / 0,3 (vorher 50 kg)</w:t>
            </w:r>
          </w:p>
        </w:tc>
      </w:tr>
      <w:tr>
        <w:tc>
          <w:tcPr>
            <w:tcW w:w="2189" w:type="dxa"/>
          </w:tcPr>
          <w:p>
            <w:pPr/>
            <w:r>
              <w:t xml:space="preserve">Wheel Setups</w:t>
            </w:r>
          </w:p>
        </w:tc>
        <w:tc>
          <w:tcPr>
            <w:tcW w:w="2410" w:type="dxa"/>
          </w:tcPr>
          <w:p>
            <w:pPr/>
            <w:r>
              <w:t xml:space="preserve">0–3</w:t>
            </w:r>
          </w:p>
        </w:tc>
        <w:tc>
          <w:tcPr>
            <w:tcW w:w="4760" w:type="dxa"/>
          </w:tcPr>
          <w:p>
            <w:pPr/>
            <w:r>
              <w:t xml:space="preserve">FLW </w:t>
            </w:r>
            <w:r>
              <w:rPr>
                <w:rStyle w:val="CodeChar"/>
              </w:rPr>
              <w:t xml:space="preserve">Wheel_Front_Left</w:t>
            </w:r>
            <w:r>
              <w:t xml:space="preserve">, FRW </w:t>
            </w:r>
            <w:r>
              <w:rPr>
                <w:rStyle w:val="CodeChar"/>
              </w:rPr>
              <w:t xml:space="preserve">Wheel_Front_Right</w:t>
            </w:r>
            <w:r>
              <w:t xml:space="preserve">, RLW </w:t>
            </w:r>
            <w:r>
              <w:rPr>
                <w:rStyle w:val="CodeChar"/>
              </w:rPr>
              <w:t xml:space="preserve">Wheel_Rear_Left</w:t>
            </w:r>
            <w:r>
              <w:t xml:space="preserve">, RRW </w:t>
            </w:r>
            <w:r>
              <w:rPr>
                <w:rStyle w:val="CodeChar"/>
              </w:rPr>
              <w:t xml:space="preserve">Wheel_Rear_Right</w:t>
            </w:r>
          </w:p>
        </w:tc>
      </w:tr>
      <w:tr>
        <w:tc>
          <w:tcPr>
            <w:tcW w:w="2189" w:type="dxa"/>
          </w:tcPr>
          <w:p>
            <w:pPr/>
            <w:r>
              <w:t xml:space="preserve">Engine</w:t>
            </w:r>
          </w:p>
        </w:tc>
        <w:tc>
          <w:tcPr>
            <w:tcW w:w="2410" w:type="dxa"/>
          </w:tcPr>
          <w:p>
            <w:pPr/>
            <w:r>
              <w:t xml:space="preserve">Torque Curve</w:t>
            </w:r>
          </w:p>
        </w:tc>
        <w:tc>
          <w:tcPr>
            <w:tcW w:w="4760" w:type="dxa"/>
          </w:tcPr>
          <w:p>
            <w:pPr/>
            <w:r>
              <w:t xml:space="preserve">10 Nm @ 1000, 15 Nm @ 1400–4200, 8 Nm @ 6500 U/min</w:t>
            </w:r>
          </w:p>
        </w:tc>
      </w:tr>
      <w:tr>
        <w:tc>
          <w:tcPr>
            <w:tcW w:w="2189" w:type="dxa"/>
          </w:tcPr>
          <w:p>
            <w:pPr/>
            <w:r>
              <w:t xml:space="preserve">Engine</w:t>
            </w:r>
          </w:p>
        </w:tc>
        <w:tc>
          <w:tcPr>
            <w:tcW w:w="2410" w:type="dxa"/>
          </w:tcPr>
          <w:p>
            <w:pPr/>
            <w:r>
              <w:t xml:space="preserve">Max RPM / MOI</w:t>
            </w:r>
          </w:p>
        </w:tc>
        <w:tc>
          <w:tcPr>
            <w:tcW w:w="4760" w:type="dxa"/>
          </w:tcPr>
          <w:p>
            <w:pPr/>
            <w:r>
              <w:t xml:space="preserve">720 / 0,05 kg·m² (vorher 6500 / 1,0)</w:t>
            </w:r>
          </w:p>
        </w:tc>
      </w:tr>
      <w:tr>
        <w:tc>
          <w:tcPr>
            <w:tcW w:w="2189" w:type="dxa"/>
          </w:tcPr>
          <w:p>
            <w:pPr/>
            <w:r>
              <w:t xml:space="preserve">Engine</w:t>
            </w:r>
          </w:p>
        </w:tc>
        <w:tc>
          <w:tcPr>
            <w:tcW w:w="2410" w:type="dxa"/>
          </w:tcPr>
          <w:p>
            <w:pPr/>
            <w:r>
              <w:t xml:space="preserve">Damping full / zero engaged / zero disengaged</w:t>
            </w:r>
          </w:p>
        </w:tc>
        <w:tc>
          <w:tcPr>
            <w:tcW w:w="4760" w:type="dxa"/>
          </w:tcPr>
          <w:p>
            <w:pPr/>
            <w:r>
              <w:t xml:space="preserve">0,01 / 0,05 / 0,02</w:t>
            </w:r>
          </w:p>
        </w:tc>
      </w:tr>
      <w:tr>
        <w:tc>
          <w:tcPr>
            <w:tcW w:w="2189" w:type="dxa"/>
          </w:tcPr>
          <w:p>
            <w:pPr/>
            <w:r>
              <w:t xml:space="preserve">Differential</w:t>
            </w:r>
          </w:p>
        </w:tc>
        <w:tc>
          <w:tcPr>
            <w:tcW w:w="2410" w:type="dxa"/>
          </w:tcPr>
          <w:p>
            <w:pPr/>
            <w:r>
              <w:t xml:space="preserve">Typ</w:t>
            </w:r>
          </w:p>
        </w:tc>
        <w:tc>
          <w:tcPr>
            <w:tcW w:w="4760" w:type="dxa"/>
          </w:tcPr>
          <w:p>
            <w:pPr/>
            <w:r>
              <w:t xml:space="preserve">Open Front Drive</w:t>
            </w:r>
          </w:p>
        </w:tc>
      </w:tr>
      <w:tr>
        <w:tc>
          <w:tcPr>
            <w:tcW w:w="2189" w:type="dxa"/>
          </w:tcPr>
          <w:p>
            <w:pPr/>
            <w:r>
              <w:t xml:space="preserve">Transmission</w:t>
            </w:r>
          </w:p>
        </w:tc>
        <w:tc>
          <w:tcPr>
            <w:tcW w:w="2410" w:type="dxa"/>
          </w:tcPr>
          <w:p>
            <w:pPr/>
            <w:r>
              <w:t xml:space="preserve">Automatik, Final Ratio</w:t>
            </w:r>
          </w:p>
        </w:tc>
        <w:tc>
          <w:tcPr>
            <w:tcW w:w="4760" w:type="dxa"/>
          </w:tcPr>
          <w:p>
            <w:pPr/>
            <w:r>
              <w:t xml:space="preserve">an, 1 Gang (Übersetzung 1,0), Final Ratio 3,4 (vorher 6 Gänge, 3,421)</w:t>
            </w:r>
          </w:p>
        </w:tc>
      </w:tr>
    </w:tbl>
    <w:p>
      <w:pPr/>
      <w:r>
        <w:t xml:space="preserve">Bei den CARLA-Serienfahrzeugen ist </w:t>
      </w:r>
      <w:r>
        <w:rPr>
          <w:rStyle w:val="CodeChar"/>
        </w:rPr>
        <w:t xml:space="preserve">VehicleBounds</w:t>
      </w:r>
      <w:r>
        <w:t xml:space="preserve"> ebenfalls </w:t>
      </w:r>
      <w:r>
        <w:rPr>
          <w:i/>
        </w:rPr>
        <w:t xml:space="preserve">NoCollision</w:t>
      </w:r>
      <w:r>
        <w:t xml:space="preserve">. Mit Kollision stand der Bot auf seiner eigenen Bounding-Box statt auf den Rädern.</w:t>
      </w:r>
    </w:p>
    <w:p>
      <w:pPr/>
      <w:r>
        <w:drawing>
          <wp:inline distT="0" distB="0" distL="0" distR="0">
            <wp:extent cx="5486400" cy="2009754"/>
            <wp:docPr id="6" name="image6" descr="BP_Starship Class Defaults: Anim Class AnimBP_Starship_v4_C und Skeletal Mesh SK_Starship_Mesh_v4"/>
            <a:graphic xmlns:a="http://schemas.openxmlformats.org/drawingml/2006/main">
              <a:graphicData uri="http://schemas.openxmlformats.org/drawingml/2006/picture">
                <pic:pic xmlns:pic="http://schemas.openxmlformats.org/drawingml/2006/picture">
                  <pic:nvPicPr>
                    <pic:cNvPr id="6" name="image6" descr="BP_Starship Class Defaults: Anim Class AnimBP_Starship_v4_C und Skeletal Mesh SK_Starship_Mesh_v4"/>
                    <pic:cNvPicPr/>
                  </pic:nvPicPr>
                  <pic:blipFill>
                    <a:blip r:embed="rId8"/>
                    <a:stretch>
                      <a:fillRect/>
                    </a:stretch>
                  </pic:blipFill>
                  <pic:spPr>
                    <a:xfrm>
                      <a:off x="0" y="0"/>
                      <a:ext cx="5486400" cy="2009754"/>
                    </a:xfrm>
                    <a:prstGeom prst="rect">
                      <a:avLst/>
                    </a:prstGeom>
                  </pic:spPr>
                </pic:pic>
              </a:graphicData>
            </a:graphic>
          </wp:inline>
        </w:drawing>
      </w:r>
    </w:p>
    <w:p>
      <w:pPr/>
      <w:r>
        <w:drawing>
          <wp:inline distT="0" distB="0" distL="0" distR="0">
            <wp:extent cx="5486400" cy="2621921"/>
            <wp:docPr id="7" name="image7" descr="BP_Starship Wheel Setups: vier Rad-Blueprints mit Bone-Namen"/>
            <a:graphic xmlns:a="http://schemas.openxmlformats.org/drawingml/2006/main">
              <a:graphicData uri="http://schemas.openxmlformats.org/drawingml/2006/picture">
                <pic:pic xmlns:pic="http://schemas.openxmlformats.org/drawingml/2006/picture">
                  <pic:nvPicPr>
                    <pic:cNvPr id="7" name="image7" descr="BP_Starship Wheel Setups: vier Rad-Blueprints mit Bone-Namen"/>
                    <pic:cNvPicPr/>
                  </pic:nvPicPr>
                  <pic:blipFill>
                    <a:blip r:embed="rId9"/>
                    <a:stretch>
                      <a:fillRect/>
                    </a:stretch>
                  </pic:blipFill>
                  <pic:spPr>
                    <a:xfrm>
                      <a:off x="0" y="0"/>
                      <a:ext cx="5486400" cy="2621921"/>
                    </a:xfrm>
                    <a:prstGeom prst="rect">
                      <a:avLst/>
                    </a:prstGeom>
                  </pic:spPr>
                </pic:pic>
              </a:graphicData>
            </a:graphic>
          </wp:inline>
        </w:drawing>
      </w:r>
    </w:p>
    <w:p>
      <w:pPr/>
      <w:r>
        <w:t xml:space="preserve">Die Motor- und Getriebewerte stammen aus der Tempo-Abstimmung auf 6 km/h, Details im Abschnitt „Belege für die Parametrisierung“. Außerdem überschreibt </w:t>
      </w:r>
      <w:r>
        <w:rPr>
          <w:rStyle w:val="CodeChar"/>
        </w:rPr>
        <w:t xml:space="preserve">BP_Starship</w:t>
      </w:r>
      <w:r>
        <w:t xml:space="preserve"> die Rumpffarbe (Material-Slot </w:t>
      </w:r>
      <w:r>
        <w:rPr>
          <w:rStyle w:val="CodeChar"/>
        </w:rPr>
        <w:t xml:space="preserve">hka_body</w:t>
      </w:r>
      <w:r>
        <w:t xml:space="preserve">) mit dem Material </w:t>
      </w:r>
      <w:r>
        <w:rPr>
          <w:rStyle w:val="CodeChar"/>
        </w:rPr>
        <w:t xml:space="preserve">dark_gray</w:t>
      </w:r>
      <w:r>
        <w:t xml:space="preserve">, damit der Rumpf anthrazit erscheint.</w:t>
      </w:r>
    </w:p>
    <w:p>
      <w:pPr>
        <w:pStyle w:val="Heading2"/>
      </w:pPr>
      <w:r>
        <w:t xml:space="preserve">Belege für die Parametrisierung</w:t>
      </w:r>
    </w:p>
    <w:p>
      <w:pPr/>
      <w:r>
        <w:t xml:space="preserve">Jeder Wert hat eine von fünf Herkünften: </w:t>
      </w:r>
      <w:r>
        <w:rPr>
          <w:b/>
        </w:rPr>
        <w:t xml:space="preserve">belegt</w:t>
      </w:r>
      <w:r>
        <w:t xml:space="preserve"> (Quelle zum echten Starship oder Sensor), </w:t>
      </w:r>
      <w:r>
        <w:rPr>
          <w:b/>
        </w:rPr>
        <w:t xml:space="preserve">gemessen</w:t>
      </w:r>
      <w:r>
        <w:t xml:space="preserve"> (am 3D-Modell), </w:t>
      </w:r>
      <w:r>
        <w:rPr>
          <w:b/>
        </w:rPr>
        <w:t xml:space="preserve">UE-Standard</w:t>
      </w:r>
      <w:r>
        <w:t xml:space="preserve"> (Voreinstellung von Unreal 4.26, nachgelesen im Engine-Quellcode </w:t>
      </w:r>
      <w:r>
        <w:rPr>
          <w:rStyle w:val="CodeChar"/>
        </w:rPr>
        <w:t xml:space="preserve">VehicleWheel.cpp</w:t>
      </w:r>
      <w:r>
        <w:t xml:space="preserve"> und </w:t>
      </w:r>
      <w:r>
        <w:rPr>
          <w:rStyle w:val="CodeChar"/>
        </w:rPr>
        <w:t xml:space="preserve">WheeledVehicleMovementComponent.cpp</w:t>
      </w:r>
      <w:r>
        <w:t xml:space="preserve">), </w:t>
      </w:r>
      <w:r>
        <w:rPr>
          <w:b/>
        </w:rPr>
        <w:t xml:space="preserve">Fehlersuche</w:t>
      </w:r>
      <w:r>
        <w:t xml:space="preserve"> (im Test als nötig erwiesen) oder </w:t>
      </w:r>
      <w:r>
        <w:rPr>
          <w:b/>
        </w:rPr>
        <w:t xml:space="preserve">Annahme</w:t>
      </w:r>
      <w:r>
        <w:t xml:space="preserve"> (plausibel gewählt, nicht belegt). Annahmen sind die Stellen, an denen echte Messdaten den Bot noch verbessern können.</w:t>
      </w:r>
    </w:p>
    <w:p>
      <w:pPr/>
      <w:r>
        <w:rPr>
          <w:b/>
        </w:rPr>
        <w:t xml:space="preserve">Fahrzeug und Räder</w:t>
      </w:r>
    </w:p>
    <w:tbl>
      <w:tblPr>
        <w:tblStyle w:val="TableGrid"/>
        <w:tblW w:w="0" w:type="auto"/>
        <w:tblLayout w:type="fixed"/>
        <w:tblLook w:val="04A0" w:firstRow="1" w:lastRow="0" w:firstColumn="0" w:lastColumn="0" w:noHBand="0" w:noVBand="1"/>
      </w:tblPr>
      <w:tblGrid>
        <w:gridCol w:w="2288"/>
        <w:gridCol w:w="1462"/>
        <w:gridCol w:w="1146"/>
        <w:gridCol w:w="1540"/>
        <w:gridCol w:w="2924"/>
      </w:tblGrid>
      <w:tr>
        <w:trPr>
          <w:tblHeader/>
        </w:trPr>
        <w:tc>
          <w:tcPr>
            <w:tcW w:w="2288" w:type="dxa"/>
            <w:shd w:val="clear" w:color="auto" w:fill="F2F2F2"/>
          </w:tcPr>
          <w:p>
            <w:pPr/>
            <w:r>
              <w:t xml:space="preserve">Parameter</w:t>
            </w:r>
          </w:p>
        </w:tc>
        <w:tc>
          <w:tcPr>
            <w:tcW w:w="1462" w:type="dxa"/>
            <w:shd w:val="clear" w:color="auto" w:fill="F2F2F2"/>
          </w:tcPr>
          <w:p>
            <w:pPr/>
            <w:r>
              <w:t xml:space="preserve">Wert</w:t>
            </w:r>
          </w:p>
        </w:tc>
        <w:tc>
          <w:tcPr>
            <w:tcW w:w="1146" w:type="dxa"/>
            <w:shd w:val="clear" w:color="auto" w:fill="F2F2F2"/>
          </w:tcPr>
          <w:p>
            <w:pPr/>
            <w:r>
              <w:t xml:space="preserve">UE-Standard (Pkw)</w:t>
            </w:r>
          </w:p>
        </w:tc>
        <w:tc>
          <w:tcPr>
            <w:tcW w:w="1540" w:type="dxa"/>
            <w:shd w:val="clear" w:color="auto" w:fill="F2F2F2"/>
          </w:tcPr>
          <w:p>
            <w:pPr/>
            <w:r>
              <w:t xml:space="preserve">Herkunft</w:t>
            </w:r>
          </w:p>
        </w:tc>
        <w:tc>
          <w:tcPr>
            <w:tcW w:w="2924" w:type="dxa"/>
            <w:shd w:val="clear" w:color="auto" w:fill="F2F2F2"/>
          </w:tcPr>
          <w:p>
            <w:pPr/>
            <w:r>
              <w:t xml:space="preserve">Begründung / Quelle</w:t>
            </w:r>
          </w:p>
        </w:tc>
      </w:tr>
      <w:tr>
        <w:tc>
          <w:tcPr>
            <w:tcW w:w="2288" w:type="dxa"/>
          </w:tcPr>
          <w:p>
            <w:pPr/>
            <w:r>
              <w:t xml:space="preserve">Masse</w:t>
            </w:r>
          </w:p>
        </w:tc>
        <w:tc>
          <w:tcPr>
            <w:tcW w:w="1462" w:type="dxa"/>
          </w:tcPr>
          <w:p>
            <w:pPr/>
            <w:r>
              <w:t xml:space="preserve">35 kg</w:t>
            </w:r>
          </w:p>
        </w:tc>
        <w:tc>
          <w:tcPr>
            <w:tcW w:w="1146" w:type="dxa"/>
          </w:tcPr>
          <w:p>
            <w:pPr/>
            <w:r>
              <w:t xml:space="preserve">1500 kg</w:t>
            </w:r>
          </w:p>
        </w:tc>
        <w:tc>
          <w:tcPr>
            <w:tcW w:w="1540" w:type="dxa"/>
          </w:tcPr>
          <w:p>
            <w:pPr/>
            <w:r>
              <w:t xml:space="preserve">belegt</w:t>
            </w:r>
          </w:p>
        </w:tc>
        <w:tc>
          <w:tcPr>
            <w:tcW w:w="2924" w:type="dxa"/>
          </w:tcPr>
          <w:p>
            <w:pPr/>
            <w:r>
              <w:t xml:space="preserve">25 kg leer plus bis 9,1 kg Zuladung (</w:t>
            </w:r>
            <w:hyperlink r:id="rId10" w:history="1">
              <w:r>
                <w:rPr>
                  <w:rStyle w:val="Hyperlink"/>
                </w:rPr>
                <w:t xml:space="preserve">Wikipedia</w:t>
              </w:r>
            </w:hyperlink>
            <w:r>
              <w:t xml:space="preserve">)</w:t>
            </w:r>
          </w:p>
        </w:tc>
      </w:tr>
      <w:tr>
        <w:tc>
          <w:tcPr>
            <w:tcW w:w="2288" w:type="dxa"/>
          </w:tcPr>
          <w:p>
            <w:pPr/>
            <w:r>
              <w:t xml:space="preserve">Höchstgeschwindigkeit (Ziel)</w:t>
            </w:r>
          </w:p>
        </w:tc>
        <w:tc>
          <w:tcPr>
            <w:tcW w:w="1462" w:type="dxa"/>
          </w:tcPr>
          <w:p>
            <w:pPr/>
            <w:r>
              <w:t xml:space="preserve">6 km/h</w:t>
            </w:r>
          </w:p>
        </w:tc>
        <w:tc>
          <w:tcPr>
            <w:tcW w:w="1146" w:type="dxa"/>
          </w:tcPr>
          <w:p>
            <w:pPr/>
            <w:r>
              <w:t xml:space="preserve">–</w:t>
            </w:r>
          </w:p>
        </w:tc>
        <w:tc>
          <w:tcPr>
            <w:tcW w:w="1540" w:type="dxa"/>
          </w:tcPr>
          <w:p>
            <w:pPr/>
            <w:r>
              <w:t xml:space="preserve">belegt</w:t>
            </w:r>
          </w:p>
        </w:tc>
        <w:tc>
          <w:tcPr>
            <w:tcW w:w="2924" w:type="dxa"/>
          </w:tcPr>
          <w:p>
            <w:pPr/>
            <w:hyperlink r:id="rId10" w:history="1">
              <w:r>
                <w:rPr>
                  <w:rStyle w:val="Hyperlink"/>
                </w:rPr>
                <w:t xml:space="preserve">Wikipedia</w:t>
              </w:r>
            </w:hyperlink>
            <w:r>
              <w:t xml:space="preserve">; Patent: bevorzugt 4–6 km/h</w:t>
            </w:r>
          </w:p>
        </w:tc>
      </w:tr>
      <w:tr>
        <w:tc>
          <w:tcPr>
            <w:tcW w:w="2288" w:type="dxa"/>
          </w:tcPr>
          <w:p>
            <w:pPr/>
            <w:r>
              <w:t xml:space="preserve">Physik-Box</w:t>
            </w:r>
          </w:p>
        </w:tc>
        <w:tc>
          <w:tcPr>
            <w:tcW w:w="1462" w:type="dxa"/>
          </w:tcPr>
          <w:p>
            <w:pPr/>
            <w:r>
              <w:t xml:space="preserve">55 × 45 × 33 cm, Unterkante 16 cm</w:t>
            </w:r>
          </w:p>
        </w:tc>
        <w:tc>
          <w:tcPr>
            <w:tcW w:w="1146" w:type="dxa"/>
          </w:tcPr>
          <w:p>
            <w:pPr/>
            <w:r>
              <w:t xml:space="preserve">–</w:t>
            </w:r>
          </w:p>
        </w:tc>
        <w:tc>
          <w:tcPr>
            <w:tcW w:w="1540" w:type="dxa"/>
          </w:tcPr>
          <w:p>
            <w:pPr/>
            <w:r>
              <w:t xml:space="preserve">gemessen</w:t>
            </w:r>
          </w:p>
        </w:tc>
        <w:tc>
          <w:tcPr>
            <w:tcW w:w="2924" w:type="dxa"/>
          </w:tcPr>
          <w:p>
            <w:pPr/>
            <w:r>
              <w:t xml:space="preserve">Rumpfmaße des Modells</w:t>
            </w:r>
          </w:p>
        </w:tc>
      </w:tr>
      <w:tr>
        <w:tc>
          <w:tcPr>
            <w:tcW w:w="2288" w:type="dxa"/>
          </w:tcPr>
          <w:p>
            <w:pPr/>
            <w:r>
              <w:t xml:space="preserve">Schwerpunkt-Verschiebung</w:t>
            </w:r>
          </w:p>
        </w:tc>
        <w:tc>
          <w:tcPr>
            <w:tcW w:w="1462" w:type="dxa"/>
          </w:tcPr>
          <w:p>
            <w:pPr/>
            <w:r>
              <w:t xml:space="preserve">(0, 0, −15) cm</w:t>
            </w:r>
          </w:p>
        </w:tc>
        <w:tc>
          <w:tcPr>
            <w:tcW w:w="1146" w:type="dxa"/>
          </w:tcPr>
          <w:p>
            <w:pPr/>
            <w:r>
              <w:t xml:space="preserve">(0, 0, 0)</w:t>
            </w:r>
          </w:p>
        </w:tc>
        <w:tc>
          <w:tcPr>
            <w:tcW w:w="1540" w:type="dxa"/>
          </w:tcPr>
          <w:p>
            <w:pPr/>
            <w:r>
              <w:t xml:space="preserve">Fehlersuche</w:t>
            </w:r>
          </w:p>
        </w:tc>
        <w:tc>
          <w:tcPr>
            <w:tcW w:w="2924" w:type="dxa"/>
          </w:tcPr>
          <w:p>
            <w:pPr/>
            <w:r>
              <w:t xml:space="preserve">Problem 5</w:t>
            </w:r>
          </w:p>
        </w:tc>
      </w:tr>
      <w:tr>
        <w:tc>
          <w:tcPr>
            <w:tcW w:w="2288" w:type="dxa"/>
          </w:tcPr>
          <w:p>
            <w:pPr/>
            <w:r>
              <w:t xml:space="preserve">Luftwiderstandsbeiwert</w:t>
            </w:r>
          </w:p>
        </w:tc>
        <w:tc>
          <w:tcPr>
            <w:tcW w:w="1462" w:type="dxa"/>
          </w:tcPr>
          <w:p>
            <w:pPr/>
            <w:r>
              <w:t xml:space="preserve">0,3</w:t>
            </w:r>
          </w:p>
        </w:tc>
        <w:tc>
          <w:tcPr>
            <w:tcW w:w="1146" w:type="dxa"/>
          </w:tcPr>
          <w:p>
            <w:pPr/>
            <w:r>
              <w:t xml:space="preserve">0,3</w:t>
            </w:r>
          </w:p>
        </w:tc>
        <w:tc>
          <w:tcPr>
            <w:tcW w:w="1540" w:type="dxa"/>
          </w:tcPr>
          <w:p>
            <w:pPr/>
            <w:r>
              <w:t xml:space="preserve">UE-Standard</w:t>
            </w:r>
          </w:p>
        </w:tc>
        <w:tc>
          <w:tcPr>
            <w:tcW w:w="2924" w:type="dxa"/>
          </w:tcPr>
          <w:p>
            <w:pPr/>
            <w:r>
              <w:t xml:space="preserve">bei 6 km/h praktisch ohne Einfluss</w:t>
            </w:r>
          </w:p>
        </w:tc>
      </w:tr>
      <w:tr>
        <w:tc>
          <w:tcPr>
            <w:tcW w:w="2288" w:type="dxa"/>
          </w:tcPr>
          <w:p>
            <w:pPr/>
            <w:r>
              <w:t xml:space="preserve">Radradius / -breite</w:t>
            </w:r>
          </w:p>
        </w:tc>
        <w:tc>
          <w:tcPr>
            <w:tcW w:w="1462" w:type="dxa"/>
          </w:tcPr>
          <w:p>
            <w:pPr/>
            <w:r>
              <w:t xml:space="preserve">9 / 4 cm</w:t>
            </w:r>
          </w:p>
        </w:tc>
        <w:tc>
          <w:tcPr>
            <w:tcW w:w="1146" w:type="dxa"/>
          </w:tcPr>
          <w:p>
            <w:pPr/>
            <w:r>
              <w:t xml:space="preserve">30 / 10 cm</w:t>
            </w:r>
          </w:p>
        </w:tc>
        <w:tc>
          <w:tcPr>
            <w:tcW w:w="1540" w:type="dxa"/>
          </w:tcPr>
          <w:p>
            <w:pPr/>
            <w:r>
              <w:t xml:space="preserve">gemessen</w:t>
            </w:r>
          </w:p>
        </w:tc>
        <w:tc>
          <w:tcPr>
            <w:tcW w:w="2924" w:type="dxa"/>
          </w:tcPr>
          <w:p>
            <w:pPr/>
            <w:r>
              <w:t xml:space="preserve">Rad-Geometrie des Modells</w:t>
            </w:r>
          </w:p>
        </w:tc>
      </w:tr>
      <w:tr>
        <w:tc>
          <w:tcPr>
            <w:tcW w:w="2288" w:type="dxa"/>
          </w:tcPr>
          <w:p>
            <w:pPr/>
            <w:r>
              <w:t xml:space="preserve">Radmasse</w:t>
            </w:r>
          </w:p>
        </w:tc>
        <w:tc>
          <w:tcPr>
            <w:tcW w:w="1462" w:type="dxa"/>
          </w:tcPr>
          <w:p>
            <w:pPr/>
            <w:r>
              <w:t xml:space="preserve">1 kg</w:t>
            </w:r>
          </w:p>
        </w:tc>
        <w:tc>
          <w:tcPr>
            <w:tcW w:w="1146" w:type="dxa"/>
          </w:tcPr>
          <w:p>
            <w:pPr/>
            <w:r>
              <w:t xml:space="preserve">20 kg</w:t>
            </w:r>
          </w:p>
        </w:tc>
        <w:tc>
          <w:tcPr>
            <w:tcW w:w="1540" w:type="dxa"/>
          </w:tcPr>
          <w:p>
            <w:pPr/>
            <w:r>
              <w:t xml:space="preserve">Annahme</w:t>
            </w:r>
          </w:p>
        </w:tc>
        <w:tc>
          <w:tcPr>
            <w:tcW w:w="2924" w:type="dxa"/>
          </w:tcPr>
          <w:p>
            <w:pPr/>
            <w:r>
              <w:t xml:space="preserve">kleines Kunststoffrad</w:t>
            </w:r>
          </w:p>
        </w:tc>
      </w:tr>
      <w:tr>
        <w:tc>
          <w:tcPr>
            <w:tcW w:w="2288" w:type="dxa"/>
          </w:tcPr>
          <w:p>
            <w:pPr/>
            <w:r>
              <w:t xml:space="preserve">Lenkwinkel vorne</w:t>
            </w:r>
          </w:p>
        </w:tc>
        <w:tc>
          <w:tcPr>
            <w:tcW w:w="1462" w:type="dxa"/>
          </w:tcPr>
          <w:p>
            <w:pPr/>
            <w:r>
              <w:t xml:space="preserve">30°</w:t>
            </w:r>
          </w:p>
        </w:tc>
        <w:tc>
          <w:tcPr>
            <w:tcW w:w="1146" w:type="dxa"/>
          </w:tcPr>
          <w:p>
            <w:pPr/>
            <w:r>
              <w:t xml:space="preserve">70°</w:t>
            </w:r>
          </w:p>
        </w:tc>
        <w:tc>
          <w:tcPr>
            <w:tcW w:w="1540" w:type="dxa"/>
          </w:tcPr>
          <w:p>
            <w:pPr/>
            <w:r>
              <w:t xml:space="preserve">Annahme</w:t>
            </w:r>
          </w:p>
        </w:tc>
        <w:tc>
          <w:tcPr>
            <w:tcW w:w="2924" w:type="dxa"/>
          </w:tcPr>
          <w:p>
            <w:pPr/>
            <w:r>
              <w:t xml:space="preserve">siehe Hinweis zur Lenkung unten</w:t>
            </w:r>
          </w:p>
        </w:tc>
      </w:tr>
      <w:tr>
        <w:tc>
          <w:tcPr>
            <w:tcW w:w="2288" w:type="dxa"/>
          </w:tcPr>
          <w:p>
            <w:pPr/>
            <w:r>
              <w:t xml:space="preserve">Federweg ein / aus</w:t>
            </w:r>
          </w:p>
        </w:tc>
        <w:tc>
          <w:tcPr>
            <w:tcW w:w="1462" w:type="dxa"/>
          </w:tcPr>
          <w:p>
            <w:pPr/>
            <w:r>
              <w:t xml:space="preserve">2 / 2 cm</w:t>
            </w:r>
          </w:p>
        </w:tc>
        <w:tc>
          <w:tcPr>
            <w:tcW w:w="1146" w:type="dxa"/>
          </w:tcPr>
          <w:p>
            <w:pPr/>
            <w:r>
              <w:t xml:space="preserve">10 / 10 cm</w:t>
            </w:r>
          </w:p>
        </w:tc>
        <w:tc>
          <w:tcPr>
            <w:tcW w:w="1540" w:type="dxa"/>
          </w:tcPr>
          <w:p>
            <w:pPr/>
            <w:r>
              <w:t xml:space="preserve">Annahme</w:t>
            </w:r>
          </w:p>
        </w:tc>
        <w:tc>
          <w:tcPr>
            <w:tcW w:w="2924" w:type="dxa"/>
          </w:tcPr>
          <w:p>
            <w:pPr/>
            <w:r>
              <w:t xml:space="preserve">kleiner Roboter mit kurzem Federweg</w:t>
            </w:r>
          </w:p>
        </w:tc>
      </w:tr>
      <w:tr>
        <w:tc>
          <w:tcPr>
            <w:tcW w:w="2288" w:type="dxa"/>
          </w:tcPr>
          <w:p>
            <w:pPr/>
            <w:r>
              <w:t xml:space="preserve">Federfrequenz / Dämpfung</w:t>
            </w:r>
          </w:p>
        </w:tc>
        <w:tc>
          <w:tcPr>
            <w:tcW w:w="1462" w:type="dxa"/>
          </w:tcPr>
          <w:p>
            <w:pPr/>
            <w:r>
              <w:t xml:space="preserve">9 Hz / 0,8</w:t>
            </w:r>
          </w:p>
        </w:tc>
        <w:tc>
          <w:tcPr>
            <w:tcW w:w="1146" w:type="dxa"/>
          </w:tcPr>
          <w:p>
            <w:pPr/>
            <w:r>
              <w:t xml:space="preserve">7 Hz / 1,0</w:t>
            </w:r>
          </w:p>
        </w:tc>
        <w:tc>
          <w:tcPr>
            <w:tcW w:w="1540" w:type="dxa"/>
          </w:tcPr>
          <w:p>
            <w:pPr/>
            <w:r>
              <w:t xml:space="preserve">Annahme</w:t>
            </w:r>
          </w:p>
        </w:tc>
        <w:tc>
          <w:tcPr>
            <w:tcW w:w="2924" w:type="dxa"/>
          </w:tcPr>
          <w:p>
            <w:pPr/>
            <w:r>
              <w:t xml:space="preserve">straffe Abstimmung für wenig Wanken</w:t>
            </w:r>
          </w:p>
        </w:tc>
      </w:tr>
      <w:tr>
        <w:tc>
          <w:tcPr>
            <w:tcW w:w="2288" w:type="dxa"/>
          </w:tcPr>
          <w:p>
            <w:pPr/>
            <w:r>
              <w:t xml:space="preserve">Bremsmoment / Handbremse</w:t>
            </w:r>
          </w:p>
        </w:tc>
        <w:tc>
          <w:tcPr>
            <w:tcW w:w="1462" w:type="dxa"/>
          </w:tcPr>
          <w:p>
            <w:pPr/>
            <w:r>
              <w:t xml:space="preserve">20 / 40 Nm</w:t>
            </w:r>
          </w:p>
        </w:tc>
        <w:tc>
          <w:tcPr>
            <w:tcW w:w="1146" w:type="dxa"/>
          </w:tcPr>
          <w:p>
            <w:pPr/>
            <w:r>
              <w:t xml:space="preserve">1500 / 3000 Nm</w:t>
            </w:r>
          </w:p>
        </w:tc>
        <w:tc>
          <w:tcPr>
            <w:tcW w:w="1540" w:type="dxa"/>
          </w:tcPr>
          <w:p>
            <w:pPr/>
            <w:r>
              <w:t xml:space="preserve">Annahme</w:t>
            </w:r>
          </w:p>
        </w:tc>
        <w:tc>
          <w:tcPr>
            <w:tcW w:w="2924" w:type="dxa"/>
          </w:tcPr>
          <w:p>
            <w:pPr/>
            <w:r>
              <w:t xml:space="preserve">grob auf die Masse heruntergerechnet</w:t>
            </w:r>
          </w:p>
        </w:tc>
      </w:tr>
      <w:tr>
        <w:tc>
          <w:tcPr>
            <w:tcW w:w="2288" w:type="dxa"/>
          </w:tcPr>
          <w:p>
            <w:pPr/>
            <w:r>
              <w:t xml:space="preserve">Reifen: Lat Stiff Max Load / Value</w:t>
            </w:r>
          </w:p>
        </w:tc>
        <w:tc>
          <w:tcPr>
            <w:tcW w:w="1462" w:type="dxa"/>
          </w:tcPr>
          <w:p>
            <w:pPr/>
            <w:r>
              <w:t xml:space="preserve">1 / 17</w:t>
            </w:r>
          </w:p>
        </w:tc>
        <w:tc>
          <w:tcPr>
            <w:tcW w:w="1146" w:type="dxa"/>
          </w:tcPr>
          <w:p>
            <w:pPr/>
            <w:r>
              <w:t xml:space="preserve">2 / 17</w:t>
            </w:r>
          </w:p>
        </w:tc>
        <w:tc>
          <w:tcPr>
            <w:tcW w:w="1540" w:type="dxa"/>
          </w:tcPr>
          <w:p>
            <w:pPr/>
            <w:r>
              <w:t xml:space="preserve">Annahme</w:t>
            </w:r>
          </w:p>
        </w:tc>
        <w:tc>
          <w:tcPr>
            <w:tcW w:w="2924" w:type="dxa"/>
          </w:tcPr>
          <w:p>
            <w:pPr/>
          </w:p>
        </w:tc>
      </w:tr>
      <w:tr>
        <w:tc>
          <w:tcPr>
            <w:tcW w:w="2288" w:type="dxa"/>
          </w:tcPr>
          <w:p>
            <w:pPr/>
            <w:r>
              <w:t xml:space="preserve">Reifen: Long Stiff Value</w:t>
            </w:r>
          </w:p>
        </w:tc>
        <w:tc>
          <w:tcPr>
            <w:tcW w:w="1462" w:type="dxa"/>
          </w:tcPr>
          <w:p>
            <w:pPr/>
            <w:r>
              <w:t xml:space="preserve">3000</w:t>
            </w:r>
          </w:p>
        </w:tc>
        <w:tc>
          <w:tcPr>
            <w:tcW w:w="1146" w:type="dxa"/>
          </w:tcPr>
          <w:p>
            <w:pPr/>
            <w:r>
              <w:t xml:space="preserve">1000</w:t>
            </w:r>
          </w:p>
        </w:tc>
        <w:tc>
          <w:tcPr>
            <w:tcW w:w="1540" w:type="dxa"/>
          </w:tcPr>
          <w:p>
            <w:pPr/>
            <w:r>
              <w:t xml:space="preserve">Annahme</w:t>
            </w:r>
          </w:p>
        </w:tc>
        <w:tc>
          <w:tcPr>
            <w:tcW w:w="2924" w:type="dxa"/>
          </w:tcPr>
          <w:p>
            <w:pPr/>
            <w:r>
              <w:t xml:space="preserve">aus einer Fahrzeugvorlage übernommen</w:t>
            </w:r>
          </w:p>
        </w:tc>
      </w:tr>
      <w:tr>
        <w:tc>
          <w:tcPr>
            <w:tcW w:w="2288" w:type="dxa"/>
          </w:tcPr>
          <w:p>
            <w:pPr/>
            <w:r>
              <w:t xml:space="preserve">Auto Adjust Collision Size / Radform</w:t>
            </w:r>
          </w:p>
        </w:tc>
        <w:tc>
          <w:tcPr>
            <w:tcW w:w="1462" w:type="dxa"/>
          </w:tcPr>
          <w:p>
            <w:pPr/>
            <w:r>
              <w:t xml:space="preserve">aus / an</w:t>
            </w:r>
          </w:p>
        </w:tc>
        <w:tc>
          <w:tcPr>
            <w:tcW w:w="1146" w:type="dxa"/>
          </w:tcPr>
          <w:p>
            <w:pPr/>
            <w:r>
              <w:t xml:space="preserve">an / an</w:t>
            </w:r>
          </w:p>
        </w:tc>
        <w:tc>
          <w:tcPr>
            <w:tcW w:w="1540" w:type="dxa"/>
          </w:tcPr>
          <w:p>
            <w:pPr/>
            <w:r>
              <w:t xml:space="preserve">Fehlersuche</w:t>
            </w:r>
          </w:p>
        </w:tc>
        <w:tc>
          <w:tcPr>
            <w:tcW w:w="2924" w:type="dxa"/>
          </w:tcPr>
          <w:p>
            <w:pPr/>
            <w:r>
              <w:t xml:space="preserve">Problem 2</w:t>
            </w:r>
          </w:p>
        </w:tc>
      </w:tr>
      <w:tr>
        <w:tc>
          <w:tcPr>
            <w:tcW w:w="2288" w:type="dxa"/>
          </w:tcPr>
          <w:p>
            <w:pPr/>
            <w:r>
              <w:t xml:space="preserve">VehicleBounds-Kollision</w:t>
            </w:r>
          </w:p>
        </w:tc>
        <w:tc>
          <w:tcPr>
            <w:tcW w:w="1462" w:type="dxa"/>
          </w:tcPr>
          <w:p>
            <w:pPr/>
            <w:r>
              <w:t xml:space="preserve">NoCollision</w:t>
            </w:r>
          </w:p>
        </w:tc>
        <w:tc>
          <w:tcPr>
            <w:tcW w:w="1146" w:type="dxa"/>
          </w:tcPr>
          <w:p>
            <w:pPr/>
            <w:r>
              <w:t xml:space="preserve">–</w:t>
            </w:r>
          </w:p>
        </w:tc>
        <w:tc>
          <w:tcPr>
            <w:tcW w:w="1540" w:type="dxa"/>
          </w:tcPr>
          <w:p>
            <w:pPr/>
            <w:r>
              <w:t xml:space="preserve">Fehlersuche</w:t>
            </w:r>
          </w:p>
        </w:tc>
        <w:tc>
          <w:tcPr>
            <w:tcW w:w="2924" w:type="dxa"/>
          </w:tcPr>
          <w:p>
            <w:pPr/>
            <w:r>
              <w:t xml:space="preserve">Problem 3, wie CARLA-Serienfahrzeuge</w:t>
            </w:r>
          </w:p>
        </w:tc>
      </w:tr>
    </w:tbl>
    <w:p>
      <w:pPr/>
      <w:r>
        <w:rPr>
          <w:b/>
        </w:rPr>
        <w:t xml:space="preserve">Lenkung: Auto-Lenkung statt Panzerlenkung wie im Original</w:t>
      </w:r>
    </w:p>
    <w:p>
      <w:pPr/>
      <w:r>
        <w:t xml:space="preserve">Der simulierte Bot lenkt wie ein Auto über zwei schwenkbare Vorderräder (Lenkwinkel 30°). Der echte Starship lenkt nach den Unterlagen sehr wahrscheinlich wie ein Panzer, also über unterschiedliche Raddrehzahlen links und rechts. Das ist eine bewusste Vereinfachung.</w:t>
      </w:r>
    </w:p>
    <w:p>
      <w:pPr/>
      <w:r>
        <w:rPr>
          <w:i/>
        </w:rPr>
        <w:t xml:space="preserve">Beleg für die Panzerlenkung im Original:</w:t>
      </w:r>
      <w:r>
        <w:t xml:space="preserve"> Das Starship-Fahrwerkspatent </w:t>
      </w:r>
      <w:hyperlink r:id="rId11" w:history="1">
        <w:r>
          <w:rPr>
            <w:rStyle w:val="Hyperlink"/>
          </w:rPr>
          <w:t xml:space="preserve">US 2018/0194411 A1</w:t>
        </w:r>
      </w:hyperlink>
      <w:r>
        <w:t xml:space="preserve"> (erteilt als US 10 239 378 B2, Priorität 02.11.2015) beschreibt im Hauptanspruch, dass die Drehachse jedes Rades bei Vorwärts-, Rückwärts- </w:t>
      </w:r>
      <w:r>
        <w:rPr>
          <w:b/>
        </w:rPr>
        <w:t xml:space="preserve">und Kurvenfahrt</w:t>
      </w:r>
      <w:r>
        <w:t xml:space="preserve"> im Wesentlichen fest zum Roboter bleibt. Dazu können alle sechs Räder einzeln angetrieben sein, die hinteren Motoren getrennt je Seite. Feste Radachsen plus getrennt angetriebene Seiten sind genau das Prinzip der Panzerlenkung. Einschränkung: Ein Unteranspruch nennt lenkbare Vorderräder als mögliche Variante, und Starship selbst veröffentlicht keine Angabe zur Lenkung des Serienroboters.</w:t>
      </w:r>
    </w:p>
    <w:p>
      <w:pPr/>
      <w:r>
        <w:rPr>
          <w:i/>
        </w:rPr>
        <w:t xml:space="preserve">Warum die Simulation trotzdem wie ein Auto lenkt:</w:t>
      </w:r>
    </w:p>
    <w:p>
      <w:pPr>
        <w:pStyle w:val="ListParagraph"/>
        <w:numPr>
          <w:ilvl w:val="0"/>
          <w:numId w:val="7"/>
        </w:numPr>
      </w:pPr>
      <w:r>
        <w:rPr>
          <w:b/>
        </w:rPr>
        <w:t xml:space="preserve">Unreal bietet nur Auto-Lenkung an.</w:t>
      </w:r>
      <w:r>
        <w:t xml:space="preserve"> Das Fahrzeugsystem von Unreal 4.26 (Plugin PhysXVehicles) enthält nur Fahrzeugkomponenten mit Lenkrad-Logik. Die darunterliegende Physik-Bibliothek PhysX kennt zwar einen Panzerantrieb (</w:t>
      </w:r>
      <w:r>
        <w:rPr>
          <w:rStyle w:val="CodeChar"/>
        </w:rPr>
        <w:t xml:space="preserve">PxVehicleDriveTank</w:t>
      </w:r>
      <w:r>
        <w:t xml:space="preserve">), Unreal stellt ihn aber nicht als Komponente bereit; im Quellcode wird er nur beim Aufräumen erwähnt.</w:t>
      </w:r>
    </w:p>
    <w:p>
      <w:pPr>
        <w:pStyle w:val="ListParagraph"/>
        <w:numPr>
          <w:ilvl w:val="0"/>
          <w:numId w:val="7"/>
        </w:numPr>
      </w:pPr>
      <w:r>
        <w:rPr>
          <w:b/>
        </w:rPr>
        <w:t xml:space="preserve">CARLA ist auf Autos ausgelegt.</w:t>
      </w:r>
      <w:r>
        <w:t xml:space="preserve"> Die Fahrzeugklasse von CARLA, die Steuerbefehle (Gas, Bremse, Lenkwinkel), </w:t>
      </w:r>
      <w:r>
        <w:rPr>
          <w:rStyle w:val="CodeChar"/>
        </w:rPr>
        <w:t xml:space="preserve">manual_control.py</w:t>
      </w:r>
      <w:r>
        <w:t xml:space="preserve">, der Autopilot und die ROS-Bridge erwarten einen Lenkwinkel. Panzerlenkung hätte eigenen C++-Code im CARLA-Plugin und einen kompletten Neubau von CARLA erfordert.</w:t>
      </w:r>
    </w:p>
    <w:p>
      <w:pPr>
        <w:pStyle w:val="ListParagraph"/>
        <w:numPr>
          <w:ilvl w:val="0"/>
          <w:numId w:val="7"/>
        </w:numPr>
      </w:pPr>
      <w:r>
        <w:rPr>
          <w:b/>
        </w:rPr>
        <w:t xml:space="preserve">Einfachheit und Aufwand.</w:t>
      </w:r>
      <w:r>
        <w:t xml:space="preserve"> Mit der Auto-Lenkung läuft der Bot mit unveränderter CARLA-Software und allen vorhandenen Werkzeugen. Für das Projektziel, Sensoren und ROS2-Schnittstellen zu testen, ist die Art der Lenkung zweitrangig.</w:t>
      </w:r>
    </w:p>
    <w:p>
      <w:pPr>
        <w:pStyle w:val="ListParagraph"/>
        <w:numPr>
          <w:ilvl w:val="0"/>
          <w:numId w:val="7"/>
        </w:numPr>
      </w:pPr>
      <w:r>
        <w:rPr>
          <w:b/>
        </w:rPr>
        <w:t xml:space="preserve">Geringe Auswirkung im normalen Fahrbetrieb.</w:t>
      </w:r>
      <w:r>
        <w:t xml:space="preserve"> Geradeaus und in sanften Kurven bewegen sich beide Varianten fast gleich. Der Hauptunterschied: Der Simulationsbot kann nicht auf der Stelle drehen und braucht einen Wendekreis.</w:t>
      </w:r>
    </w:p>
    <w:p>
      <w:pPr/>
      <w:r>
        <w:t xml:space="preserve">Für ROS2 bleibt die Schnittstelle trotzdem gleich: Ein Fahrbefehl </w:t>
      </w:r>
      <w:r>
        <w:rPr>
          <w:rStyle w:val="CodeChar"/>
        </w:rPr>
        <w:t xml:space="preserve">cmd_vel</w:t>
      </w:r>
      <w:r>
        <w:t xml:space="preserve"> (Geschwindigkeit plus Drehrate) wird in der Simulation in Lenkwinkel umgerechnet, beim echten Roboter in Raddrehzahlen.</w:t>
      </w:r>
    </w:p>
    <w:p>
      <w:pPr/>
      <w:r>
        <w:rPr>
          <w:b/>
        </w:rPr>
        <w:t xml:space="preserve">Motor und Getriebe</w:t>
      </w:r>
      <w:r>
        <w:t xml:space="preserve"> (abgestimmt auf das belegte Tempo von 6 km/h)</w:t>
      </w:r>
    </w:p>
    <w:tbl>
      <w:tblPr>
        <w:tblStyle w:val="TableGrid"/>
        <w:tblW w:w="0" w:type="auto"/>
        <w:tblLayout w:type="fixed"/>
        <w:tblLook w:val="04A0" w:firstRow="1" w:lastRow="0" w:firstColumn="0" w:lastColumn="0" w:noHBand="0" w:noVBand="1"/>
      </w:tblPr>
      <w:tblGrid>
        <w:gridCol w:w="1872"/>
        <w:gridCol w:w="1503"/>
        <w:gridCol w:w="1225"/>
        <w:gridCol w:w="1555"/>
        <w:gridCol w:w="3205"/>
      </w:tblGrid>
      <w:tr>
        <w:trPr>
          <w:tblHeader/>
        </w:trPr>
        <w:tc>
          <w:tcPr>
            <w:tcW w:w="1872" w:type="dxa"/>
            <w:shd w:val="clear" w:color="auto" w:fill="F2F2F2"/>
          </w:tcPr>
          <w:p>
            <w:pPr/>
            <w:r>
              <w:t xml:space="preserve">Parameter</w:t>
            </w:r>
          </w:p>
        </w:tc>
        <w:tc>
          <w:tcPr>
            <w:tcW w:w="1503" w:type="dxa"/>
            <w:shd w:val="clear" w:color="auto" w:fill="F2F2F2"/>
          </w:tcPr>
          <w:p>
            <w:pPr/>
            <w:r>
              <w:t xml:space="preserve">Wert</w:t>
            </w:r>
          </w:p>
        </w:tc>
        <w:tc>
          <w:tcPr>
            <w:tcW w:w="1225" w:type="dxa"/>
            <w:shd w:val="clear" w:color="auto" w:fill="F2F2F2"/>
          </w:tcPr>
          <w:p>
            <w:pPr/>
            <w:r>
              <w:t xml:space="preserve">vorher</w:t>
            </w:r>
          </w:p>
        </w:tc>
        <w:tc>
          <w:tcPr>
            <w:tcW w:w="1555" w:type="dxa"/>
            <w:shd w:val="clear" w:color="auto" w:fill="F2F2F2"/>
          </w:tcPr>
          <w:p>
            <w:pPr/>
            <w:r>
              <w:t xml:space="preserve">Herkunft</w:t>
            </w:r>
          </w:p>
        </w:tc>
        <w:tc>
          <w:tcPr>
            <w:tcW w:w="3205" w:type="dxa"/>
            <w:shd w:val="clear" w:color="auto" w:fill="F2F2F2"/>
          </w:tcPr>
          <w:p>
            <w:pPr/>
            <w:r>
              <w:t xml:space="preserve">Begründung</w:t>
            </w:r>
          </w:p>
        </w:tc>
      </w:tr>
      <w:tr>
        <w:tc>
          <w:tcPr>
            <w:tcW w:w="1872" w:type="dxa"/>
          </w:tcPr>
          <w:p>
            <w:pPr/>
            <w:r>
              <w:t xml:space="preserve">Gänge</w:t>
            </w:r>
          </w:p>
        </w:tc>
        <w:tc>
          <w:tcPr>
            <w:tcW w:w="1503" w:type="dxa"/>
          </w:tcPr>
          <w:p>
            <w:pPr/>
            <w:r>
              <w:t xml:space="preserve">1 Gang, Übersetzung 1,0</w:t>
            </w:r>
          </w:p>
        </w:tc>
        <w:tc>
          <w:tcPr>
            <w:tcW w:w="1225" w:type="dxa"/>
          </w:tcPr>
          <w:p>
            <w:pPr/>
            <w:r>
              <w:t xml:space="preserve">6 Gänge (3,615 … 0,683)</w:t>
            </w:r>
          </w:p>
        </w:tc>
        <w:tc>
          <w:tcPr>
            <w:tcW w:w="1555" w:type="dxa"/>
          </w:tcPr>
          <w:p>
            <w:pPr/>
            <w:r>
              <w:t xml:space="preserve">Abstimmung</w:t>
            </w:r>
          </w:p>
        </w:tc>
        <w:tc>
          <w:tcPr>
            <w:tcW w:w="3205" w:type="dxa"/>
          </w:tcPr>
          <w:p>
            <w:pPr/>
            <w:r>
              <w:t xml:space="preserve">Ein Elektro-Lieferroboter hat kein Schaltgetriebe; die 6 Gänge stammten aus einer Pkw-Vorlage.</w:t>
            </w:r>
          </w:p>
        </w:tc>
      </w:tr>
      <w:tr>
        <w:tc>
          <w:tcPr>
            <w:tcW w:w="1872" w:type="dxa"/>
          </w:tcPr>
          <w:p>
            <w:pPr/>
            <w:r>
              <w:t xml:space="preserve">Achsübersetzung (Final Ratio)</w:t>
            </w:r>
          </w:p>
        </w:tc>
        <w:tc>
          <w:tcPr>
            <w:tcW w:w="1503" w:type="dxa"/>
          </w:tcPr>
          <w:p>
            <w:pPr/>
            <w:r>
              <w:t xml:space="preserve">3,4</w:t>
            </w:r>
          </w:p>
        </w:tc>
        <w:tc>
          <w:tcPr>
            <w:tcW w:w="1225" w:type="dxa"/>
          </w:tcPr>
          <w:p>
            <w:pPr/>
            <w:r>
              <w:t xml:space="preserve">3,421</w:t>
            </w:r>
          </w:p>
        </w:tc>
        <w:tc>
          <w:tcPr>
            <w:tcW w:w="1555" w:type="dxa"/>
          </w:tcPr>
          <w:p>
            <w:pPr/>
            <w:r>
              <w:t xml:space="preserve">Abstimmung</w:t>
            </w:r>
          </w:p>
        </w:tc>
        <w:tc>
          <w:tcPr>
            <w:tcW w:w="3205" w:type="dxa"/>
          </w:tcPr>
          <w:p>
            <w:pPr/>
            <w:r>
              <w:t xml:space="preserve">gerundet, Gesamtübersetzung 3,4</w:t>
            </w:r>
          </w:p>
        </w:tc>
      </w:tr>
      <w:tr>
        <w:tc>
          <w:tcPr>
            <w:tcW w:w="1872" w:type="dxa"/>
          </w:tcPr>
          <w:p>
            <w:pPr/>
            <w:r>
              <w:t xml:space="preserve">Maximaldrehzahl</w:t>
            </w:r>
          </w:p>
        </w:tc>
        <w:tc>
          <w:tcPr>
            <w:tcW w:w="1503" w:type="dxa"/>
          </w:tcPr>
          <w:p>
            <w:pPr/>
            <w:r>
              <w:t xml:space="preserve">720 U/min</w:t>
            </w:r>
          </w:p>
        </w:tc>
        <w:tc>
          <w:tcPr>
            <w:tcW w:w="1225" w:type="dxa"/>
          </w:tcPr>
          <w:p>
            <w:pPr/>
            <w:r>
              <w:t xml:space="preserve">6500 U/min</w:t>
            </w:r>
          </w:p>
        </w:tc>
        <w:tc>
          <w:tcPr>
            <w:tcW w:w="1555" w:type="dxa"/>
          </w:tcPr>
          <w:p>
            <w:pPr/>
            <w:r>
              <w:t xml:space="preserve">Abstimmung</w:t>
            </w:r>
          </w:p>
        </w:tc>
        <w:tc>
          <w:tcPr>
            <w:tcW w:w="3205" w:type="dxa"/>
          </w:tcPr>
          <w:p>
            <w:pPr/>
            <w:r>
              <w:t xml:space="preserve">begrenzt das Tempo: 720 U/min / 3,4 = 212 U/min am Rad ≈ 2,0 m/s bei 9 cm Radius; im Test 5,4–6,7 km/h</w:t>
            </w:r>
          </w:p>
        </w:tc>
      </w:tr>
      <w:tr>
        <w:tc>
          <w:tcPr>
            <w:tcW w:w="1872" w:type="dxa"/>
          </w:tcPr>
          <w:p>
            <w:pPr/>
            <w:r>
              <w:t xml:space="preserve">Drehmomentkurve</w:t>
            </w:r>
          </w:p>
        </w:tc>
        <w:tc>
          <w:tcPr>
            <w:tcW w:w="1503" w:type="dxa"/>
          </w:tcPr>
          <w:p>
            <w:pPr/>
            <w:r>
              <w:t xml:space="preserve">10–15 Nm</w:t>
            </w:r>
          </w:p>
        </w:tc>
        <w:tc>
          <w:tcPr>
            <w:tcW w:w="1225" w:type="dxa"/>
          </w:tcPr>
          <w:p>
            <w:pPr/>
            <w:r>
              <w:t xml:space="preserve">gleich</w:t>
            </w:r>
          </w:p>
        </w:tc>
        <w:tc>
          <w:tcPr>
            <w:tcW w:w="1555" w:type="dxa"/>
          </w:tcPr>
          <w:p>
            <w:pPr/>
            <w:r>
              <w:t xml:space="preserve">Annahme</w:t>
            </w:r>
          </w:p>
        </w:tc>
        <w:tc>
          <w:tcPr>
            <w:tcW w:w="3205" w:type="dxa"/>
          </w:tcPr>
          <w:p>
            <w:pPr/>
            <w:r>
              <w:t xml:space="preserve">aus Pkw-Vorlage herunterskaliert; Bot erreicht sein Tempo in rund 1 s</w:t>
            </w:r>
          </w:p>
        </w:tc>
      </w:tr>
      <w:tr>
        <w:tc>
          <w:tcPr>
            <w:tcW w:w="1872" w:type="dxa"/>
          </w:tcPr>
          <w:p>
            <w:pPr/>
            <w:r>
              <w:t xml:space="preserve">Motor-Trägheit (MOI)</w:t>
            </w:r>
          </w:p>
        </w:tc>
        <w:tc>
          <w:tcPr>
            <w:tcW w:w="1503" w:type="dxa"/>
          </w:tcPr>
          <w:p>
            <w:pPr/>
            <w:r>
              <w:t xml:space="preserve">0,05 kg·m²</w:t>
            </w:r>
          </w:p>
        </w:tc>
        <w:tc>
          <w:tcPr>
            <w:tcW w:w="1225" w:type="dxa"/>
          </w:tcPr>
          <w:p>
            <w:pPr/>
            <w:r>
              <w:t xml:space="preserve">1,0 (UE-Standard)</w:t>
            </w:r>
          </w:p>
        </w:tc>
        <w:tc>
          <w:tcPr>
            <w:tcW w:w="1555" w:type="dxa"/>
          </w:tcPr>
          <w:p>
            <w:pPr/>
            <w:r>
              <w:t xml:space="preserve">Fehlersuche</w:t>
            </w:r>
          </w:p>
        </w:tc>
        <w:tc>
          <w:tcPr>
            <w:tcW w:w="3205" w:type="dxa"/>
          </w:tcPr>
          <w:p>
            <w:pPr/>
            <w:r>
              <w:t xml:space="preserve">der Pkw-Wert wirkte bei 9-cm-Rädern wie ein Schwungrad</w:t>
            </w:r>
          </w:p>
        </w:tc>
      </w:tr>
      <w:tr>
        <w:tc>
          <w:tcPr>
            <w:tcW w:w="1872" w:type="dxa"/>
          </w:tcPr>
          <w:p>
            <w:pPr/>
            <w:r>
              <w:t xml:space="preserve">Dämpfung voll / Leerlauf eingekuppelt / ausgekuppelt</w:t>
            </w:r>
          </w:p>
        </w:tc>
        <w:tc>
          <w:tcPr>
            <w:tcW w:w="1503" w:type="dxa"/>
          </w:tcPr>
          <w:p>
            <w:pPr/>
            <w:r>
              <w:t xml:space="preserve">0,01 / 0,05 / 0,02</w:t>
            </w:r>
          </w:p>
        </w:tc>
        <w:tc>
          <w:tcPr>
            <w:tcW w:w="1225" w:type="dxa"/>
          </w:tcPr>
          <w:p>
            <w:pPr/>
            <w:r>
              <w:t xml:space="preserve">0,15 / 2,0 / 0,35</w:t>
            </w:r>
          </w:p>
        </w:tc>
        <w:tc>
          <w:tcPr>
            <w:tcW w:w="1555" w:type="dxa"/>
          </w:tcPr>
          <w:p>
            <w:pPr/>
            <w:r>
              <w:t xml:space="preserve">Annahme</w:t>
            </w:r>
          </w:p>
        </w:tc>
        <w:tc>
          <w:tcPr>
            <w:tcW w:w="3205" w:type="dxa"/>
          </w:tcPr>
          <w:p>
            <w:pPr/>
            <w:r>
              <w:t xml:space="preserve">passend zur kleineren Trägheit verkleinert</w:t>
            </w:r>
          </w:p>
        </w:tc>
      </w:tr>
    </w:tbl>
    <w:p>
      <w:pPr/>
      <w:r>
        <w:t xml:space="preserve">Messung im Abschlusstest (Vollgas, 8 s geradeaus): 90 % der Endgeschwindigkeit nach 1,0 s, höchstens 6,7 km/h, Nickwinkel beim Anfahren höchstens 3,6°, Vollbremsung bis zum Stillstand.</w:t>
      </w:r>
    </w:p>
    <w:p>
      <w:pPr/>
      <w:r>
        <w:rPr>
          <w:b/>
        </w:rPr>
        <w:t xml:space="preserve">Sensoren</w:t>
      </w:r>
    </w:p>
    <w:tbl>
      <w:tblPr>
        <w:tblStyle w:val="TableGrid"/>
        <w:tblW w:w="0" w:type="auto"/>
        <w:tblLayout w:type="fixed"/>
        <w:tblLook w:val="04A0" w:firstRow="1" w:lastRow="0" w:firstColumn="0" w:lastColumn="0" w:noHBand="0" w:noVBand="1"/>
      </w:tblPr>
      <w:tblGrid>
        <w:gridCol w:w="2567"/>
        <w:gridCol w:w="1938"/>
        <w:gridCol w:w="1192"/>
        <w:gridCol w:w="3663"/>
      </w:tblGrid>
      <w:tr>
        <w:trPr>
          <w:tblHeader/>
        </w:trPr>
        <w:tc>
          <w:tcPr>
            <w:tcW w:w="2567" w:type="dxa"/>
            <w:shd w:val="clear" w:color="auto" w:fill="F2F2F2"/>
          </w:tcPr>
          <w:p>
            <w:pPr/>
            <w:r>
              <w:t xml:space="preserve">Parameter</w:t>
            </w:r>
          </w:p>
        </w:tc>
        <w:tc>
          <w:tcPr>
            <w:tcW w:w="1938" w:type="dxa"/>
            <w:shd w:val="clear" w:color="auto" w:fill="F2F2F2"/>
          </w:tcPr>
          <w:p>
            <w:pPr/>
            <w:r>
              <w:t xml:space="preserve">Wert</w:t>
            </w:r>
          </w:p>
        </w:tc>
        <w:tc>
          <w:tcPr>
            <w:tcW w:w="1192" w:type="dxa"/>
            <w:shd w:val="clear" w:color="auto" w:fill="F2F2F2"/>
          </w:tcPr>
          <w:p>
            <w:pPr/>
            <w:r>
              <w:t xml:space="preserve">Herkunft</w:t>
            </w:r>
          </w:p>
        </w:tc>
        <w:tc>
          <w:tcPr>
            <w:tcW w:w="3663" w:type="dxa"/>
            <w:shd w:val="clear" w:color="auto" w:fill="F2F2F2"/>
          </w:tcPr>
          <w:p>
            <w:pPr/>
            <w:r>
              <w:t xml:space="preserve">Begründung / Quelle</w:t>
            </w:r>
          </w:p>
        </w:tc>
      </w:tr>
      <w:tr>
        <w:tc>
          <w:tcPr>
            <w:tcW w:w="2567" w:type="dxa"/>
          </w:tcPr>
          <w:p>
            <w:pPr/>
            <w:r>
              <w:t xml:space="preserve">Anzahl Kameras</w:t>
            </w:r>
          </w:p>
        </w:tc>
        <w:tc>
          <w:tcPr>
            <w:tcW w:w="1938" w:type="dxa"/>
          </w:tcPr>
          <w:p>
            <w:pPr/>
            <w:r>
              <w:t xml:space="preserve">9 sichtbar + 3 ToF = 12</w:t>
            </w:r>
          </w:p>
        </w:tc>
        <w:tc>
          <w:tcPr>
            <w:tcW w:w="1192" w:type="dxa"/>
          </w:tcPr>
          <w:p>
            <w:pPr/>
            <w:r>
              <w:t xml:space="preserve">belegt</w:t>
            </w:r>
          </w:p>
        </w:tc>
        <w:tc>
          <w:tcPr>
            <w:tcW w:w="3663" w:type="dxa"/>
          </w:tcPr>
          <w:p>
            <w:pPr/>
            <w:r>
              <w:t xml:space="preserve">Starship, Patent, Vision Systems Design</w:t>
            </w:r>
          </w:p>
        </w:tc>
      </w:tr>
      <w:tr>
        <w:tc>
          <w:tcPr>
            <w:tcW w:w="2567" w:type="dxa"/>
          </w:tcPr>
          <w:p>
            <w:pPr/>
            <w:r>
              <w:t xml:space="preserve">Kamera-Anordnung, Stereo-Basis, Neigung</w:t>
            </w:r>
          </w:p>
        </w:tc>
        <w:tc>
          <w:tcPr>
            <w:tcW w:w="1938" w:type="dxa"/>
          </w:tcPr>
          <w:p>
            <w:pPr/>
            <w:r>
              <w:t xml:space="preserve">siehe Positionstabelle</w:t>
            </w:r>
          </w:p>
        </w:tc>
        <w:tc>
          <w:tcPr>
            <w:tcW w:w="1192" w:type="dxa"/>
          </w:tcPr>
          <w:p>
            <w:pPr/>
            <w:r>
              <w:t xml:space="preserve">belegt</w:t>
            </w:r>
          </w:p>
        </w:tc>
        <w:tc>
          <w:tcPr>
            <w:tcW w:w="3663" w:type="dxa"/>
          </w:tcPr>
          <w:p>
            <w:pPr/>
            <w:r>
              <w:t xml:space="preserve">Patent US 2018/0253107 A1</w:t>
            </w:r>
          </w:p>
        </w:tc>
      </w:tr>
      <w:tr>
        <w:tc>
          <w:tcPr>
            <w:tcW w:w="2567" w:type="dxa"/>
          </w:tcPr>
          <w:p>
            <w:pPr/>
            <w:r>
              <w:t xml:space="preserve">Kamera-Sichtfeld</w:t>
            </w:r>
          </w:p>
        </w:tc>
        <w:tc>
          <w:tcPr>
            <w:tcW w:w="1938" w:type="dxa"/>
          </w:tcPr>
          <w:p>
            <w:pPr/>
            <w:r>
              <w:t xml:space="preserve">80° quer bzw. 60° hochkant</w:t>
            </w:r>
          </w:p>
        </w:tc>
        <w:tc>
          <w:tcPr>
            <w:tcW w:w="1192" w:type="dxa"/>
          </w:tcPr>
          <w:p>
            <w:pPr/>
            <w:r>
              <w:t xml:space="preserve">belegt</w:t>
            </w:r>
          </w:p>
        </w:tc>
        <w:tc>
          <w:tcPr>
            <w:tcW w:w="3663" w:type="dxa"/>
          </w:tcPr>
          <w:p>
            <w:pPr/>
            <w:r>
              <w:t xml:space="preserve">Patent: etwa 60° × 80°</w:t>
            </w:r>
          </w:p>
        </w:tc>
      </w:tr>
      <w:tr>
        <w:tc>
          <w:tcPr>
            <w:tcW w:w="2567" w:type="dxa"/>
          </w:tcPr>
          <w:p>
            <w:pPr/>
            <w:r>
              <w:t xml:space="preserve">Kamera-Bildrate</w:t>
            </w:r>
          </w:p>
        </w:tc>
        <w:tc>
          <w:tcPr>
            <w:tcW w:w="1938" w:type="dxa"/>
          </w:tcPr>
          <w:p>
            <w:pPr/>
            <w:r>
              <w:t xml:space="preserve">4 Bilder/s</w:t>
            </w:r>
          </w:p>
        </w:tc>
        <w:tc>
          <w:tcPr>
            <w:tcW w:w="1192" w:type="dxa"/>
          </w:tcPr>
          <w:p>
            <w:pPr/>
            <w:r>
              <w:t xml:space="preserve">belegt</w:t>
            </w:r>
          </w:p>
        </w:tc>
        <w:tc>
          <w:tcPr>
            <w:tcW w:w="3663" w:type="dxa"/>
          </w:tcPr>
          <w:p>
            <w:pPr/>
            <w:r>
              <w:t xml:space="preserve">Patent: bevorzugt 4 Bilder/s</w:t>
            </w:r>
          </w:p>
        </w:tc>
      </w:tr>
      <w:tr>
        <w:tc>
          <w:tcPr>
            <w:tcW w:w="2567" w:type="dxa"/>
          </w:tcPr>
          <w:p>
            <w:pPr/>
            <w:r>
              <w:t xml:space="preserve">Kamera-Auflösung</w:t>
            </w:r>
          </w:p>
        </w:tc>
        <w:tc>
          <w:tcPr>
            <w:tcW w:w="1938" w:type="dxa"/>
          </w:tcPr>
          <w:p>
            <w:pPr/>
            <w:r>
              <w:t xml:space="preserve">640 × 480</w:t>
            </w:r>
          </w:p>
        </w:tc>
        <w:tc>
          <w:tcPr>
            <w:tcW w:w="1192" w:type="dxa"/>
          </w:tcPr>
          <w:p>
            <w:pPr/>
            <w:r>
              <w:t xml:space="preserve">Annahme</w:t>
            </w:r>
          </w:p>
        </w:tc>
        <w:tc>
          <w:tcPr>
            <w:tcW w:w="3663" w:type="dxa"/>
          </w:tcPr>
          <w:p>
            <w:pPr/>
            <w:r>
              <w:t xml:space="preserve">im Patent nicht genannt</w:t>
            </w:r>
          </w:p>
        </w:tc>
      </w:tr>
      <w:tr>
        <w:tc>
          <w:tcPr>
            <w:tcW w:w="2567" w:type="dxa"/>
          </w:tcPr>
          <w:p>
            <w:pPr/>
            <w:r>
              <w:t xml:space="preserve">ToF-Auflösung</w:t>
            </w:r>
          </w:p>
        </w:tc>
        <w:tc>
          <w:tcPr>
            <w:tcW w:w="1938" w:type="dxa"/>
          </w:tcPr>
          <w:p>
            <w:pPr/>
            <w:r>
              <w:t xml:space="preserve">320 × 240</w:t>
            </w:r>
          </w:p>
        </w:tc>
        <w:tc>
          <w:tcPr>
            <w:tcW w:w="1192" w:type="dxa"/>
          </w:tcPr>
          <w:p>
            <w:pPr/>
            <w:r>
              <w:t xml:space="preserve">belegt</w:t>
            </w:r>
          </w:p>
        </w:tc>
        <w:tc>
          <w:tcPr>
            <w:tcW w:w="3663" w:type="dxa"/>
          </w:tcPr>
          <w:p>
            <w:pPr/>
            <w:r>
              <w:t xml:space="preserve">Datenblatt ESPROS epc660</w:t>
            </w:r>
          </w:p>
        </w:tc>
      </w:tr>
      <w:tr>
        <w:tc>
          <w:tcPr>
            <w:tcW w:w="2567" w:type="dxa"/>
          </w:tcPr>
          <w:p>
            <w:pPr/>
            <w:r>
              <w:t xml:space="preserve">ToF-Reichweite / Sichtfeld</w:t>
            </w:r>
          </w:p>
        </w:tc>
        <w:tc>
          <w:tcPr>
            <w:tcW w:w="1938" w:type="dxa"/>
          </w:tcPr>
          <w:p>
            <w:pPr/>
            <w:r>
              <w:t xml:space="preserve">5 m / 90°</w:t>
            </w:r>
          </w:p>
        </w:tc>
        <w:tc>
          <w:tcPr>
            <w:tcW w:w="1192" w:type="dxa"/>
          </w:tcPr>
          <w:p>
            <w:pPr/>
            <w:r>
              <w:t xml:space="preserve">Annahme</w:t>
            </w:r>
          </w:p>
        </w:tc>
        <w:tc>
          <w:tcPr>
            <w:tcW w:w="3663" w:type="dxa"/>
          </w:tcPr>
          <w:p>
            <w:pPr/>
            <w:r>
              <w:t xml:space="preserve">ToF misst typischerweise im Bereich weniger Meter</w:t>
            </w:r>
          </w:p>
        </w:tc>
      </w:tr>
      <w:tr>
        <w:tc>
          <w:tcPr>
            <w:tcW w:w="2567" w:type="dxa"/>
          </w:tcPr>
          <w:p>
            <w:pPr/>
            <w:r>
              <w:t xml:space="preserve">Anzahl Radar / Ultraschall</w:t>
            </w:r>
          </w:p>
        </w:tc>
        <w:tc>
          <w:tcPr>
            <w:tcW w:w="1938" w:type="dxa"/>
          </w:tcPr>
          <w:p>
            <w:pPr/>
            <w:r>
              <w:t xml:space="preserve">4 / 8</w:t>
            </w:r>
          </w:p>
        </w:tc>
        <w:tc>
          <w:tcPr>
            <w:tcW w:w="1192" w:type="dxa"/>
          </w:tcPr>
          <w:p>
            <w:pPr/>
            <w:r>
              <w:t xml:space="preserve">belegt</w:t>
            </w:r>
          </w:p>
        </w:tc>
        <w:tc>
          <w:tcPr>
            <w:tcW w:w="3663" w:type="dxa"/>
          </w:tcPr>
          <w:p>
            <w:pPr/>
            <w:r>
              <w:t xml:space="preserve">MIT Technology Review 2018 (ältere Generation)</w:t>
            </w:r>
          </w:p>
        </w:tc>
      </w:tr>
      <w:tr>
        <w:tc>
          <w:tcPr>
            <w:tcW w:w="2567" w:type="dxa"/>
          </w:tcPr>
          <w:p>
            <w:pPr/>
            <w:r>
              <w:t xml:space="preserve">Radar-Öffnungswinkel / Reichweite</w:t>
            </w:r>
          </w:p>
        </w:tc>
        <w:tc>
          <w:tcPr>
            <w:tcW w:w="1938" w:type="dxa"/>
          </w:tcPr>
          <w:p>
            <w:pPr/>
            <w:r>
              <w:t xml:space="preserve">60° × 20° / 20 m</w:t>
            </w:r>
          </w:p>
        </w:tc>
        <w:tc>
          <w:tcPr>
            <w:tcW w:w="1192" w:type="dxa"/>
          </w:tcPr>
          <w:p>
            <w:pPr/>
            <w:r>
              <w:t xml:space="preserve">Annahme</w:t>
            </w:r>
          </w:p>
        </w:tc>
        <w:tc>
          <w:tcPr>
            <w:tcW w:w="3663" w:type="dxa"/>
          </w:tcPr>
          <w:p>
            <w:pPr/>
          </w:p>
        </w:tc>
      </w:tr>
      <w:tr>
        <w:tc>
          <w:tcPr>
            <w:tcW w:w="2567" w:type="dxa"/>
          </w:tcPr>
          <w:p>
            <w:pPr/>
            <w:r>
              <w:t xml:space="preserve">Ultraschall-Reichweite</w:t>
            </w:r>
          </w:p>
        </w:tc>
        <w:tc>
          <w:tcPr>
            <w:tcW w:w="1938" w:type="dxa"/>
          </w:tcPr>
          <w:p>
            <w:pPr/>
            <w:r>
              <w:t xml:space="preserve">3 m</w:t>
            </w:r>
          </w:p>
        </w:tc>
        <w:tc>
          <w:tcPr>
            <w:tcW w:w="1192" w:type="dxa"/>
          </w:tcPr>
          <w:p>
            <w:pPr/>
            <w:r>
              <w:t xml:space="preserve">Annahme</w:t>
            </w:r>
          </w:p>
        </w:tc>
        <w:tc>
          <w:tcPr>
            <w:tcW w:w="3663" w:type="dxa"/>
          </w:tcPr>
          <w:p>
            <w:pPr/>
            <w:r>
              <w:t xml:space="preserve">Größenordnung von Einparksensoren</w:t>
            </w:r>
          </w:p>
        </w:tc>
      </w:tr>
      <w:tr>
        <w:tc>
          <w:tcPr>
            <w:tcW w:w="2567" w:type="dxa"/>
          </w:tcPr>
          <w:p>
            <w:pPr/>
            <w:r>
              <w:t xml:space="preserve">GNSS-Rauschen</w:t>
            </w:r>
          </w:p>
        </w:tc>
        <w:tc>
          <w:tcPr>
            <w:tcW w:w="1938" w:type="dxa"/>
          </w:tcPr>
          <w:p>
            <w:pPr/>
            <w:r>
              <w:t xml:space="preserve">ca. 2 m</w:t>
            </w:r>
          </w:p>
        </w:tc>
        <w:tc>
          <w:tcPr>
            <w:tcW w:w="1192" w:type="dxa"/>
          </w:tcPr>
          <w:p>
            <w:pPr/>
            <w:r>
              <w:t xml:space="preserve">Annahme</w:t>
            </w:r>
          </w:p>
        </w:tc>
        <w:tc>
          <w:tcPr>
            <w:tcW w:w="3663" w:type="dxa"/>
          </w:tcPr>
          <w:p>
            <w:pPr/>
            <w:r>
              <w:t xml:space="preserve">frühe Generation laut Hersteller nur etwa 30 m genau (Vision Systems Design)</w:t>
            </w:r>
          </w:p>
        </w:tc>
      </w:tr>
      <w:tr>
        <w:tc>
          <w:tcPr>
            <w:tcW w:w="2567" w:type="dxa"/>
          </w:tcPr>
          <w:p>
            <w:pPr/>
            <w:r>
              <w:t xml:space="preserve">IMU-Rauschen</w:t>
            </w:r>
          </w:p>
        </w:tc>
        <w:tc>
          <w:tcPr>
            <w:tcW w:w="1938" w:type="dxa"/>
          </w:tcPr>
          <w:p>
            <w:pPr/>
            <w:r>
              <w:t xml:space="preserve">0,02 m/s², 0,002 rad/s</w:t>
            </w:r>
          </w:p>
        </w:tc>
        <w:tc>
          <w:tcPr>
            <w:tcW w:w="1192" w:type="dxa"/>
          </w:tcPr>
          <w:p>
            <w:pPr/>
            <w:r>
              <w:t xml:space="preserve">Annahme</w:t>
            </w:r>
          </w:p>
        </w:tc>
        <w:tc>
          <w:tcPr>
            <w:tcW w:w="3663" w:type="dxa"/>
          </w:tcPr>
          <w:p>
            <w:pPr/>
          </w:p>
        </w:tc>
      </w:tr>
    </w:tbl>
    <w:p>
      <w:pPr>
        <w:pStyle w:val="Heading2"/>
      </w:pPr>
      <w:r>
        <w:t xml:space="preserve">CARLA: Registrierung, Test und Fehlersuche</w:t>
      </w:r>
    </w:p>
    <w:p>
      <w:pPr/>
      <w:r>
        <w:t xml:space="preserve">Der Bot ist in der </w:t>
      </w:r>
      <w:r>
        <w:rPr>
          <w:rStyle w:val="CodeChar"/>
        </w:rPr>
        <w:t xml:space="preserve">VehicleFactory</w:t>
      </w:r>
      <w:r>
        <w:t xml:space="preserve"> als Make </w:t>
      </w:r>
      <w:r>
        <w:rPr>
          <w:rStyle w:val="CodeChar"/>
        </w:rPr>
        <w:t xml:space="preserve">starship</w:t>
      </w:r>
      <w:r>
        <w:t xml:space="preserve">, Model </w:t>
      </w:r>
      <w:r>
        <w:rPr>
          <w:rStyle w:val="CodeChar"/>
        </w:rPr>
        <w:t xml:space="preserve">bot</w:t>
      </w:r>
      <w:r>
        <w:t xml:space="preserve"> eingetragen und damit über die Python-API als </w:t>
      </w:r>
      <w:r>
        <w:rPr>
          <w:rStyle w:val="CodeChar"/>
        </w:rPr>
        <w:t xml:space="preserve">vehicle.starship.bot</w:t>
      </w:r>
      <w:r>
        <w:t xml:space="preserve"> spawnbar. Im Abschlusstest am 09.10.2026 in Town02 stand er stabil auf seinen Rädern, erreichte nach 1 s seine Reisegeschwindigkeit und fuhr höchstens 6,7 km/h.</w:t>
      </w:r>
    </w:p>
    <w:p>
      <w:pPr/>
      <w:r>
        <w:drawing>
          <wp:inline distT="0" distB="0" distL="0" distR="0">
            <wp:extent cx="5486400" cy="3200400"/>
            <wp:docPr id="8" name="image8" descr="HKA-Lieferroboter in CARLA (Town02), rechte Seite"/>
            <a:graphic xmlns:a="http://schemas.openxmlformats.org/drawingml/2006/main">
              <a:graphicData uri="http://schemas.openxmlformats.org/drawingml/2006/picture">
                <pic:pic xmlns:pic="http://schemas.openxmlformats.org/drawingml/2006/picture">
                  <pic:nvPicPr>
                    <pic:cNvPr id="8" name="image8" descr="HKA-Lieferroboter in CARLA (Town02), rechte Seite"/>
                    <pic:cNvPicPr/>
                  </pic:nvPicPr>
                  <pic:blipFill>
                    <a:blip r:embed="rId12"/>
                    <a:stretch>
                      <a:fillRect/>
                    </a:stretch>
                  </pic:blipFill>
                  <pic:spPr>
                    <a:xfrm>
                      <a:off x="0" y="0"/>
                      <a:ext cx="5486400" cy="3200400"/>
                    </a:xfrm>
                    <a:prstGeom prst="rect">
                      <a:avLst/>
                    </a:prstGeom>
                  </pic:spPr>
                </pic:pic>
              </a:graphicData>
            </a:graphic>
          </wp:inline>
        </w:drawing>
      </w:r>
    </w:p>
    <w:p>
      <w:pPr/>
      <w:r>
        <w:drawing>
          <wp:inline distT="0" distB="0" distL="0" distR="0">
            <wp:extent cx="5486400" cy="3200400"/>
            <wp:docPr id="9" name="image9" descr="HKA-Lieferroboter in CARLA (Town02), linke Seite"/>
            <a:graphic xmlns:a="http://schemas.openxmlformats.org/drawingml/2006/main">
              <a:graphicData uri="http://schemas.openxmlformats.org/drawingml/2006/picture">
                <pic:pic xmlns:pic="http://schemas.openxmlformats.org/drawingml/2006/picture">
                  <pic:nvPicPr>
                    <pic:cNvPr id="9" name="image9" descr="HKA-Lieferroboter in CARLA (Town02), linke Seite"/>
                    <pic:cNvPicPr/>
                  </pic:nvPicPr>
                  <pic:blipFill>
                    <a:blip r:embed="rId13"/>
                    <a:stretch>
                      <a:fillRect/>
                    </a:stretch>
                  </pic:blipFill>
                  <pic:spPr>
                    <a:xfrm>
                      <a:off x="0" y="0"/>
                      <a:ext cx="5486400" cy="3200400"/>
                    </a:xfrm>
                    <a:prstGeom prst="rect">
                      <a:avLst/>
                    </a:prstGeom>
                  </pic:spPr>
                </pic:pic>
              </a:graphicData>
            </a:graphic>
          </wp:inline>
        </w:drawing>
      </w:r>
    </w:p>
    <w:p>
      <w:pPr/>
      <w:r>
        <w:rPr>
          <w:b/>
        </w:rPr>
        <w:t xml:space="preserve">Test-Ablauf</w:t>
      </w:r>
    </w:p>
    <w:p>
      <w:pPr>
        <w:pStyle w:val="ListParagraph"/>
        <w:numPr>
          <w:ilvl w:val="0"/>
          <w:numId w:val="8"/>
        </w:numPr>
      </w:pPr>
      <w:r>
        <w:t xml:space="preserve">Im CARLA-Editor </w:t>
      </w:r>
      <w:r>
        <w:rPr>
          <w:i/>
        </w:rPr>
        <w:t xml:space="preserve">Play</w:t>
      </w:r>
      <w:r>
        <w:t xml:space="preserve"> starten (Town10HD_Opt, Ladezeit etwa 4–5 min).</w:t>
      </w:r>
    </w:p>
    <w:p>
      <w:pPr>
        <w:pStyle w:val="ListParagraph"/>
        <w:numPr>
          <w:ilvl w:val="0"/>
          <w:numId w:val="8"/>
        </w:numPr>
      </w:pPr>
      <w:r>
        <w:rPr>
          <w:rStyle w:val="CodeChar"/>
        </w:rPr>
        <w:t xml:space="preserve">python manual_control.py --filter vehicle.starship.bot</w:t>
      </w:r>
      <w:r>
        <w:t xml:space="preserve"> in </w:t>
      </w:r>
      <w:r>
        <w:rPr>
          <w:rStyle w:val="CodeChar"/>
        </w:rPr>
        <w:t xml:space="preserve">D:\CARLA\PythonAPI\examples</w:t>
      </w:r>
      <w:r>
        <w:t xml:space="preserve"> ausführen, oder das Testskript </w:t>
      </w:r>
      <w:r>
        <w:rPr>
          <w:rStyle w:val="CodeChar"/>
        </w:rPr>
        <w:t xml:space="preserve">starship_drive_test.py</w:t>
      </w:r>
      <w:r>
        <w:t xml:space="preserve"> laufen lassen (Leerlauf, Vollgas, Lenken, Bremsen mit Log von Höhe, Lage und Tempo).</w:t>
      </w:r>
    </w:p>
    <w:p>
      <w:pPr>
        <w:pStyle w:val="Heading3"/>
      </w:pPr>
      <w:r>
        <w:t xml:space="preserve">Gelöste Probleme – verständlich erklärt</w:t>
      </w:r>
    </w:p>
    <w:p>
      <w:pPr/>
      <w:r>
        <w:t xml:space="preserve">Sechs Fehler verhinderten, dass der Bot startet oder fährt. Jeder hatte dieselbe Wurzel: Blender, Unreal und die Physik-Engine verstanden ein Detail des Modells unterschiedlich. Ein paar Begriffe vorab:</w:t>
      </w:r>
    </w:p>
    <w:tbl>
      <w:tblPr>
        <w:tblStyle w:val="TableGrid"/>
        <w:tblW w:w="0" w:type="auto"/>
        <w:tblLayout w:type="fixed"/>
        <w:tblLook w:val="04A0" w:firstRow="1" w:lastRow="0" w:firstColumn="0" w:lastColumn="0" w:noHBand="0" w:noVBand="1"/>
      </w:tblPr>
      <w:tblGrid>
        <w:gridCol w:w="3275"/>
        <w:gridCol w:w="6084"/>
      </w:tblGrid>
      <w:tr>
        <w:trPr>
          <w:tblHeader/>
        </w:trPr>
        <w:tc>
          <w:tcPr>
            <w:tcW w:w="3275" w:type="dxa"/>
            <w:shd w:val="clear" w:color="auto" w:fill="F2F2F2"/>
          </w:tcPr>
          <w:p>
            <w:pPr/>
            <w:r>
              <w:t xml:space="preserve">Begriff</w:t>
            </w:r>
          </w:p>
        </w:tc>
        <w:tc>
          <w:tcPr>
            <w:tcW w:w="6084" w:type="dxa"/>
            <w:shd w:val="clear" w:color="auto" w:fill="F2F2F2"/>
          </w:tcPr>
          <w:p>
            <w:pPr/>
            <w:r>
              <w:t xml:space="preserve">Bedeutung</w:t>
            </w:r>
          </w:p>
        </w:tc>
      </w:tr>
      <w:tr>
        <w:tc>
          <w:tcPr>
            <w:tcW w:w="3275" w:type="dxa"/>
          </w:tcPr>
          <w:p>
            <w:pPr/>
            <w:r>
              <w:t xml:space="preserve">Bone (Knochen)</w:t>
            </w:r>
          </w:p>
        </w:tc>
        <w:tc>
          <w:tcPr>
            <w:tcW w:w="6084" w:type="dxa"/>
          </w:tcPr>
          <w:p>
            <w:pPr/>
            <w:r>
              <w:t xml:space="preserve">Unsichtbares Gerüst im 3D-Modell. Jeder Bone hat eine Position und ein eigenes Achsenkreuz (vorne, links, oben). Der Rumpf hängt am Bone </w:t>
            </w:r>
            <w:r>
              <w:rPr>
                <w:rStyle w:val="CodeChar"/>
              </w:rPr>
              <w:t xml:space="preserve">VehicleBase</w:t>
            </w:r>
            <w:r>
              <w:t xml:space="preserve">, jedes Rad an einem Rad-Bone.</w:t>
            </w:r>
          </w:p>
        </w:tc>
      </w:tr>
      <w:tr>
        <w:tc>
          <w:tcPr>
            <w:tcW w:w="3275" w:type="dxa"/>
          </w:tcPr>
          <w:p>
            <w:pPr/>
            <w:r>
              <w:t xml:space="preserve">Physik-Engine (PhysX)</w:t>
            </w:r>
          </w:p>
        </w:tc>
        <w:tc>
          <w:tcPr>
            <w:tcW w:w="6084" w:type="dxa"/>
          </w:tcPr>
          <w:p>
            <w:pPr/>
            <w:r>
              <w:t xml:space="preserve">Rechenprogramm in Unreal, das Schwerkraft, Federn, Reifen und Motor simuliert.</w:t>
            </w:r>
          </w:p>
        </w:tc>
      </w:tr>
      <w:tr>
        <w:tc>
          <w:tcPr>
            <w:tcW w:w="3275" w:type="dxa"/>
          </w:tcPr>
          <w:p>
            <w:pPr/>
            <w:r>
              <w:t xml:space="preserve">Federungs-Strahl</w:t>
            </w:r>
          </w:p>
        </w:tc>
        <w:tc>
          <w:tcPr>
            <w:tcW w:w="6084" w:type="dxa"/>
          </w:tcPr>
          <w:p>
            <w:pPr/>
            <w:r>
              <w:t xml:space="preserve">Unsichtbarer Messstrahl, den PhysX von jedem Rad nach unten schickt. Trifft er die Straße, drückt die Feder das Fahrzeug hoch und das Rad kann Antriebskraft übertragen.</w:t>
            </w:r>
          </w:p>
        </w:tc>
      </w:tr>
      <w:tr>
        <w:tc>
          <w:tcPr>
            <w:tcW w:w="3275" w:type="dxa"/>
          </w:tcPr>
          <w:p>
            <w:pPr/>
            <w:r>
              <w:t xml:space="preserve">Physics Asset</w:t>
            </w:r>
          </w:p>
        </w:tc>
        <w:tc>
          <w:tcPr>
            <w:tcW w:w="6084" w:type="dxa"/>
          </w:tcPr>
          <w:p>
            <w:pPr/>
            <w:r>
              <w:t xml:space="preserve">Vereinfachte Kollisionsform des Modells, bei uns eine Box um den Rumpf. Die Physik rechnet damit statt mit dem detaillierten Modell.</w:t>
            </w:r>
          </w:p>
        </w:tc>
      </w:tr>
      <w:tr>
        <w:tc>
          <w:tcPr>
            <w:tcW w:w="3275" w:type="dxa"/>
          </w:tcPr>
          <w:p>
            <w:pPr/>
            <w:r>
              <w:t xml:space="preserve">Blueprint</w:t>
            </w:r>
          </w:p>
        </w:tc>
        <w:tc>
          <w:tcPr>
            <w:tcW w:w="6084" w:type="dxa"/>
          </w:tcPr>
          <w:p>
            <w:pPr/>
            <w:r>
              <w:t xml:space="preserve">Bauplan eines Objekts in Unreal mit allen Einstellungen.</w:t>
            </w:r>
          </w:p>
        </w:tc>
      </w:tr>
      <w:tr>
        <w:tc>
          <w:tcPr>
            <w:tcW w:w="3275" w:type="dxa"/>
          </w:tcPr>
          <w:p>
            <w:pPr/>
            <w:r>
              <w:t xml:space="preserve">VehicleBounds</w:t>
            </w:r>
          </w:p>
        </w:tc>
        <w:tc>
          <w:tcPr>
            <w:tcW w:w="6084" w:type="dxa"/>
          </w:tcPr>
          <w:p>
            <w:pPr/>
            <w:r>
              <w:t xml:space="preserve">Box, die CARLA um jedes Fahrzeug legt, um seine Größe anzugeben, etwa für Sensoren und Verkehrsregeln. Sie soll nicht anfassbar sein.</w:t>
            </w:r>
          </w:p>
        </w:tc>
      </w:tr>
      <w:tr>
        <w:tc>
          <w:tcPr>
            <w:tcW w:w="3275" w:type="dxa"/>
          </w:tcPr>
          <w:p>
            <w:pPr/>
            <w:r>
              <w:t xml:space="preserve">Schwerpunkt</w:t>
            </w:r>
          </w:p>
        </w:tc>
        <w:tc>
          <w:tcPr>
            <w:tcW w:w="6084" w:type="dxa"/>
          </w:tcPr>
          <w:p>
            <w:pPr/>
            <w:r>
              <w:t xml:space="preserve">Der Punkt, an dem das Gewicht des Fahrzeugs wirkt.</w:t>
            </w:r>
          </w:p>
        </w:tc>
      </w:tr>
    </w:tbl>
    <w:p>
      <w:pPr>
        <w:pStyle w:val="Heading4"/>
      </w:pPr>
      <w:r>
        <w:t xml:space="preserve">Problem 1: Falscher Maßstab</w:t>
      </w:r>
    </w:p>
    <w:p>
      <w:pPr/>
      <w:r>
        <w:rPr>
          <w:b/>
        </w:rPr>
        <w:t xml:space="preserve">Was passierte:</w:t>
      </w:r>
      <w:r>
        <w:t xml:space="preserve"> Version 1 fiel durch die Straße. Version 2 kam in Unreal 100-mal zu klein an, 0,56 statt 56 cm.</w:t>
      </w:r>
    </w:p>
    <w:p>
      <w:pPr/>
      <w:r>
        <w:rPr>
          <w:b/>
        </w:rPr>
        <w:t xml:space="preserve">Warum ist das ein Problem:</w:t>
      </w:r>
      <w:r>
        <w:t xml:space="preserve"> Blender speichert Maße in Metern, Unreal liest Zentimeter. Aus 0,56 m wurden 0,56 cm. Eine so winzige Physik-Box rutscht zwischen zwei Rechenschritten durch den Boden, und Rad-Radien, Federwege und Sensorpositionen passen nicht mehr.</w:t>
      </w:r>
    </w:p>
    <w:p>
      <w:pPr/>
      <w:r>
        <w:rPr>
          <w:b/>
        </w:rPr>
        <w:t xml:space="preserve">Lösung:</w:t>
      </w:r>
      <w:r>
        <w:t xml:space="preserve"> In Blender alle Maße von Modell und Bones auf echte Zentimeter-Werte umgerechnet und mit der Einheit 1 cm exportiert. Keine Skalierungsfaktoren mehr in der Datei.</w:t>
      </w:r>
    </w:p>
    <w:p>
      <w:pPr/>
      <w:r>
        <w:rPr>
          <w:b/>
        </w:rPr>
        <w:t xml:space="preserve">Warum das hilft:</w:t>
      </w:r>
      <w:r>
        <w:t xml:space="preserve"> Beide Programme lesen jetzt dieselbe Zahl als dieselbe Länge. Es gibt keinen versteckten Faktor, der an anderer Stelle wieder stören kann.</w:t>
      </w:r>
    </w:p>
    <w:p>
      <w:pPr/>
      <w:r>
        <w:drawing>
          <wp:inline distT="0" distB="0" distL="0" distR="0">
            <wp:extent cx="5486400" cy="2432957"/>
            <wp:docPr id="10" name="image10" descr="Problem 1 · Maßstab vorher und nachher"/>
            <a:graphic xmlns:a="http://schemas.openxmlformats.org/drawingml/2006/main">
              <a:graphicData uri="http://schemas.openxmlformats.org/drawingml/2006/picture">
                <pic:pic xmlns:pic="http://schemas.openxmlformats.org/drawingml/2006/picture">
                  <pic:nvPicPr>
                    <pic:cNvPr id="10" name="image10" descr="Problem 1 · Maßstab vorher und nachher"/>
                    <pic:cNvPicPr/>
                  </pic:nvPicPr>
                  <pic:blipFill>
                    <a:blip r:embed="rId14"/>
                    <a:stretch>
                      <a:fillRect/>
                    </a:stretch>
                  </pic:blipFill>
                  <pic:spPr>
                    <a:xfrm>
                      <a:off x="0" y="0"/>
                      <a:ext cx="5486400" cy="2432957"/>
                    </a:xfrm>
                    <a:prstGeom prst="rect">
                      <a:avLst/>
                    </a:prstGeom>
                  </pic:spPr>
                </pic:pic>
              </a:graphicData>
            </a:graphic>
          </wp:inline>
        </w:drawing>
      </w:r>
    </w:p>
    <w:p>
      <w:pPr/>
      <w:r>
        <w:t xml:space="preserve">Problem 1 · Maßstab vorher und nachher</w:t>
      </w:r>
    </w:p>
    <w:p>
      <w:pPr>
        <w:pStyle w:val="Heading4"/>
      </w:pPr>
      <w:r>
        <w:t xml:space="preserve">Problem 2: Falsche Radgröße in der Physik</w:t>
      </w:r>
    </w:p>
    <w:p>
      <w:pPr/>
      <w:r>
        <w:rPr>
          <w:b/>
        </w:rPr>
        <w:t xml:space="preserve">Was passierte:</w:t>
      </w:r>
      <w:r>
        <w:t xml:space="preserve"> Der Bot saß 5 cm zu tief, die Räder steckten optisch im Boden.</w:t>
      </w:r>
    </w:p>
    <w:p>
      <w:pPr/>
      <w:r>
        <w:rPr>
          <w:b/>
        </w:rPr>
        <w:t xml:space="preserve">Warum ist das ein Problem:</w:t>
      </w:r>
      <w:r>
        <w:t xml:space="preserve"> Die Option </w:t>
      </w:r>
      <w:r>
        <w:rPr>
          <w:i/>
        </w:rPr>
        <w:t xml:space="preserve">Auto Adjust Collision Size</w:t>
      </w:r>
      <w:r>
        <w:t xml:space="preserve"> misst den Radradius automatisch am Modell. Wegen der gedrehten Rad-Bones maß sie die Radbreite (4 cm) statt des Durchmessers. Mit dem falschen Radius rechnet PhysX Bodenkontakt und Federweg falsch.</w:t>
      </w:r>
    </w:p>
    <w:p>
      <w:pPr/>
      <w:r>
        <w:rPr>
          <w:b/>
        </w:rPr>
        <w:t xml:space="preserve">Lösung:</w:t>
      </w:r>
      <w:r>
        <w:t xml:space="preserve"> Automatik aus, Radius fest auf 9 cm. Die Rad-Kollisionsform war zwischenzeitlich abgeschaltet und ist seit der Bone-Korrektur (Problem 4) wieder an.</w:t>
      </w:r>
    </w:p>
    <w:p>
      <w:pPr/>
      <w:r>
        <w:rPr>
          <w:b/>
        </w:rPr>
        <w:t xml:space="preserve">Warum das hilft:</w:t>
      </w:r>
      <w:r>
        <w:t xml:space="preserve"> PhysX nutzt jetzt den gemessenen Radius des Modells. Mit korrekt ausgerichteten Bones sitzt die Radform genau am Rad und hebt den Bot nicht mehr an.</w:t>
      </w:r>
    </w:p>
    <w:p>
      <w:pPr>
        <w:pStyle w:val="Heading4"/>
      </w:pPr>
      <w:r>
        <w:t xml:space="preserve">Problem 3: Der Bot stand auf seiner eigenen Messbox</w:t>
      </w:r>
    </w:p>
    <w:p>
      <w:pPr/>
      <w:r>
        <w:rPr>
          <w:b/>
        </w:rPr>
        <w:t xml:space="preserve">Was passierte:</w:t>
      </w:r>
      <w:r>
        <w:t xml:space="preserve"> Der Bot stand stabil auf genau 0 cm, bewegte sich aber bei Vollgas keinen Millimeter.</w:t>
      </w:r>
    </w:p>
    <w:p>
      <w:pPr/>
      <w:r>
        <w:rPr>
          <w:b/>
        </w:rPr>
        <w:t xml:space="preserve">Warum ist das ein Problem:</w:t>
      </w:r>
      <w:r>
        <w:t xml:space="preserve"> Die CARLA-Box </w:t>
      </w:r>
      <w:r>
        <w:rPr>
          <w:rStyle w:val="CodeChar"/>
        </w:rPr>
        <w:t xml:space="preserve">VehicleBounds</w:t>
      </w:r>
      <w:r>
        <w:t xml:space="preserve"> reicht vom Boden bis 88 cm und war auf „anfassbar“ gestellt. Der Bot stand auf dieser Box wie auf einem Sockel. Die Räder trugen kein Gewicht und konnten keine Kraft auf die Straße bringen.</w:t>
      </w:r>
    </w:p>
    <w:p>
      <w:pPr/>
      <w:r>
        <w:rPr>
          <w:b/>
        </w:rPr>
        <w:t xml:space="preserve">Lösung:</w:t>
      </w:r>
      <w:r>
        <w:t xml:space="preserve"> Kollision der Box ausgeschaltet (</w:t>
      </w:r>
      <w:r>
        <w:rPr>
          <w:i/>
        </w:rPr>
        <w:t xml:space="preserve">NoCollision</w:t>
      </w:r>
      <w:r>
        <w:t xml:space="preserve">). Das ist auch bei allen mitgelieferten CARLA-Autos so eingestellt; verglichen am BMW Isetta.</w:t>
      </w:r>
    </w:p>
    <w:p>
      <w:pPr/>
      <w:r>
        <w:rPr>
          <w:b/>
        </w:rPr>
        <w:t xml:space="preserve">Warum das hilft:</w:t>
      </w:r>
      <w:r>
        <w:t xml:space="preserve"> Die Box beschreibt nur noch die Größe. Getragen wird der Bot nur noch über Federn und Räder.</w:t>
      </w:r>
    </w:p>
    <w:p>
      <w:pPr/>
      <w:r>
        <w:drawing>
          <wp:inline distT="0" distB="0" distL="0" distR="0">
            <wp:extent cx="5486400" cy="2792185"/>
            <wp:docPr id="11" name="image11" descr="Problem 3 · Messbox mit und ohne Kollision"/>
            <a:graphic xmlns:a="http://schemas.openxmlformats.org/drawingml/2006/main">
              <a:graphicData uri="http://schemas.openxmlformats.org/drawingml/2006/picture">
                <pic:pic xmlns:pic="http://schemas.openxmlformats.org/drawingml/2006/picture">
                  <pic:nvPicPr>
                    <pic:cNvPr id="11" name="image11" descr="Problem 3 · Messbox mit und ohne Kollision"/>
                    <pic:cNvPicPr/>
                  </pic:nvPicPr>
                  <pic:blipFill>
                    <a:blip r:embed="rId15"/>
                    <a:stretch>
                      <a:fillRect/>
                    </a:stretch>
                  </pic:blipFill>
                  <pic:spPr>
                    <a:xfrm>
                      <a:off x="0" y="0"/>
                      <a:ext cx="5486400" cy="2792185"/>
                    </a:xfrm>
                    <a:prstGeom prst="rect">
                      <a:avLst/>
                    </a:prstGeom>
                  </pic:spPr>
                </pic:pic>
              </a:graphicData>
            </a:graphic>
          </wp:inline>
        </w:drawing>
      </w:r>
    </w:p>
    <w:p>
      <w:pPr/>
      <w:r>
        <w:t xml:space="preserve">Problem 3 · Messbox mit und ohne Kollision</w:t>
      </w:r>
    </w:p>
    <w:p>
      <w:pPr>
        <w:pStyle w:val="Heading4"/>
      </w:pPr>
      <w:r>
        <w:t xml:space="preserve">Problem 4: Gekippter Haupt-Bone</w:t>
      </w:r>
    </w:p>
    <w:p>
      <w:pPr/>
      <w:r>
        <w:rPr>
          <w:b/>
        </w:rPr>
        <w:t xml:space="preserve">Was passierte:</w:t>
      </w:r>
      <w:r>
        <w:t xml:space="preserve"> Auch ohne Messbox meldeten alle vier Räder „in der Luft“. Der Motor drehte mit 6245 U/min hoch, der Bot lag auf seiner Physik-Box.</w:t>
      </w:r>
    </w:p>
    <w:p>
      <w:pPr/>
      <w:r>
        <w:rPr>
          <w:b/>
        </w:rPr>
        <w:t xml:space="preserve">Warum ist das ein Problem:</w:t>
      </w:r>
      <w:r>
        <w:t xml:space="preserve"> PhysX nimmt das Achsenkreuz des Haupt-Bones </w:t>
      </w:r>
      <w:r>
        <w:rPr>
          <w:rStyle w:val="CodeChar"/>
        </w:rPr>
        <w:t xml:space="preserve">VehicleBase</w:t>
      </w:r>
      <w:r>
        <w:t xml:space="preserve"> als Fahrzeug-Koordinatensystem. In Blender zeigte der Bone nach oben, in Unreal war er dadurch um 90° gekippt. Für PhysX war „unten“ deshalb seitwärts, und die Federungs-Strahlen gingen ins Leere.</w:t>
      </w:r>
    </w:p>
    <w:p>
      <w:pPr/>
      <w:r>
        <w:rPr>
          <w:b/>
        </w:rPr>
        <w:t xml:space="preserve">Lösung:</w:t>
      </w:r>
      <w:r>
        <w:t xml:space="preserve"> Alle Bones in Blender nach +Y mit Roll 0 ausgerichtet. Ihr Achsenkreuz entspricht jetzt genau dem des Modells.</w:t>
      </w:r>
    </w:p>
    <w:p>
      <w:pPr/>
      <w:r>
        <w:rPr>
          <w:b/>
        </w:rPr>
        <w:t xml:space="preserve">Warum das hilft:</w:t>
      </w:r>
      <w:r>
        <w:t xml:space="preserve"> „Unten“ ist wieder unten. Die Strahlen treffen die Straße, die Federn tragen den Bot, die Räder übertragen Kraft. Das war der entscheidende Fix: Danach fuhr der Bot.</w:t>
      </w:r>
    </w:p>
    <w:p>
      <w:pPr/>
      <w:r>
        <w:drawing>
          <wp:inline distT="0" distB="0" distL="0" distR="0">
            <wp:extent cx="5486400" cy="2432957"/>
            <wp:docPr id="12" name="image12" descr="Problem 4 · Federungs-Strahlen vorher und nachher"/>
            <a:graphic xmlns:a="http://schemas.openxmlformats.org/drawingml/2006/main">
              <a:graphicData uri="http://schemas.openxmlformats.org/drawingml/2006/picture">
                <pic:pic xmlns:pic="http://schemas.openxmlformats.org/drawingml/2006/picture">
                  <pic:nvPicPr>
                    <pic:cNvPr id="12" name="image12" descr="Problem 4 · Federungs-Strahlen vorher und nachher"/>
                    <pic:cNvPicPr/>
                  </pic:nvPicPr>
                  <pic:blipFill>
                    <a:blip r:embed="rId16"/>
                    <a:stretch>
                      <a:fillRect/>
                    </a:stretch>
                  </pic:blipFill>
                  <pic:spPr>
                    <a:xfrm>
                      <a:off x="0" y="0"/>
                      <a:ext cx="5486400" cy="2432957"/>
                    </a:xfrm>
                    <a:prstGeom prst="rect">
                      <a:avLst/>
                    </a:prstGeom>
                  </pic:spPr>
                </pic:pic>
              </a:graphicData>
            </a:graphic>
          </wp:inline>
        </w:drawing>
      </w:r>
    </w:p>
    <w:p>
      <w:pPr/>
      <w:r>
        <w:t xml:space="preserve">Problem 4 · Federungs-Strahlen vorher und nachher</w:t>
      </w:r>
    </w:p>
    <w:p>
      <w:pPr>
        <w:pStyle w:val="Heading4"/>
      </w:pPr>
      <w:r>
        <w:t xml:space="preserve">Problem 5: Schwerpunkt vor der Vorderachse</w:t>
      </w:r>
    </w:p>
    <w:p>
      <w:pPr/>
      <w:r>
        <w:rPr>
          <w:b/>
        </w:rPr>
        <w:t xml:space="preserve">Was passierte:</w:t>
      </w:r>
      <w:r>
        <w:t xml:space="preserve"> Im Blueprint war der Schwerpunkt um 25 cm nach vorne und 30 cm nach unten verschoben, ein übernommener Wert eines Autos.</w:t>
      </w:r>
    </w:p>
    <w:p>
      <w:pPr/>
      <w:r>
        <w:rPr>
          <w:b/>
        </w:rPr>
        <w:t xml:space="preserve">Warum ist das ein Problem:</w:t>
      </w:r>
      <w:r>
        <w:t xml:space="preserve"> Die Vorderachse sitzt nur 19 cm vor der Mitte. Der Schwerpunkt lag also vor dem vordersten Rad. PhysX verteilt das Gewicht nach der Lage des Schwerpunkts auf die Räder; den Hinterrädern bliebe rechnerisch ein negatives Gewicht.</w:t>
      </w:r>
    </w:p>
    <w:p>
      <w:pPr/>
      <w:r>
        <w:rPr>
          <w:b/>
        </w:rPr>
        <w:t xml:space="preserve">Lösung:</w:t>
      </w:r>
      <w:r>
        <w:t xml:space="preserve"> Schwerpunkt mittig und 15 cm tiefer gesetzt.</w:t>
      </w:r>
    </w:p>
    <w:p>
      <w:pPr/>
      <w:r>
        <w:rPr>
          <w:b/>
        </w:rPr>
        <w:t xml:space="preserve">Warum das hilft:</w:t>
      </w:r>
      <w:r>
        <w:t xml:space="preserve"> Alle Räder bekommen eine plausible Last. Der tiefere Schwerpunkt macht den hohen, schmalen Bot in Kurven kippstabiler.</w:t>
      </w:r>
    </w:p>
    <w:p>
      <w:pPr/>
      <w:r>
        <w:drawing>
          <wp:inline distT="0" distB="0" distL="0" distR="0">
            <wp:extent cx="5486400" cy="2432957"/>
            <wp:docPr id="13" name="image13" descr="Problem 5 · Lage des Schwerpunkts"/>
            <a:graphic xmlns:a="http://schemas.openxmlformats.org/drawingml/2006/main">
              <a:graphicData uri="http://schemas.openxmlformats.org/drawingml/2006/picture">
                <pic:pic xmlns:pic="http://schemas.openxmlformats.org/drawingml/2006/picture">
                  <pic:nvPicPr>
                    <pic:cNvPr id="13" name="image13" descr="Problem 5 · Lage des Schwerpunkts"/>
                    <pic:cNvPicPr/>
                  </pic:nvPicPr>
                  <pic:blipFill>
                    <a:blip r:embed="rId17"/>
                    <a:stretch>
                      <a:fillRect/>
                    </a:stretch>
                  </pic:blipFill>
                  <pic:spPr>
                    <a:xfrm>
                      <a:off x="0" y="0"/>
                      <a:ext cx="5486400" cy="2432957"/>
                    </a:xfrm>
                    <a:prstGeom prst="rect">
                      <a:avLst/>
                    </a:prstGeom>
                  </pic:spPr>
                </pic:pic>
              </a:graphicData>
            </a:graphic>
          </wp:inline>
        </w:drawing>
      </w:r>
    </w:p>
    <w:p>
      <w:pPr/>
      <w:r>
        <w:t xml:space="preserve">Problem 5 · Lage des Schwerpunkts</w:t>
      </w:r>
    </w:p>
    <w:p>
      <w:pPr>
        <w:pStyle w:val="Heading4"/>
      </w:pPr>
      <w:r>
        <w:t xml:space="preserve">Problem 6: Absturz beim Spawnen des HKA-Modells</w:t>
      </w:r>
    </w:p>
    <w:p>
      <w:pPr/>
      <w:r>
        <w:rPr>
          <w:b/>
        </w:rPr>
        <w:t xml:space="preserve">Was passierte:</w:t>
      </w:r>
      <w:r>
        <w:t xml:space="preserve"> Nach dem Neustart des Editors stürzte Unreal jedes Mal ab, sobald der Bot gespawnt wurde. Der Absturzbericht zeigte auf die CARLA-Funktion, die beim Start die Reibung der Reifen setzt.</w:t>
      </w:r>
    </w:p>
    <w:p>
      <w:pPr/>
      <w:r>
        <w:rPr>
          <w:b/>
        </w:rPr>
        <w:t xml:space="preserve">Warum ist das ein Problem:</w:t>
      </w:r>
      <w:r>
        <w:t xml:space="preserve"> Jedes Rad braucht eine Reifen-Konfiguration (</w:t>
      </w:r>
      <w:r>
        <w:rPr>
          <w:i/>
        </w:rPr>
        <w:t xml:space="preserve">Tire Config</w:t>
      </w:r>
      <w:r>
        <w:t xml:space="preserve">). Bei einem Test war sie durch ein nur im Arbeitsspeicher existierendes Objekt ersetzt und so gespeichert worden. Nach dem Neustart war das Feld leer. CARLA greift beim Spawnen darauf zu und löst damit einen Absturz aus. Zusätzlich ließ die abgeschaltete Radform (</w:t>
      </w:r>
      <w:r>
        <w:rPr>
          <w:i/>
        </w:rPr>
        <w:t xml:space="preserve">UsePhysAssetShape</w:t>
      </w:r>
      <w:r>
        <w:t xml:space="preserve">) das neue HKA-Mesh nicht sauber starten.</w:t>
      </w:r>
    </w:p>
    <w:p>
      <w:pPr/>
      <w:r>
        <w:rPr>
          <w:b/>
        </w:rPr>
        <w:t xml:space="preserve">Lösung:</w:t>
      </w:r>
      <w:r>
        <w:t xml:space="preserve"> Allen vier Rädern die Standard-Reifenkonfiguration </w:t>
      </w:r>
      <w:r>
        <w:rPr>
          <w:rStyle w:val="CodeChar"/>
        </w:rPr>
        <w:t xml:space="preserve">CommonTireConfig</w:t>
      </w:r>
      <w:r>
        <w:t xml:space="preserve"> von CARLA zugewiesen und die Radform wieder eingeschaltet. Gefunden über Symbol-Auflösung des Absturzberichts und einen Gegentest mit dem v4-Mesh.</w:t>
      </w:r>
    </w:p>
    <w:p>
      <w:pPr/>
      <w:r>
        <w:rPr>
          <w:b/>
        </w:rPr>
        <w:t xml:space="preserve">Warum das hilft:</w:t>
      </w:r>
      <w:r>
        <w:t xml:space="preserve"> Jedes Rad hat jetzt eine dauerhaft gespeicherte Reifen-Konfiguration, die auch nach einem Neustart vorhanden ist. Mit Radform erzeugt Unreal die Räder auf dem Standardweg.</w:t>
      </w:r>
    </w:p>
    <w:p>
      <w:pPr>
        <w:pStyle w:val="Heading4"/>
      </w:pPr>
      <w:r>
        <w:t xml:space="preserve">Begleitproblem: Editor-Abstürze beim Laden</w:t>
      </w:r>
    </w:p>
    <w:p>
      <w:pPr/>
      <w:r>
        <w:t xml:space="preserve">Der Rechner hat 16 GB Arbeitsspeicher. Town10 belegt im Editor zusammen mit </w:t>
      </w:r>
      <w:r>
        <w:rPr>
          <w:i/>
        </w:rPr>
        <w:t xml:space="preserve">Play</w:t>
      </w:r>
      <w:r>
        <w:t xml:space="preserve"> fast alles davon, mehrfach brach Unreal mit „out of memory“ ab. Getestet wird deshalb in der kleineren Karte Town02: Sie lädt in rund 25 s statt 4–5 min.</w:t>
      </w:r>
    </w:p>
    <w:p>
      <w:pPr/>
      <w:r>
        <w:rPr>
          <w:b/>
        </w:rPr>
        <w:t xml:space="preserve">Werkzeuge der Fehlersuche</w:t>
      </w:r>
    </w:p>
    <w:p>
      <w:pPr>
        <w:pStyle w:val="ListParagraph"/>
        <w:numPr>
          <w:ilvl w:val="0"/>
          <w:numId w:val="9"/>
        </w:numPr>
      </w:pPr>
      <w:r>
        <w:t xml:space="preserve">Editor-Python während </w:t>
      </w:r>
      <w:r>
        <w:rPr>
          <w:i/>
        </w:rPr>
        <w:t xml:space="preserve">Play</w:t>
      </w:r>
      <w:r>
        <w:t xml:space="preserve">: Motordrehzahl, Gang und </w:t>
      </w:r>
      <w:r>
        <w:rPr>
          <w:rStyle w:val="CodeChar"/>
        </w:rPr>
        <w:t xml:space="preserve">is_in_air</w:t>
      </w:r>
      <w:r>
        <w:t xml:space="preserve"> jedes Rads direkt am laufenden Fahrzeug auslesen.</w:t>
      </w:r>
    </w:p>
    <w:p>
      <w:pPr>
        <w:pStyle w:val="ListParagraph"/>
        <w:numPr>
          <w:ilvl w:val="0"/>
          <w:numId w:val="9"/>
        </w:numPr>
      </w:pPr>
      <w:r>
        <w:t xml:space="preserve">Linetraces in mehreren Höhen durch den Bot: zeigten, welche Komponente wo kollidiert.</w:t>
      </w:r>
    </w:p>
    <w:p>
      <w:pPr>
        <w:pStyle w:val="ListParagraph"/>
        <w:numPr>
          <w:ilvl w:val="0"/>
          <w:numId w:val="9"/>
        </w:numPr>
      </w:pPr>
      <w:r>
        <w:t xml:space="preserve">Vergleich mit einem Serienfahrzeug (BMW Isetta / Microlino) im selben Lauf.</w:t>
      </w:r>
    </w:p>
    <w:p>
      <w:pPr>
        <w:pStyle w:val="ListParagraph"/>
        <w:numPr>
          <w:ilvl w:val="0"/>
          <w:numId w:val="9"/>
        </w:numPr>
      </w:pPr>
      <w:r>
        <w:t xml:space="preserve">Änderungen am Blueprint-Default-Objekt während </w:t>
      </w:r>
      <w:r>
        <w:rPr>
          <w:i/>
        </w:rPr>
        <w:t xml:space="preserve">Play</w:t>
      </w:r>
      <w:r>
        <w:t xml:space="preserve"> gelten für jeden neu gespawnten Bot. So ließ sich ohne Neustart testen, gespeichert wurde erst nach </w:t>
      </w:r>
      <w:r>
        <w:rPr>
          <w:i/>
        </w:rPr>
        <w:t xml:space="preserve">Play</w:t>
      </w:r>
      <w:r>
        <w:t xml:space="preserve">.</w:t>
      </w:r>
    </w:p>
    <w:p>
      <w:pPr/>
      <w:r>
        <w:rPr>
          <w:b/>
        </w:rPr>
        <w:t xml:space="preserve">Hinweise für eigene Skripte</w:t>
      </w:r>
    </w:p>
    <w:p>
      <w:pPr>
        <w:pStyle w:val="ListParagraph"/>
        <w:numPr>
          <w:ilvl w:val="0"/>
          <w:numId w:val="10"/>
        </w:numPr>
      </w:pPr>
      <w:r>
        <w:rPr>
          <w:rStyle w:val="CodeChar"/>
        </w:rPr>
        <w:t xml:space="preserve">apply_physics_control()</w:t>
      </w:r>
      <w:r>
        <w:t xml:space="preserve"> aus der CARLA-API wirft den Bot aus der Welt. Physikwerte bitte im Blueprint ändern.</w:t>
      </w:r>
    </w:p>
    <w:p>
      <w:pPr>
        <w:pStyle w:val="ListParagraph"/>
        <w:numPr>
          <w:ilvl w:val="0"/>
          <w:numId w:val="10"/>
        </w:numPr>
      </w:pPr>
      <w:r>
        <w:t xml:space="preserve">Die Höchstgeschwindigkeit ist über die Motordrehzahl auf rund 6 km/h begrenzt, wie beim echten Starship.</w:t>
      </w:r>
    </w:p>
    <w:p>
      <w:pPr>
        <w:pStyle w:val="ListParagraph"/>
        <w:numPr>
          <w:ilvl w:val="0"/>
          <w:numId w:val="10"/>
        </w:numPr>
      </w:pPr>
      <w:r>
        <w:t xml:space="preserve">Einmal stürzte der Editor beim Start von </w:t>
      </w:r>
      <w:r>
        <w:rPr>
          <w:i/>
        </w:rPr>
        <w:t xml:space="preserve">Play</w:t>
      </w:r>
      <w:r>
        <w:t xml:space="preserve"> mit </w:t>
      </w:r>
      <w:r>
        <w:rPr>
          <w:rStyle w:val="CodeChar"/>
        </w:rPr>
        <w:t xml:space="preserve">DXGI_ERROR_DEVICE_HUNG</w:t>
      </w:r>
      <w:r>
        <w:t xml:space="preserve"> ab, einem Grafiktreiber-Timeout unter DirectX 12.</w:t>
      </w:r>
    </w:p>
    <w:p>
      <w:pPr>
        <w:pStyle w:val="Heading2"/>
      </w:pPr>
      <w:r>
        <w:t xml:space="preserve">Recherche: Sensorik des echten Starship-Roboters</w:t>
      </w:r>
    </w:p>
    <w:p>
      <w:pPr/>
      <w:r>
        <w:t xml:space="preserve">Starship nennt für die aktuelle Flotte 12 Kameras inklusive Time-of-Flight, dazu Radar, Ultraschall und neuronale Netze. Genaue Anzahlen für Radar und Ultraschall sowie die Einbaupositionen veröffentlicht die Firma nicht. Die Quellen widersprechen sich teilweise, weil sie verschiedene Robotergenerationen beschreiben.</w:t>
      </w:r>
    </w:p>
    <w:tbl>
      <w:tblPr>
        <w:tblStyle w:val="TableGrid"/>
        <w:tblW w:w="0" w:type="auto"/>
        <w:tblLayout w:type="fixed"/>
        <w:tblLook w:val="04A0" w:firstRow="1" w:lastRow="0" w:firstColumn="0" w:lastColumn="0" w:noHBand="0" w:noVBand="1"/>
      </w:tblPr>
      <w:tblGrid>
        <w:gridCol w:w="2017"/>
        <w:gridCol w:w="2261"/>
        <w:gridCol w:w="1526"/>
        <w:gridCol w:w="3556"/>
      </w:tblGrid>
      <w:tr>
        <w:trPr>
          <w:tblHeader/>
        </w:trPr>
        <w:tc>
          <w:tcPr>
            <w:tcW w:w="2017" w:type="dxa"/>
            <w:shd w:val="clear" w:color="auto" w:fill="F2F2F2"/>
          </w:tcPr>
          <w:p>
            <w:pPr/>
            <w:r>
              <w:t xml:space="preserve">Sensor</w:t>
            </w:r>
          </w:p>
        </w:tc>
        <w:tc>
          <w:tcPr>
            <w:tcW w:w="2261" w:type="dxa"/>
            <w:shd w:val="clear" w:color="auto" w:fill="F2F2F2"/>
          </w:tcPr>
          <w:p>
            <w:pPr/>
            <w:r>
              <w:t xml:space="preserve">Aktuell (Starship, Stand 2024–26)</w:t>
            </w:r>
          </w:p>
        </w:tc>
        <w:tc>
          <w:tcPr>
            <w:tcW w:w="1526" w:type="dxa"/>
            <w:shd w:val="clear" w:color="auto" w:fill="F2F2F2"/>
          </w:tcPr>
          <w:p>
            <w:pPr/>
            <w:r>
              <w:t xml:space="preserve">Frühe Generation (2016–18)</w:t>
            </w:r>
          </w:p>
        </w:tc>
        <w:tc>
          <w:tcPr>
            <w:tcW w:w="3556" w:type="dxa"/>
            <w:shd w:val="clear" w:color="auto" w:fill="F2F2F2"/>
          </w:tcPr>
          <w:p>
            <w:pPr/>
            <w:r>
              <w:t xml:space="preserve">Quelle</w:t>
            </w:r>
          </w:p>
        </w:tc>
      </w:tr>
      <w:tr>
        <w:tc>
          <w:tcPr>
            <w:tcW w:w="2017" w:type="dxa"/>
          </w:tcPr>
          <w:p>
            <w:pPr/>
            <w:r>
              <w:t xml:space="preserve">Kameras gesamt</w:t>
            </w:r>
          </w:p>
        </w:tc>
        <w:tc>
          <w:tcPr>
            <w:tcW w:w="2261" w:type="dxa"/>
          </w:tcPr>
          <w:p>
            <w:pPr/>
            <w:r>
              <w:t xml:space="preserve">12, inkl. Time-of-Flight</w:t>
            </w:r>
          </w:p>
        </w:tc>
        <w:tc>
          <w:tcPr>
            <w:tcW w:w="1526" w:type="dxa"/>
          </w:tcPr>
          <w:p>
            <w:pPr/>
            <w:r>
              <w:t xml:space="preserve">mind. 9 bzw. 10</w:t>
            </w:r>
          </w:p>
        </w:tc>
        <w:tc>
          <w:tcPr>
            <w:tcW w:w="3556" w:type="dxa"/>
          </w:tcPr>
          <w:p>
            <w:pPr/>
            <w:hyperlink r:id="rId18" w:history="1">
              <w:r>
                <w:rPr>
                  <w:rStyle w:val="Hyperlink"/>
                </w:rPr>
                <w:t xml:space="preserve">Starship: Our Robots</w:t>
              </w:r>
            </w:hyperlink>
            <w:r>
              <w:t xml:space="preserve">, </w:t>
            </w:r>
            <w:hyperlink r:id="rId10" w:history="1">
              <w:r>
                <w:rPr>
                  <w:rStyle w:val="Hyperlink"/>
                </w:rPr>
                <w:t xml:space="preserve">Wikipedia</w:t>
              </w:r>
            </w:hyperlink>
          </w:p>
        </w:tc>
      </w:tr>
      <w:tr>
        <w:tc>
          <w:tcPr>
            <w:tcW w:w="2017" w:type="dxa"/>
          </w:tcPr>
          <w:p>
            <w:pPr/>
            <w:r>
              <w:t xml:space="preserve">Stereo-Kameras (sichtbares Licht)</w:t>
            </w:r>
          </w:p>
        </w:tc>
        <w:tc>
          <w:tcPr>
            <w:tcW w:w="2261" w:type="dxa"/>
          </w:tcPr>
          <w:p>
            <w:pPr/>
            <w:r>
              <w:t xml:space="preserve">Anzahl nicht genannt</w:t>
            </w:r>
          </w:p>
        </w:tc>
        <w:tc>
          <w:tcPr>
            <w:tcW w:w="1526" w:type="dxa"/>
          </w:tcPr>
          <w:p>
            <w:pPr/>
            <w:r>
              <w:t xml:space="preserve">3 Stereo-Paare = 6</w:t>
            </w:r>
          </w:p>
        </w:tc>
        <w:tc>
          <w:tcPr>
            <w:tcW w:w="3556" w:type="dxa"/>
          </w:tcPr>
          <w:p>
            <w:pPr/>
            <w:hyperlink r:id="rId19" w:history="1">
              <w:r>
                <w:rPr>
                  <w:rStyle w:val="Hyperlink"/>
                </w:rPr>
                <w:t xml:space="preserve">Vision Systems Design</w:t>
              </w:r>
            </w:hyperlink>
          </w:p>
        </w:tc>
      </w:tr>
      <w:tr>
        <w:tc>
          <w:tcPr>
            <w:tcW w:w="2017" w:type="dxa"/>
          </w:tcPr>
          <w:p>
            <w:pPr/>
            <w:r>
              <w:t xml:space="preserve">Time-of-Flight-Kameras (3D)</w:t>
            </w:r>
          </w:p>
        </w:tc>
        <w:tc>
          <w:tcPr>
            <w:tcW w:w="2261" w:type="dxa"/>
          </w:tcPr>
          <w:p>
            <w:pPr/>
            <w:r>
              <w:t xml:space="preserve">enthalten, Chip ESPROS epc660</w:t>
            </w:r>
          </w:p>
        </w:tc>
        <w:tc>
          <w:tcPr>
            <w:tcW w:w="1526" w:type="dxa"/>
          </w:tcPr>
          <w:p>
            <w:pPr/>
            <w:r>
              <w:t xml:space="preserve">3</w:t>
            </w:r>
          </w:p>
        </w:tc>
        <w:tc>
          <w:tcPr>
            <w:tcW w:w="3556" w:type="dxa"/>
          </w:tcPr>
          <w:p>
            <w:pPr/>
            <w:hyperlink r:id="rId20" w:history="1">
              <w:r>
                <w:rPr>
                  <w:rStyle w:val="Hyperlink"/>
                </w:rPr>
                <w:t xml:space="preserve">The Robot Report, 30.11.2022</w:t>
              </w:r>
            </w:hyperlink>
            <w:r>
              <w:t xml:space="preserve">, Vision Systems Design</w:t>
            </w:r>
          </w:p>
        </w:tc>
      </w:tr>
      <w:tr>
        <w:tc>
          <w:tcPr>
            <w:tcW w:w="2017" w:type="dxa"/>
          </w:tcPr>
          <w:p>
            <w:pPr/>
            <w:r>
              <w:t xml:space="preserve">Radar</w:t>
            </w:r>
          </w:p>
        </w:tc>
        <w:tc>
          <w:tcPr>
            <w:tcW w:w="2261" w:type="dxa"/>
          </w:tcPr>
          <w:p>
            <w:pPr/>
            <w:r>
              <w:t xml:space="preserve">enthalten, Anzahl offen</w:t>
            </w:r>
          </w:p>
        </w:tc>
        <w:tc>
          <w:tcPr>
            <w:tcW w:w="1526" w:type="dxa"/>
          </w:tcPr>
          <w:p>
            <w:pPr/>
            <w:r>
              <w:t xml:space="preserve">4</w:t>
            </w:r>
          </w:p>
        </w:tc>
        <w:tc>
          <w:tcPr>
            <w:tcW w:w="3556" w:type="dxa"/>
          </w:tcPr>
          <w:p>
            <w:pPr/>
            <w:r>
              <w:t xml:space="preserve">Starship, </w:t>
            </w:r>
            <w:hyperlink r:id="rId21" w:history="1">
              <w:r>
                <w:rPr>
                  <w:rStyle w:val="Hyperlink"/>
                </w:rPr>
                <w:t xml:space="preserve">MIT Technology Review, 30.01.2018</w:t>
              </w:r>
            </w:hyperlink>
          </w:p>
        </w:tc>
      </w:tr>
      <w:tr>
        <w:tc>
          <w:tcPr>
            <w:tcW w:w="2017" w:type="dxa"/>
          </w:tcPr>
          <w:p>
            <w:pPr/>
            <w:r>
              <w:t xml:space="preserve">Ultraschall</w:t>
            </w:r>
          </w:p>
        </w:tc>
        <w:tc>
          <w:tcPr>
            <w:tcW w:w="2261" w:type="dxa"/>
          </w:tcPr>
          <w:p>
            <w:pPr/>
            <w:r>
              <w:t xml:space="preserve">enthalten, 360°-Abdeckung</w:t>
            </w:r>
          </w:p>
        </w:tc>
        <w:tc>
          <w:tcPr>
            <w:tcW w:w="1526" w:type="dxa"/>
          </w:tcPr>
          <w:p>
            <w:pPr/>
            <w:r>
              <w:t xml:space="preserve">8</w:t>
            </w:r>
          </w:p>
        </w:tc>
        <w:tc>
          <w:tcPr>
            <w:tcW w:w="3556" w:type="dxa"/>
          </w:tcPr>
          <w:p>
            <w:pPr/>
            <w:r>
              <w:t xml:space="preserve">Starship, MIT Technology Review, Vision Systems Design</w:t>
            </w:r>
          </w:p>
        </w:tc>
      </w:tr>
      <w:tr>
        <w:tc>
          <w:tcPr>
            <w:tcW w:w="2017" w:type="dxa"/>
          </w:tcPr>
          <w:p>
            <w:pPr/>
            <w:r>
              <w:t xml:space="preserve">GNSS (GPS)</w:t>
            </w:r>
          </w:p>
        </w:tc>
        <w:tc>
          <w:tcPr>
            <w:tcW w:w="2261" w:type="dxa"/>
          </w:tcPr>
          <w:p>
            <w:pPr/>
            <w:r>
              <w:t xml:space="preserve">enthalten</w:t>
            </w:r>
          </w:p>
        </w:tc>
        <w:tc>
          <w:tcPr>
            <w:tcW w:w="1526" w:type="dxa"/>
          </w:tcPr>
          <w:p>
            <w:pPr/>
            <w:r>
              <w:t xml:space="preserve">enthalten, Genauigkeit ca. 30 m</w:t>
            </w:r>
          </w:p>
        </w:tc>
        <w:tc>
          <w:tcPr>
            <w:tcW w:w="3556" w:type="dxa"/>
          </w:tcPr>
          <w:p>
            <w:pPr/>
            <w:r>
              <w:t xml:space="preserve">Wikipedia, Vision Systems Design</w:t>
            </w:r>
          </w:p>
        </w:tc>
      </w:tr>
      <w:tr>
        <w:tc>
          <w:tcPr>
            <w:tcW w:w="2017" w:type="dxa"/>
          </w:tcPr>
          <w:p>
            <w:pPr/>
            <w:r>
              <w:t xml:space="preserve">IMU (Beschleunigung, Drehrate)</w:t>
            </w:r>
          </w:p>
        </w:tc>
        <w:tc>
          <w:tcPr>
            <w:tcW w:w="2261" w:type="dxa"/>
          </w:tcPr>
          <w:p>
            <w:pPr/>
            <w:r>
              <w:t xml:space="preserve">enthalten</w:t>
            </w:r>
          </w:p>
        </w:tc>
        <w:tc>
          <w:tcPr>
            <w:tcW w:w="1526" w:type="dxa"/>
          </w:tcPr>
          <w:p>
            <w:pPr/>
            <w:r>
              <w:t xml:space="preserve">enthalten</w:t>
            </w:r>
          </w:p>
        </w:tc>
        <w:tc>
          <w:tcPr>
            <w:tcW w:w="3556" w:type="dxa"/>
          </w:tcPr>
          <w:p>
            <w:pPr/>
            <w:r>
              <w:t xml:space="preserve">Wikipedia, Vision Systems Design</w:t>
            </w:r>
          </w:p>
        </w:tc>
      </w:tr>
      <w:tr>
        <w:tc>
          <w:tcPr>
            <w:tcW w:w="2017" w:type="dxa"/>
          </w:tcPr>
          <w:p>
            <w:pPr/>
            <w:r>
              <w:t xml:space="preserve">Rechner</w:t>
            </w:r>
          </w:p>
        </w:tc>
        <w:tc>
          <w:tcPr>
            <w:tcW w:w="2261" w:type="dxa"/>
          </w:tcPr>
          <w:p>
            <w:pPr/>
            <w:r>
              <w:t xml:space="preserve">nicht genannt</w:t>
            </w:r>
          </w:p>
        </w:tc>
        <w:tc>
          <w:tcPr>
            <w:tcW w:w="1526" w:type="dxa"/>
          </w:tcPr>
          <w:p>
            <w:pPr/>
            <w:r>
              <w:t xml:space="preserve">Nvidia Tegra K1</w:t>
            </w:r>
          </w:p>
        </w:tc>
        <w:tc>
          <w:tcPr>
            <w:tcW w:w="3556" w:type="dxa"/>
          </w:tcPr>
          <w:p>
            <w:pPr/>
            <w:r>
              <w:t xml:space="preserve">Vision Systems Design</w:t>
            </w:r>
          </w:p>
        </w:tc>
      </w:tr>
    </w:tbl>
    <w:p>
      <w:pPr/>
      <w:r>
        <w:rPr>
          <w:b/>
        </w:rPr>
        <w:t xml:space="preserve">Patent zur Kameraanordnung:</w:t>
      </w:r>
      <w:r>
        <w:t xml:space="preserve"> Das Starship-Patent </w:t>
      </w:r>
      <w:hyperlink r:id="rId22" w:history="1">
        <w:r>
          <w:rPr>
            <w:rStyle w:val="Hyperlink"/>
          </w:rPr>
          <w:t xml:space="preserve">US 2018/0253107 A1</w:t>
        </w:r>
      </w:hyperlink>
      <w:r>
        <w:t xml:space="preserve"> (Anmelder Starship Technologies OÜ, Priorität 02.11.2015) beschreibt 9 Kameras: eine Einzelkamera vorne mit waagerechter Sicht sowie Stereo-Paare vorne, links, rechts und hinten. Die Abstände der Paare betragen vorne und hinten 5–10 cm, seitlich 15–20 cm. Die beiden vorderen Paar-Kameras sind 20–40° nach unten geneigt, die Sichtfelder betragen etwa 60° × 80°, seitliche Kameras sind hochkant eingebaut. Die Kameras nehmen 4 Bilder pro Sekunde auf, der Roboter fährt bevorzugt 4–6 km/h. Zusammen mit den drei ToF-Kameras aus Vision Systems Design ergibt das die 12 Kameras, die Starship heute angibt. Ein Patent beschreibt eine Ausführungsform; dass der Serienroboter genau so aufgebaut ist, bestätigt es nicht.</w:t>
      </w:r>
    </w:p>
    <w:p>
      <w:pPr/>
      <w:r>
        <w:rPr>
          <w:b/>
        </w:rPr>
        <w:t xml:space="preserve">Time-of-Flight-Chip:</w:t>
      </w:r>
      <w:r>
        <w:t xml:space="preserve"> Starship nutzt den ESPROS epc660. Der Chip arbeitet bei voller Sonne und bei Dunkelheit und braucht wenig Strom (</w:t>
      </w:r>
      <w:hyperlink r:id="rId20" w:history="1">
        <w:r>
          <w:rPr>
            <w:rStyle w:val="Hyperlink"/>
          </w:rPr>
          <w:t xml:space="preserve">The Robot Report</w:t>
        </w:r>
      </w:hyperlink>
      <w:r>
        <w:t xml:space="preserve">). Laut Datenblatt hat er 320 × 240 Pixel und liefert 12-Bit-Distanzwerte je Pixel (</w:t>
      </w:r>
      <w:hyperlink r:id="rId23" w:history="1">
        <w:r>
          <w:rPr>
            <w:rStyle w:val="Hyperlink"/>
          </w:rPr>
          <w:t xml:space="preserve">Datenblatt epc660, Kopie</w:t>
        </w:r>
      </w:hyperlink>
      <w:r>
        <w:t xml:space="preserve">).</w:t>
      </w:r>
    </w:p>
    <w:p>
      <w:pPr/>
      <w:r>
        <w:rPr>
          <w:b/>
        </w:rPr>
        <w:t xml:space="preserve">Verhalten bei Hindernissen:</w:t>
      </w:r>
      <w:r>
        <w:t xml:space="preserve"> Die Sensoren bilden eine „Bubble of Awareness“. Der Bot erkennt damit Fußgänger, Radfahrer oder Tiere und kann ausweichen oder in sicherem Abstand anhalten (</w:t>
      </w:r>
      <w:hyperlink r:id="rId18" w:history="1">
        <w:r>
          <w:rPr>
            <w:rStyle w:val="Hyperlink"/>
          </w:rPr>
          <w:t xml:space="preserve">Starship</w:t>
        </w:r>
      </w:hyperlink>
      <w:r>
        <w:t xml:space="preserve">). Kamera und Ultraschall zusammen erzeugen diese Zone (</w:t>
      </w:r>
      <w:hyperlink r:id="rId19" w:history="1">
        <w:r>
          <w:rPr>
            <w:rStyle w:val="Hyperlink"/>
          </w:rPr>
          <w:t xml:space="preserve">Vision Systems Design</w:t>
        </w:r>
      </w:hyperlink>
      <w:r>
        <w:t xml:space="preserve">).</w:t>
      </w:r>
    </w:p>
    <w:p>
      <w:pPr/>
      <w:r>
        <w:rPr>
          <w:b/>
        </w:rPr>
        <w:t xml:space="preserve">Eckdaten des echten Roboters:</w:t>
      </w:r>
      <w:r>
        <w:t xml:space="preserve"> höchstens 6 km/h, 25 kg leer, bis 9,1 kg Zuladung, im Schnitt 18 h Akkulaufzeit (</w:t>
      </w:r>
      <w:hyperlink r:id="rId10" w:history="1">
        <w:r>
          <w:rPr>
            <w:rStyle w:val="Hyperlink"/>
          </w:rPr>
          <w:t xml:space="preserve">Wikipedia</w:t>
        </w:r>
      </w:hyperlink>
      <w:r>
        <w:t xml:space="preserve">).</w:t>
      </w:r>
    </w:p>
    <w:p>
      <w:pPr/>
      <w:r>
        <w:t xml:space="preserve">Offene Punkte: genaue Anzahl von Radar und Ultraschall in der aktuellen Generation sowie alle Einbaupositionen. Für die Simulation wurden die Werte der frühen Generation (4 Radar, 8 Ultraschall) übernommen.</w:t>
      </w:r>
    </w:p>
    <w:p>
      <w:pPr>
        <w:pStyle w:val="Heading2"/>
      </w:pPr>
      <w:r>
        <w:t xml:space="preserve">Sensor-Platzierung am Modell</w:t>
      </w:r>
    </w:p>
    <w:p>
      <w:pPr/>
      <w:r>
        <w:t xml:space="preserve">Die Kameras sind so angeordnet, wie es Starship im Patent </w:t>
      </w:r>
      <w:hyperlink r:id="rId22" w:history="1">
        <w:r>
          <w:rPr>
            <w:rStyle w:val="Hyperlink"/>
          </w:rPr>
          <w:t xml:space="preserve">US 2018/0253107 A1</w:t>
        </w:r>
      </w:hyperlink>
      <w:r>
        <w:t xml:space="preserve"> beschreibt. Für ToF, Radar, Ultraschall, GNSS und IMU gibt es keine veröffentlichten Einbaupositionen. Ihre Lage ist deshalb aus den Anforderungen des jeweiligen Sensors begründet. Insgesamt sitzen 26 Sensoren in vier Höhenbändern: Kameras auf 40–42 cm, Radar auf 35 cm, ToF auf 30 cm, Ultraschall auf 22 cm, GNSS auf dem Deckel.</w:t>
      </w:r>
    </w:p>
    <w:p>
      <w:pPr/>
      <w:r>
        <w:drawing>
          <wp:inline distT="0" distB="0" distL="0" distR="0">
            <wp:extent cx="5486400" cy="5102678"/>
            <wp:docPr id="14" name="image14" descr="Draufsicht · 26 Sensoren am Rumpf"/>
            <a:graphic xmlns:a="http://schemas.openxmlformats.org/drawingml/2006/main">
              <a:graphicData uri="http://schemas.openxmlformats.org/drawingml/2006/picture">
                <pic:pic xmlns:pic="http://schemas.openxmlformats.org/drawingml/2006/picture">
                  <pic:nvPicPr>
                    <pic:cNvPr id="14" name="image14" descr="Draufsicht · 26 Sensoren am Rumpf"/>
                    <pic:cNvPicPr/>
                  </pic:nvPicPr>
                  <pic:blipFill>
                    <a:blip r:embed="rId24"/>
                    <a:stretch>
                      <a:fillRect/>
                    </a:stretch>
                  </pic:blipFill>
                  <pic:spPr>
                    <a:xfrm>
                      <a:off x="0" y="0"/>
                      <a:ext cx="5486400" cy="5102678"/>
                    </a:xfrm>
                    <a:prstGeom prst="rect">
                      <a:avLst/>
                    </a:prstGeom>
                  </pic:spPr>
                </pic:pic>
              </a:graphicData>
            </a:graphic>
          </wp:inline>
        </w:drawing>
      </w:r>
    </w:p>
    <w:p>
      <w:pPr/>
      <w:r>
        <w:t xml:space="preserve">Draufsicht · 26 Sensoren am Rumpf</w:t>
      </w:r>
    </w:p>
    <w:p>
      <w:pPr/>
      <w:r>
        <w:t xml:space="preserve">Vorne sitzen eine Einzelkamera und ein nach unten geneigtes Stereo-Paar, dazu je ein Stereo-Paar links, rechts und hinten. Darunter liegen an drei Seiten ToF, an allen vier Seiten Radar, und ein Ring aus acht Ultraschallsensoren.</w:t>
      </w:r>
    </w:p>
    <w:p>
      <w:pPr/>
      <w:r>
        <w:drawing>
          <wp:inline distT="0" distB="0" distL="0" distR="0">
            <wp:extent cx="5486400" cy="4114800"/>
            <wp:docPr id="15" name="image15" descr="Beschriftete Sensor-Marker am HKA-Modell, Ansicht schräg von vorne links: K Kamera (blau), T ToF (lila), R Radar (rot), U Ultraschall (grün), G GNSS (gelb)"/>
            <a:graphic xmlns:a="http://schemas.openxmlformats.org/drawingml/2006/main">
              <a:graphicData uri="http://schemas.openxmlformats.org/drawingml/2006/picture">
                <pic:pic xmlns:pic="http://schemas.openxmlformats.org/drawingml/2006/picture">
                  <pic:nvPicPr>
                    <pic:cNvPr id="15" name="image15" descr="Beschriftete Sensor-Marker am HKA-Modell, Ansicht schräg von vorne links: K Kamera (blau), T ToF (lila), R Radar (rot), U Ultraschall (grün), G GNSS (gelb)"/>
                    <pic:cNvPicPr/>
                  </pic:nvPicPr>
                  <pic:blipFill>
                    <a:blip r:embed="rId25"/>
                    <a:stretch>
                      <a:fillRect/>
                    </a:stretch>
                  </pic:blipFill>
                  <pic:spPr>
                    <a:xfrm>
                      <a:off x="0" y="0"/>
                      <a:ext cx="5486400" cy="4114800"/>
                    </a:xfrm>
                    <a:prstGeom prst="rect">
                      <a:avLst/>
                    </a:prstGeom>
                  </pic:spPr>
                </pic:pic>
              </a:graphicData>
            </a:graphic>
          </wp:inline>
        </w:drawing>
      </w:r>
    </w:p>
    <w:p>
      <w:pPr/>
      <w:r>
        <w:drawing>
          <wp:inline distT="0" distB="0" distL="0" distR="0">
            <wp:extent cx="5486400" cy="4114800"/>
            <wp:docPr id="16" name="image16" descr="Beschriftete Sensor-Marker am HKA-Modell, Ansicht schräg von hinten rechts"/>
            <a:graphic xmlns:a="http://schemas.openxmlformats.org/drawingml/2006/main">
              <a:graphicData uri="http://schemas.openxmlformats.org/drawingml/2006/picture">
                <pic:pic xmlns:pic="http://schemas.openxmlformats.org/drawingml/2006/picture">
                  <pic:nvPicPr>
                    <pic:cNvPr id="16" name="image16" descr="Beschriftete Sensor-Marker am HKA-Modell, Ansicht schräg von hinten rechts"/>
                    <pic:cNvPicPr/>
                  </pic:nvPicPr>
                  <pic:blipFill>
                    <a:blip r:embed="rId26"/>
                    <a:stretch>
                      <a:fillRect/>
                    </a:stretch>
                  </pic:blipFill>
                  <pic:spPr>
                    <a:xfrm>
                      <a:off x="0" y="0"/>
                      <a:ext cx="5486400" cy="4114800"/>
                    </a:xfrm>
                    <a:prstGeom prst="rect">
                      <a:avLst/>
                    </a:prstGeom>
                  </pic:spPr>
                </pic:pic>
              </a:graphicData>
            </a:graphic>
          </wp:inline>
        </w:drawing>
      </w:r>
    </w:p>
    <w:p>
      <w:pPr/>
      <w:r>
        <w:rPr>
          <w:b/>
        </w:rPr>
        <w:t xml:space="preserve">Einbaupositionen</w:t>
      </w:r>
      <w:r>
        <w:t xml:space="preserve"> (Meter, CARLA-Achsen: x vorne, y rechts, z oben; Ursprung am Boden in Fahrzeugmitte)</w:t>
      </w:r>
    </w:p>
    <w:tbl>
      <w:tblPr>
        <w:tblStyle w:val="TableGrid"/>
        <w:tblW w:w="0" w:type="auto"/>
        <w:tblLayout w:type="fixed"/>
        <w:tblLook w:val="04A0" w:firstRow="1" w:lastRow="0" w:firstColumn="0" w:lastColumn="0" w:noHBand="0" w:noVBand="1"/>
      </w:tblPr>
      <w:tblGrid>
        <w:gridCol w:w="1066"/>
        <w:gridCol w:w="1423"/>
        <w:gridCol w:w="1170"/>
        <w:gridCol w:w="892"/>
        <w:gridCol w:w="892"/>
        <w:gridCol w:w="720"/>
        <w:gridCol w:w="1170"/>
        <w:gridCol w:w="2027"/>
      </w:tblGrid>
      <w:tr>
        <w:trPr>
          <w:tblHeader/>
        </w:trPr>
        <w:tc>
          <w:tcPr>
            <w:tcW w:w="1066" w:type="dxa"/>
            <w:shd w:val="clear" w:color="auto" w:fill="F2F2F2"/>
          </w:tcPr>
          <w:p>
            <w:pPr/>
            <w:r>
              <w:t xml:space="preserve">Nr.</w:t>
            </w:r>
          </w:p>
        </w:tc>
        <w:tc>
          <w:tcPr>
            <w:tcW w:w="1423" w:type="dxa"/>
            <w:shd w:val="clear" w:color="auto" w:fill="F2F2F2"/>
          </w:tcPr>
          <w:p>
            <w:pPr/>
            <w:r>
              <w:t xml:space="preserve">ID (Frame-Name)</w:t>
            </w:r>
          </w:p>
        </w:tc>
        <w:tc>
          <w:tcPr>
            <w:tcW w:w="1170" w:type="dxa"/>
            <w:shd w:val="clear" w:color="auto" w:fill="F2F2F2"/>
          </w:tcPr>
          <w:p>
            <w:pPr/>
            <w:r>
              <w:t xml:space="preserve">Typ</w:t>
            </w:r>
          </w:p>
        </w:tc>
        <w:tc>
          <w:tcPr>
            <w:tcW w:w="892" w:type="dxa"/>
            <w:shd w:val="clear" w:color="auto" w:fill="F2F2F2"/>
          </w:tcPr>
          <w:p>
            <w:pPr/>
            <w:r>
              <w:t xml:space="preserve">x</w:t>
            </w:r>
          </w:p>
        </w:tc>
        <w:tc>
          <w:tcPr>
            <w:tcW w:w="892" w:type="dxa"/>
            <w:shd w:val="clear" w:color="auto" w:fill="F2F2F2"/>
          </w:tcPr>
          <w:p>
            <w:pPr/>
            <w:r>
              <w:t xml:space="preserve">y</w:t>
            </w:r>
          </w:p>
        </w:tc>
        <w:tc>
          <w:tcPr>
            <w:tcW w:w="720" w:type="dxa"/>
            <w:shd w:val="clear" w:color="auto" w:fill="F2F2F2"/>
          </w:tcPr>
          <w:p>
            <w:pPr/>
            <w:r>
              <w:t xml:space="preserve">z</w:t>
            </w:r>
          </w:p>
        </w:tc>
        <w:tc>
          <w:tcPr>
            <w:tcW w:w="1170" w:type="dxa"/>
            <w:shd w:val="clear" w:color="auto" w:fill="F2F2F2"/>
          </w:tcPr>
          <w:p>
            <w:pPr/>
            <w:r>
              <w:t xml:space="preserve">Gier / Nick</w:t>
            </w:r>
          </w:p>
        </w:tc>
        <w:tc>
          <w:tcPr>
            <w:tcW w:w="2027" w:type="dxa"/>
            <w:shd w:val="clear" w:color="auto" w:fill="F2F2F2"/>
          </w:tcPr>
          <w:p>
            <w:pPr/>
            <w:r>
              <w:t xml:space="preserve">Beleg bzw. Begründung</w:t>
            </w:r>
          </w:p>
        </w:tc>
      </w:tr>
      <w:tr>
        <w:tc>
          <w:tcPr>
            <w:tcW w:w="1066" w:type="dxa"/>
          </w:tcPr>
          <w:p>
            <w:pPr/>
            <w:r>
              <w:t xml:space="preserve">K1</w:t>
            </w:r>
          </w:p>
        </w:tc>
        <w:tc>
          <w:tcPr>
            <w:tcW w:w="1423" w:type="dxa"/>
          </w:tcPr>
          <w:p>
            <w:pPr/>
            <w:r>
              <w:rPr>
                <w:rStyle w:val="CodeChar"/>
              </w:rPr>
              <w:t xml:space="preserve">cam_front</w:t>
            </w:r>
          </w:p>
        </w:tc>
        <w:tc>
          <w:tcPr>
            <w:tcW w:w="1170" w:type="dxa"/>
          </w:tcPr>
          <w:p>
            <w:pPr/>
            <w:r>
              <w:t xml:space="preserve">Kamera 640×480, 80°, 4 Bilder/s</w:t>
            </w:r>
          </w:p>
        </w:tc>
        <w:tc>
          <w:tcPr>
            <w:tcW w:w="892" w:type="dxa"/>
          </w:tcPr>
          <w:p>
            <w:pPr/>
            <w:r>
              <w:t xml:space="preserve">0,28</w:t>
            </w:r>
          </w:p>
        </w:tc>
        <w:tc>
          <w:tcPr>
            <w:tcW w:w="892" w:type="dxa"/>
          </w:tcPr>
          <w:p>
            <w:pPr/>
            <w:r>
              <w:t xml:space="preserve">0</w:t>
            </w:r>
          </w:p>
        </w:tc>
        <w:tc>
          <w:tcPr>
            <w:tcW w:w="720" w:type="dxa"/>
          </w:tcPr>
          <w:p>
            <w:pPr/>
            <w:r>
              <w:t xml:space="preserve">0,42</w:t>
            </w:r>
          </w:p>
        </w:tc>
        <w:tc>
          <w:tcPr>
            <w:tcW w:w="1170" w:type="dxa"/>
          </w:tcPr>
          <w:p>
            <w:pPr/>
            <w:r>
              <w:t xml:space="preserve">0° / 0°</w:t>
            </w:r>
          </w:p>
        </w:tc>
        <w:tc>
          <w:tcPr>
            <w:tcW w:w="2027" w:type="dxa"/>
          </w:tcPr>
          <w:p>
            <w:pPr/>
            <w:r>
              <w:t xml:space="preserve">Patent: Einzelkamera vorne, waagerechte Sicht</w:t>
            </w:r>
          </w:p>
        </w:tc>
      </w:tr>
      <w:tr>
        <w:tc>
          <w:tcPr>
            <w:tcW w:w="1066" w:type="dxa"/>
          </w:tcPr>
          <w:p>
            <w:pPr/>
            <w:r>
              <w:t xml:space="preserve">K2 / K3</w:t>
            </w:r>
          </w:p>
        </w:tc>
        <w:tc>
          <w:tcPr>
            <w:tcW w:w="1423" w:type="dxa"/>
          </w:tcPr>
          <w:p>
            <w:pPr/>
            <w:r>
              <w:rPr>
                <w:rStyle w:val="CodeChar"/>
              </w:rPr>
              <w:t xml:space="preserve">cam_front_left</w:t>
            </w:r>
            <w:r>
              <w:t xml:space="preserve"> / </w:t>
            </w:r>
            <w:r>
              <w:rPr>
                <w:rStyle w:val="CodeChar"/>
              </w:rPr>
              <w:t xml:space="preserve">cam_front_right</w:t>
            </w:r>
          </w:p>
        </w:tc>
        <w:tc>
          <w:tcPr>
            <w:tcW w:w="1170" w:type="dxa"/>
          </w:tcPr>
          <w:p>
            <w:pPr/>
            <w:r>
              <w:t xml:space="preserve">Stereo-Paar</w:t>
            </w:r>
          </w:p>
        </w:tc>
        <w:tc>
          <w:tcPr>
            <w:tcW w:w="892" w:type="dxa"/>
          </w:tcPr>
          <w:p>
            <w:pPr/>
            <w:r>
              <w:t xml:space="preserve">0,28</w:t>
            </w:r>
          </w:p>
        </w:tc>
        <w:tc>
          <w:tcPr>
            <w:tcW w:w="892" w:type="dxa"/>
          </w:tcPr>
          <w:p>
            <w:pPr/>
            <w:r>
              <w:t xml:space="preserve">−0,04 / 0,04</w:t>
            </w:r>
          </w:p>
        </w:tc>
        <w:tc>
          <w:tcPr>
            <w:tcW w:w="720" w:type="dxa"/>
          </w:tcPr>
          <w:p>
            <w:pPr/>
            <w:r>
              <w:t xml:space="preserve">0,40</w:t>
            </w:r>
          </w:p>
        </w:tc>
        <w:tc>
          <w:tcPr>
            <w:tcW w:w="1170" w:type="dxa"/>
          </w:tcPr>
          <w:p>
            <w:pPr/>
            <w:r>
              <w:t xml:space="preserve">0° / −30°</w:t>
            </w:r>
          </w:p>
        </w:tc>
        <w:tc>
          <w:tcPr>
            <w:tcW w:w="2027" w:type="dxa"/>
          </w:tcPr>
          <w:p>
            <w:pPr/>
            <w:r>
              <w:t xml:space="preserve">Patent: Paar vorne, Basis 5–10 cm, 20–40° nach unten</w:t>
            </w:r>
          </w:p>
        </w:tc>
      </w:tr>
      <w:tr>
        <w:tc>
          <w:tcPr>
            <w:tcW w:w="1066" w:type="dxa"/>
          </w:tcPr>
          <w:p>
            <w:pPr/>
            <w:r>
              <w:t xml:space="preserve">K4 / K5</w:t>
            </w:r>
          </w:p>
        </w:tc>
        <w:tc>
          <w:tcPr>
            <w:tcW w:w="1423" w:type="dxa"/>
          </w:tcPr>
          <w:p>
            <w:pPr/>
            <w:r>
              <w:rPr>
                <w:rStyle w:val="CodeChar"/>
              </w:rPr>
              <w:t xml:space="preserve">cam_left_front</w:t>
            </w:r>
            <w:r>
              <w:t xml:space="preserve"> / </w:t>
            </w:r>
            <w:r>
              <w:rPr>
                <w:rStyle w:val="CodeChar"/>
              </w:rPr>
              <w:t xml:space="preserve">cam_left_rear</w:t>
            </w:r>
          </w:p>
        </w:tc>
        <w:tc>
          <w:tcPr>
            <w:tcW w:w="1170" w:type="dxa"/>
          </w:tcPr>
          <w:p>
            <w:pPr/>
            <w:r>
              <w:t xml:space="preserve">Stereo-Paar hochkant 480×640, 60°</w:t>
            </w:r>
          </w:p>
        </w:tc>
        <w:tc>
          <w:tcPr>
            <w:tcW w:w="892" w:type="dxa"/>
          </w:tcPr>
          <w:p>
            <w:pPr/>
            <w:r>
              <w:t xml:space="preserve">0,09 / −0,09</w:t>
            </w:r>
          </w:p>
        </w:tc>
        <w:tc>
          <w:tcPr>
            <w:tcW w:w="892" w:type="dxa"/>
          </w:tcPr>
          <w:p>
            <w:pPr/>
            <w:r>
              <w:t xml:space="preserve">−0,23</w:t>
            </w:r>
          </w:p>
        </w:tc>
        <w:tc>
          <w:tcPr>
            <w:tcW w:w="720" w:type="dxa"/>
          </w:tcPr>
          <w:p>
            <w:pPr/>
            <w:r>
              <w:t xml:space="preserve">0,40</w:t>
            </w:r>
          </w:p>
        </w:tc>
        <w:tc>
          <w:tcPr>
            <w:tcW w:w="1170" w:type="dxa"/>
          </w:tcPr>
          <w:p>
            <w:pPr/>
            <w:r>
              <w:t xml:space="preserve">−90° / −10°</w:t>
            </w:r>
          </w:p>
        </w:tc>
        <w:tc>
          <w:tcPr>
            <w:tcW w:w="2027" w:type="dxa"/>
          </w:tcPr>
          <w:p>
            <w:pPr/>
            <w:r>
              <w:t xml:space="preserve">Patent: Paar links, Basis 15–20 cm, hochkant</w:t>
            </w:r>
          </w:p>
        </w:tc>
      </w:tr>
      <w:tr>
        <w:tc>
          <w:tcPr>
            <w:tcW w:w="1066" w:type="dxa"/>
          </w:tcPr>
          <w:p>
            <w:pPr/>
            <w:r>
              <w:t xml:space="preserve">K6 / K7</w:t>
            </w:r>
          </w:p>
        </w:tc>
        <w:tc>
          <w:tcPr>
            <w:tcW w:w="1423" w:type="dxa"/>
          </w:tcPr>
          <w:p>
            <w:pPr/>
            <w:r>
              <w:rPr>
                <w:rStyle w:val="CodeChar"/>
              </w:rPr>
              <w:t xml:space="preserve">cam_right_rear</w:t>
            </w:r>
            <w:r>
              <w:t xml:space="preserve"> / </w:t>
            </w:r>
            <w:r>
              <w:rPr>
                <w:rStyle w:val="CodeChar"/>
              </w:rPr>
              <w:t xml:space="preserve">cam_right_front</w:t>
            </w:r>
          </w:p>
        </w:tc>
        <w:tc>
          <w:tcPr>
            <w:tcW w:w="1170" w:type="dxa"/>
          </w:tcPr>
          <w:p>
            <w:pPr/>
            <w:r>
              <w:t xml:space="preserve">Stereo-Paar hochkant</w:t>
            </w:r>
          </w:p>
        </w:tc>
        <w:tc>
          <w:tcPr>
            <w:tcW w:w="892" w:type="dxa"/>
          </w:tcPr>
          <w:p>
            <w:pPr/>
            <w:r>
              <w:t xml:space="preserve">−0,09 / 0,09</w:t>
            </w:r>
          </w:p>
        </w:tc>
        <w:tc>
          <w:tcPr>
            <w:tcW w:w="892" w:type="dxa"/>
          </w:tcPr>
          <w:p>
            <w:pPr/>
            <w:r>
              <w:t xml:space="preserve">0,23</w:t>
            </w:r>
          </w:p>
        </w:tc>
        <w:tc>
          <w:tcPr>
            <w:tcW w:w="720" w:type="dxa"/>
          </w:tcPr>
          <w:p>
            <w:pPr/>
            <w:r>
              <w:t xml:space="preserve">0,40</w:t>
            </w:r>
          </w:p>
        </w:tc>
        <w:tc>
          <w:tcPr>
            <w:tcW w:w="1170" w:type="dxa"/>
          </w:tcPr>
          <w:p>
            <w:pPr/>
            <w:r>
              <w:t xml:space="preserve">90° / −10°</w:t>
            </w:r>
          </w:p>
        </w:tc>
        <w:tc>
          <w:tcPr>
            <w:tcW w:w="2027" w:type="dxa"/>
          </w:tcPr>
          <w:p>
            <w:pPr/>
            <w:r>
              <w:t xml:space="preserve">Patent: Paar rechts</w:t>
            </w:r>
          </w:p>
        </w:tc>
      </w:tr>
      <w:tr>
        <w:tc>
          <w:tcPr>
            <w:tcW w:w="1066" w:type="dxa"/>
          </w:tcPr>
          <w:p>
            <w:pPr/>
            <w:r>
              <w:t xml:space="preserve">K8 / K9</w:t>
            </w:r>
          </w:p>
        </w:tc>
        <w:tc>
          <w:tcPr>
            <w:tcW w:w="1423" w:type="dxa"/>
          </w:tcPr>
          <w:p>
            <w:pPr/>
            <w:r>
              <w:rPr>
                <w:rStyle w:val="CodeChar"/>
              </w:rPr>
              <w:t xml:space="preserve">cam_rear_left</w:t>
            </w:r>
            <w:r>
              <w:t xml:space="preserve"> / </w:t>
            </w:r>
            <w:r>
              <w:rPr>
                <w:rStyle w:val="CodeChar"/>
              </w:rPr>
              <w:t xml:space="preserve">cam_rear_right</w:t>
            </w:r>
          </w:p>
        </w:tc>
        <w:tc>
          <w:tcPr>
            <w:tcW w:w="1170" w:type="dxa"/>
          </w:tcPr>
          <w:p>
            <w:pPr/>
            <w:r>
              <w:t xml:space="preserve">Stereo-Paar</w:t>
            </w:r>
          </w:p>
        </w:tc>
        <w:tc>
          <w:tcPr>
            <w:tcW w:w="892" w:type="dxa"/>
          </w:tcPr>
          <w:p>
            <w:pPr/>
            <w:r>
              <w:t xml:space="preserve">−0,28</w:t>
            </w:r>
          </w:p>
        </w:tc>
        <w:tc>
          <w:tcPr>
            <w:tcW w:w="892" w:type="dxa"/>
          </w:tcPr>
          <w:p>
            <w:pPr/>
            <w:r>
              <w:t xml:space="preserve">0,04 / −0,04</w:t>
            </w:r>
          </w:p>
        </w:tc>
        <w:tc>
          <w:tcPr>
            <w:tcW w:w="720" w:type="dxa"/>
          </w:tcPr>
          <w:p>
            <w:pPr/>
            <w:r>
              <w:t xml:space="preserve">0,40</w:t>
            </w:r>
          </w:p>
        </w:tc>
        <w:tc>
          <w:tcPr>
            <w:tcW w:w="1170" w:type="dxa"/>
          </w:tcPr>
          <w:p>
            <w:pPr/>
            <w:r>
              <w:t xml:space="preserve">180° / −10°</w:t>
            </w:r>
          </w:p>
        </w:tc>
        <w:tc>
          <w:tcPr>
            <w:tcW w:w="2027" w:type="dxa"/>
          </w:tcPr>
          <w:p>
            <w:pPr/>
            <w:r>
              <w:t xml:space="preserve">Patent: Paar hinten, Basis 5–10 cm</w:t>
            </w:r>
          </w:p>
        </w:tc>
      </w:tr>
      <w:tr>
        <w:tc>
          <w:tcPr>
            <w:tcW w:w="1066" w:type="dxa"/>
          </w:tcPr>
          <w:p>
            <w:pPr/>
            <w:r>
              <w:t xml:space="preserve">T1–T3</w:t>
            </w:r>
          </w:p>
        </w:tc>
        <w:tc>
          <w:tcPr>
            <w:tcW w:w="1423" w:type="dxa"/>
          </w:tcPr>
          <w:p>
            <w:pPr/>
            <w:r>
              <w:rPr>
                <w:rStyle w:val="CodeChar"/>
              </w:rPr>
              <w:t xml:space="preserve">tof_front</w:t>
            </w:r>
            <w:r>
              <w:t xml:space="preserve">, </w:t>
            </w:r>
            <w:r>
              <w:rPr>
                <w:rStyle w:val="CodeChar"/>
              </w:rPr>
              <w:t xml:space="preserve">tof_left</w:t>
            </w:r>
            <w:r>
              <w:t xml:space="preserve">, </w:t>
            </w:r>
            <w:r>
              <w:rPr>
                <w:rStyle w:val="CodeChar"/>
              </w:rPr>
              <w:t xml:space="preserve">tof_right</w:t>
            </w:r>
          </w:p>
        </w:tc>
        <w:tc>
          <w:tcPr>
            <w:tcW w:w="1170" w:type="dxa"/>
          </w:tcPr>
          <w:p>
            <w:pPr/>
            <w:r>
              <w:t xml:space="preserve">ToF 320×240, 90°, bis 5 m</w:t>
            </w:r>
          </w:p>
        </w:tc>
        <w:tc>
          <w:tcPr>
            <w:tcW w:w="892" w:type="dxa"/>
          </w:tcPr>
          <w:p>
            <w:pPr/>
            <w:r>
              <w:t xml:space="preserve">0,28 / 0 / 0</w:t>
            </w:r>
          </w:p>
        </w:tc>
        <w:tc>
          <w:tcPr>
            <w:tcW w:w="892" w:type="dxa"/>
          </w:tcPr>
          <w:p>
            <w:pPr/>
            <w:r>
              <w:t xml:space="preserve">0 / −0,23 / 0,23</w:t>
            </w:r>
          </w:p>
        </w:tc>
        <w:tc>
          <w:tcPr>
            <w:tcW w:w="720" w:type="dxa"/>
          </w:tcPr>
          <w:p>
            <w:pPr/>
            <w:r>
              <w:t xml:space="preserve">0,30</w:t>
            </w:r>
          </w:p>
        </w:tc>
        <w:tc>
          <w:tcPr>
            <w:tcW w:w="1170" w:type="dxa"/>
          </w:tcPr>
          <w:p>
            <w:pPr/>
            <w:r>
              <w:t xml:space="preserve">0/−90/90° / −15°</w:t>
            </w:r>
          </w:p>
        </w:tc>
        <w:tc>
          <w:tcPr>
            <w:tcW w:w="2027" w:type="dxa"/>
          </w:tcPr>
          <w:p>
            <w:pPr/>
            <w:r>
              <w:t xml:space="preserve">Anzahl 3: Vision Systems Design; Lage begründet (unten)</w:t>
            </w:r>
          </w:p>
        </w:tc>
      </w:tr>
      <w:tr>
        <w:tc>
          <w:tcPr>
            <w:tcW w:w="1066" w:type="dxa"/>
          </w:tcPr>
          <w:p>
            <w:pPr/>
            <w:r>
              <w:t xml:space="preserve">R1–R4</w:t>
            </w:r>
          </w:p>
        </w:tc>
        <w:tc>
          <w:tcPr>
            <w:tcW w:w="1423" w:type="dxa"/>
          </w:tcPr>
          <w:p>
            <w:pPr/>
            <w:r>
              <w:rPr>
                <w:rStyle w:val="CodeChar"/>
              </w:rPr>
              <w:t xml:space="preserve">radar_front</w:t>
            </w:r>
            <w:r>
              <w:t xml:space="preserve">, </w:t>
            </w:r>
            <w:r>
              <w:rPr>
                <w:rStyle w:val="CodeChar"/>
              </w:rPr>
              <w:t xml:space="preserve">_rear</w:t>
            </w:r>
            <w:r>
              <w:t xml:space="preserve">, </w:t>
            </w:r>
            <w:r>
              <w:rPr>
                <w:rStyle w:val="CodeChar"/>
              </w:rPr>
              <w:t xml:space="preserve">_left</w:t>
            </w:r>
            <w:r>
              <w:t xml:space="preserve">, </w:t>
            </w:r>
            <w:r>
              <w:rPr>
                <w:rStyle w:val="CodeChar"/>
              </w:rPr>
              <w:t xml:space="preserve">_right</w:t>
            </w:r>
          </w:p>
        </w:tc>
        <w:tc>
          <w:tcPr>
            <w:tcW w:w="1170" w:type="dxa"/>
          </w:tcPr>
          <w:p>
            <w:pPr/>
            <w:r>
              <w:t xml:space="preserve">Radar 60° × 20°, 20 m</w:t>
            </w:r>
          </w:p>
        </w:tc>
        <w:tc>
          <w:tcPr>
            <w:tcW w:w="892" w:type="dxa"/>
          </w:tcPr>
          <w:p>
            <w:pPr/>
            <w:r>
              <w:t xml:space="preserve">±0,28 / 0</w:t>
            </w:r>
          </w:p>
        </w:tc>
        <w:tc>
          <w:tcPr>
            <w:tcW w:w="892" w:type="dxa"/>
          </w:tcPr>
          <w:p>
            <w:pPr/>
            <w:r>
              <w:t xml:space="preserve">0 / ±0,23</w:t>
            </w:r>
          </w:p>
        </w:tc>
        <w:tc>
          <w:tcPr>
            <w:tcW w:w="720" w:type="dxa"/>
          </w:tcPr>
          <w:p>
            <w:pPr/>
            <w:r>
              <w:t xml:space="preserve">0,35</w:t>
            </w:r>
          </w:p>
        </w:tc>
        <w:tc>
          <w:tcPr>
            <w:tcW w:w="1170" w:type="dxa"/>
          </w:tcPr>
          <w:p>
            <w:pPr/>
            <w:r>
              <w:t xml:space="preserve">0/180/−90/90° / 0°</w:t>
            </w:r>
          </w:p>
        </w:tc>
        <w:tc>
          <w:tcPr>
            <w:tcW w:w="2027" w:type="dxa"/>
          </w:tcPr>
          <w:p>
            <w:pPr/>
            <w:r>
              <w:t xml:space="preserve">Anzahl 4: MIT Technology Review 2018; Lage begründet</w:t>
            </w:r>
          </w:p>
        </w:tc>
      </w:tr>
      <w:tr>
        <w:tc>
          <w:tcPr>
            <w:tcW w:w="1066" w:type="dxa"/>
          </w:tcPr>
          <w:p>
            <w:pPr/>
            <w:r>
              <w:t xml:space="preserve">U1–U3</w:t>
            </w:r>
          </w:p>
        </w:tc>
        <w:tc>
          <w:tcPr>
            <w:tcW w:w="1423" w:type="dxa"/>
          </w:tcPr>
          <w:p>
            <w:pPr/>
            <w:r>
              <w:rPr>
                <w:rStyle w:val="CodeChar"/>
              </w:rPr>
              <w:t xml:space="preserve">us_front_left</w:t>
            </w:r>
            <w:r>
              <w:t xml:space="preserve">, </w:t>
            </w:r>
            <w:r>
              <w:rPr>
                <w:rStyle w:val="CodeChar"/>
              </w:rPr>
              <w:t xml:space="preserve">us_front</w:t>
            </w:r>
            <w:r>
              <w:t xml:space="preserve">, </w:t>
            </w:r>
            <w:r>
              <w:rPr>
                <w:rStyle w:val="CodeChar"/>
              </w:rPr>
              <w:t xml:space="preserve">us_front_right</w:t>
            </w:r>
          </w:p>
        </w:tc>
        <w:tc>
          <w:tcPr>
            <w:tcW w:w="1170" w:type="dxa"/>
          </w:tcPr>
          <w:p>
            <w:pPr/>
            <w:r>
              <w:t xml:space="preserve">Ultraschall 3 m</w:t>
            </w:r>
          </w:p>
        </w:tc>
        <w:tc>
          <w:tcPr>
            <w:tcW w:w="892" w:type="dxa"/>
          </w:tcPr>
          <w:p>
            <w:pPr/>
            <w:r>
              <w:t xml:space="preserve">0,28</w:t>
            </w:r>
          </w:p>
        </w:tc>
        <w:tc>
          <w:tcPr>
            <w:tcW w:w="892" w:type="dxa"/>
          </w:tcPr>
          <w:p>
            <w:pPr/>
            <w:r>
              <w:t xml:space="preserve">−0,15 / 0 / 0,15</w:t>
            </w:r>
          </w:p>
        </w:tc>
        <w:tc>
          <w:tcPr>
            <w:tcW w:w="720" w:type="dxa"/>
          </w:tcPr>
          <w:p>
            <w:pPr/>
            <w:r>
              <w:t xml:space="preserve">0,22</w:t>
            </w:r>
          </w:p>
        </w:tc>
        <w:tc>
          <w:tcPr>
            <w:tcW w:w="1170" w:type="dxa"/>
          </w:tcPr>
          <w:p>
            <w:pPr/>
            <w:r>
              <w:t xml:space="preserve">−30/0/30° / 4°</w:t>
            </w:r>
          </w:p>
        </w:tc>
        <w:tc>
          <w:tcPr>
            <w:tcW w:w="2027" w:type="dxa"/>
          </w:tcPr>
          <w:p>
            <w:pPr/>
            <w:r>
              <w:t xml:space="preserve">Anzahl 8 und 360°: MIT Technology Review, Vision Systems Design; Lage begründet</w:t>
            </w:r>
          </w:p>
        </w:tc>
      </w:tr>
      <w:tr>
        <w:tc>
          <w:tcPr>
            <w:tcW w:w="1066" w:type="dxa"/>
          </w:tcPr>
          <w:p>
            <w:pPr/>
            <w:r>
              <w:t xml:space="preserve">U4, U8</w:t>
            </w:r>
          </w:p>
        </w:tc>
        <w:tc>
          <w:tcPr>
            <w:tcW w:w="1423" w:type="dxa"/>
          </w:tcPr>
          <w:p>
            <w:pPr/>
            <w:r>
              <w:rPr>
                <w:rStyle w:val="CodeChar"/>
              </w:rPr>
              <w:t xml:space="preserve">us_right</w:t>
            </w:r>
            <w:r>
              <w:t xml:space="preserve">, </w:t>
            </w:r>
            <w:r>
              <w:rPr>
                <w:rStyle w:val="CodeChar"/>
              </w:rPr>
              <w:t xml:space="preserve">us_left</w:t>
            </w:r>
          </w:p>
        </w:tc>
        <w:tc>
          <w:tcPr>
            <w:tcW w:w="1170" w:type="dxa"/>
          </w:tcPr>
          <w:p>
            <w:pPr/>
            <w:r>
              <w:t xml:space="preserve">Ultraschall</w:t>
            </w:r>
          </w:p>
        </w:tc>
        <w:tc>
          <w:tcPr>
            <w:tcW w:w="892" w:type="dxa"/>
          </w:tcPr>
          <w:p>
            <w:pPr/>
            <w:r>
              <w:t xml:space="preserve">0</w:t>
            </w:r>
          </w:p>
        </w:tc>
        <w:tc>
          <w:tcPr>
            <w:tcW w:w="892" w:type="dxa"/>
          </w:tcPr>
          <w:p>
            <w:pPr/>
            <w:r>
              <w:t xml:space="preserve">0,23 / −0,23</w:t>
            </w:r>
          </w:p>
        </w:tc>
        <w:tc>
          <w:tcPr>
            <w:tcW w:w="720" w:type="dxa"/>
          </w:tcPr>
          <w:p>
            <w:pPr/>
            <w:r>
              <w:t xml:space="preserve">0,22</w:t>
            </w:r>
          </w:p>
        </w:tc>
        <w:tc>
          <w:tcPr>
            <w:tcW w:w="1170" w:type="dxa"/>
          </w:tcPr>
          <w:p>
            <w:pPr/>
            <w:r>
              <w:t xml:space="preserve">90/−90° / 4°</w:t>
            </w:r>
          </w:p>
        </w:tc>
        <w:tc>
          <w:tcPr>
            <w:tcW w:w="2027" w:type="dxa"/>
          </w:tcPr>
          <w:p>
            <w:pPr/>
            <w:r>
              <w:t xml:space="preserve">wie U1–U3</w:t>
            </w:r>
          </w:p>
        </w:tc>
      </w:tr>
      <w:tr>
        <w:tc>
          <w:tcPr>
            <w:tcW w:w="1066" w:type="dxa"/>
          </w:tcPr>
          <w:p>
            <w:pPr/>
            <w:r>
              <w:t xml:space="preserve">U5–U7</w:t>
            </w:r>
          </w:p>
        </w:tc>
        <w:tc>
          <w:tcPr>
            <w:tcW w:w="1423" w:type="dxa"/>
          </w:tcPr>
          <w:p>
            <w:pPr/>
            <w:r>
              <w:rPr>
                <w:rStyle w:val="CodeChar"/>
              </w:rPr>
              <w:t xml:space="preserve">us_rear_right</w:t>
            </w:r>
            <w:r>
              <w:t xml:space="preserve">, </w:t>
            </w:r>
            <w:r>
              <w:rPr>
                <w:rStyle w:val="CodeChar"/>
              </w:rPr>
              <w:t xml:space="preserve">us_rear</w:t>
            </w:r>
            <w:r>
              <w:t xml:space="preserve">, </w:t>
            </w:r>
            <w:r>
              <w:rPr>
                <w:rStyle w:val="CodeChar"/>
              </w:rPr>
              <w:t xml:space="preserve">us_rear_left</w:t>
            </w:r>
          </w:p>
        </w:tc>
        <w:tc>
          <w:tcPr>
            <w:tcW w:w="1170" w:type="dxa"/>
          </w:tcPr>
          <w:p>
            <w:pPr/>
            <w:r>
              <w:t xml:space="preserve">Ultraschall</w:t>
            </w:r>
          </w:p>
        </w:tc>
        <w:tc>
          <w:tcPr>
            <w:tcW w:w="892" w:type="dxa"/>
          </w:tcPr>
          <w:p>
            <w:pPr/>
            <w:r>
              <w:t xml:space="preserve">−0,28</w:t>
            </w:r>
          </w:p>
        </w:tc>
        <w:tc>
          <w:tcPr>
            <w:tcW w:w="892" w:type="dxa"/>
          </w:tcPr>
          <w:p>
            <w:pPr/>
            <w:r>
              <w:t xml:space="preserve">0,15 / 0 / −0,15</w:t>
            </w:r>
          </w:p>
        </w:tc>
        <w:tc>
          <w:tcPr>
            <w:tcW w:w="720" w:type="dxa"/>
          </w:tcPr>
          <w:p>
            <w:pPr/>
            <w:r>
              <w:t xml:space="preserve">0,22</w:t>
            </w:r>
          </w:p>
        </w:tc>
        <w:tc>
          <w:tcPr>
            <w:tcW w:w="1170" w:type="dxa"/>
          </w:tcPr>
          <w:p>
            <w:pPr/>
            <w:r>
              <w:t xml:space="preserve">150/180/−150° / 4°</w:t>
            </w:r>
          </w:p>
        </w:tc>
        <w:tc>
          <w:tcPr>
            <w:tcW w:w="2027" w:type="dxa"/>
          </w:tcPr>
          <w:p>
            <w:pPr/>
            <w:r>
              <w:t xml:space="preserve">wie U1–U3</w:t>
            </w:r>
          </w:p>
        </w:tc>
      </w:tr>
      <w:tr>
        <w:tc>
          <w:tcPr>
            <w:tcW w:w="1066" w:type="dxa"/>
          </w:tcPr>
          <w:p>
            <w:pPr/>
            <w:r>
              <w:t xml:space="preserve">G</w:t>
            </w:r>
          </w:p>
        </w:tc>
        <w:tc>
          <w:tcPr>
            <w:tcW w:w="1423" w:type="dxa"/>
          </w:tcPr>
          <w:p>
            <w:pPr/>
            <w:r>
              <w:rPr>
                <w:rStyle w:val="CodeChar"/>
              </w:rPr>
              <w:t xml:space="preserve">gnss</w:t>
            </w:r>
          </w:p>
        </w:tc>
        <w:tc>
          <w:tcPr>
            <w:tcW w:w="1170" w:type="dxa"/>
          </w:tcPr>
          <w:p>
            <w:pPr/>
            <w:r>
              <w:t xml:space="preserve">GNSS, Rauschen ca. 2 m</w:t>
            </w:r>
          </w:p>
        </w:tc>
        <w:tc>
          <w:tcPr>
            <w:tcW w:w="892" w:type="dxa"/>
          </w:tcPr>
          <w:p>
            <w:pPr/>
            <w:r>
              <w:t xml:space="preserve">0</w:t>
            </w:r>
          </w:p>
        </w:tc>
        <w:tc>
          <w:tcPr>
            <w:tcW w:w="892" w:type="dxa"/>
          </w:tcPr>
          <w:p>
            <w:pPr/>
            <w:r>
              <w:t xml:space="preserve">0</w:t>
            </w:r>
          </w:p>
        </w:tc>
        <w:tc>
          <w:tcPr>
            <w:tcW w:w="720" w:type="dxa"/>
          </w:tcPr>
          <w:p>
            <w:pPr/>
            <w:r>
              <w:t xml:space="preserve">0,52</w:t>
            </w:r>
          </w:p>
        </w:tc>
        <w:tc>
          <w:tcPr>
            <w:tcW w:w="1170" w:type="dxa"/>
          </w:tcPr>
          <w:p>
            <w:pPr/>
            <w:r>
              <w:t xml:space="preserve">–</w:t>
            </w:r>
          </w:p>
        </w:tc>
        <w:tc>
          <w:tcPr>
            <w:tcW w:w="2027" w:type="dxa"/>
          </w:tcPr>
          <w:p>
            <w:pPr/>
            <w:r>
              <w:t xml:space="preserve">begründet: freie Sicht zum Himmel</w:t>
            </w:r>
          </w:p>
        </w:tc>
      </w:tr>
      <w:tr>
        <w:tc>
          <w:tcPr>
            <w:tcW w:w="1066" w:type="dxa"/>
          </w:tcPr>
          <w:p>
            <w:pPr/>
            <w:r>
              <w:t xml:space="preserve">I</w:t>
            </w:r>
          </w:p>
        </w:tc>
        <w:tc>
          <w:tcPr>
            <w:tcW w:w="1423" w:type="dxa"/>
          </w:tcPr>
          <w:p>
            <w:pPr/>
            <w:r>
              <w:rPr>
                <w:rStyle w:val="CodeChar"/>
              </w:rPr>
              <w:t xml:space="preserve">imu</w:t>
            </w:r>
          </w:p>
        </w:tc>
        <w:tc>
          <w:tcPr>
            <w:tcW w:w="1170" w:type="dxa"/>
          </w:tcPr>
          <w:p>
            <w:pPr/>
            <w:r>
              <w:t xml:space="preserve">IMU</w:t>
            </w:r>
          </w:p>
        </w:tc>
        <w:tc>
          <w:tcPr>
            <w:tcW w:w="892" w:type="dxa"/>
          </w:tcPr>
          <w:p>
            <w:pPr/>
            <w:r>
              <w:t xml:space="preserve">0</w:t>
            </w:r>
          </w:p>
        </w:tc>
        <w:tc>
          <w:tcPr>
            <w:tcW w:w="892" w:type="dxa"/>
          </w:tcPr>
          <w:p>
            <w:pPr/>
            <w:r>
              <w:t xml:space="preserve">0</w:t>
            </w:r>
          </w:p>
        </w:tc>
        <w:tc>
          <w:tcPr>
            <w:tcW w:w="720" w:type="dxa"/>
          </w:tcPr>
          <w:p>
            <w:pPr/>
            <w:r>
              <w:t xml:space="preserve">0,25</w:t>
            </w:r>
          </w:p>
        </w:tc>
        <w:tc>
          <w:tcPr>
            <w:tcW w:w="1170" w:type="dxa"/>
          </w:tcPr>
          <w:p>
            <w:pPr/>
            <w:r>
              <w:t xml:space="preserve">–</w:t>
            </w:r>
          </w:p>
        </w:tc>
        <w:tc>
          <w:tcPr>
            <w:tcW w:w="2027" w:type="dxa"/>
          </w:tcPr>
          <w:p>
            <w:pPr/>
            <w:r>
              <w:t xml:space="preserve">begründet: nahe am Schwerpunkt</w:t>
            </w:r>
          </w:p>
        </w:tc>
      </w:tr>
    </w:tbl>
    <w:p>
      <w:pPr/>
      <w:r>
        <w:rPr>
          <w:b/>
        </w:rPr>
        <w:t xml:space="preserve">Begründung der Positionen ohne Herstellerangabe</w:t>
      </w:r>
    </w:p>
    <w:p>
      <w:pPr>
        <w:pStyle w:val="ListParagraph"/>
        <w:numPr>
          <w:ilvl w:val="0"/>
          <w:numId w:val="11"/>
        </w:numPr>
      </w:pPr>
      <w:r>
        <w:rPr>
          <w:b/>
        </w:rPr>
        <w:t xml:space="preserve">Kamerahöhe 40–42 cm:</w:t>
      </w:r>
      <w:r>
        <w:t xml:space="preserve"> Das Patent nennt keine Höhe, nur eine Robotergröße von etwa 60 cm. Wir nutzen die höchste Stelle des Rumpfs knapp unter der Deckelkante (43 cm). Dort ist die Sicht am weitesten und wird nicht von den Rädern verdeckt.</w:t>
      </w:r>
    </w:p>
    <w:p>
      <w:pPr>
        <w:pStyle w:val="ListParagraph"/>
        <w:numPr>
          <w:ilvl w:val="0"/>
          <w:numId w:val="11"/>
        </w:numPr>
      </w:pPr>
      <w:r>
        <w:rPr>
          <w:b/>
        </w:rPr>
        <w:t xml:space="preserve">ToF vorne und seitlich, 30 cm, 15° nach unten:</w:t>
      </w:r>
      <w:r>
        <w:t xml:space="preserve"> ToF misst auf wenige Meter genaue Abstände. Es dient deshalb der Nahbereichserkennung von Bordsteinen, Stufen und Löchern. Bei 30 cm Höhe und 15° Neigung trifft der Mittelstrahl den Boden etwa 1,1 m vor dem Bot (0,30 m / tan 15°). Vorne und seitlich, weil der Bot dorthin fährt und abbiegt; hinten decken Stereo-Kameras, Radar und Ultraschall ab.</w:t>
      </w:r>
    </w:p>
    <w:p>
      <w:pPr>
        <w:pStyle w:val="ListParagraph"/>
        <w:numPr>
          <w:ilvl w:val="0"/>
          <w:numId w:val="11"/>
        </w:numPr>
      </w:pPr>
      <w:r>
        <w:rPr>
          <w:b/>
        </w:rPr>
        <w:t xml:space="preserve">Radar auf jeder Seite, 35 cm:</w:t>
      </w:r>
      <w:r>
        <w:t xml:space="preserve"> Radar erkennt bewegte Objekte wie Radfahrer und Autos auch bei Dunkelheit und Regen. Je ein Radar pro Seite deckt die vier Hauptrichtungen ab. Mit 60° Öffnungswinkel bleiben schmale Lücken an den Ecken; dort messen die schrägen Ultraschallsensoren.</w:t>
      </w:r>
    </w:p>
    <w:p>
      <w:pPr>
        <w:pStyle w:val="ListParagraph"/>
        <w:numPr>
          <w:ilvl w:val="0"/>
          <w:numId w:val="11"/>
        </w:numPr>
      </w:pPr>
      <w:r>
        <w:rPr>
          <w:b/>
        </w:rPr>
        <w:t xml:space="preserve">Ultraschall auf 22 cm, Ring aus 8:</w:t>
      </w:r>
      <w:r>
        <w:t xml:space="preserve"> Ultraschall erkennt nahe Hindernisse bis etwa 3 m und dient als letzte Sicherheitsstufe. Er sitzt am unteren Rumpf, um auch niedrige Hindernisse wie Poller, Tiere oder Kinderfüße zu erfassen. Die Aufteilung 3 vorne, 3 hinten, 1 je Seite entspricht den üblichen Einparksensoren bei Autos. Die 4° Neigung nach oben verhindert Bodenechos (im Test geprüft).</w:t>
      </w:r>
    </w:p>
    <w:p>
      <w:pPr>
        <w:pStyle w:val="ListParagraph"/>
        <w:numPr>
          <w:ilvl w:val="0"/>
          <w:numId w:val="11"/>
        </w:numPr>
      </w:pPr>
      <w:r>
        <w:rPr>
          <w:b/>
        </w:rPr>
        <w:t xml:space="preserve">GNSS auf dem Deckel:</w:t>
      </w:r>
      <w:r>
        <w:t xml:space="preserve"> Eine Satellitenantenne braucht freie Sicht zum Himmel. Der Deckel ist die höchste freie Fläche.</w:t>
      </w:r>
    </w:p>
    <w:p>
      <w:pPr>
        <w:pStyle w:val="ListParagraph"/>
        <w:numPr>
          <w:ilvl w:val="0"/>
          <w:numId w:val="11"/>
        </w:numPr>
      </w:pPr>
      <w:r>
        <w:rPr>
          <w:b/>
        </w:rPr>
        <w:t xml:space="preserve">IMU in der Rumpfmitte:</w:t>
      </w:r>
      <w:r>
        <w:t xml:space="preserve"> Je weiter eine IMU vom Drehpunkt entfernt ist, desto mehr Zusatzbeschleunigung misst sie bei Drehungen. In der Mitte nahe dem Schwerpunkt misst sie die reine Fahrzeugbewegung.</w:t>
      </w:r>
    </w:p>
    <w:p>
      <w:pPr>
        <w:pStyle w:val="Heading2"/>
      </w:pPr>
      <w:r>
        <w:t xml:space="preserve">Sensor-Implementierung in CARLA</w:t>
      </w:r>
    </w:p>
    <w:p>
      <w:pPr/>
      <w:r>
        <w:t xml:space="preserve">Alle 26 Sensoren laufen in CARLA und liefern Daten (Abschlusstest am 09.10.2026, Town02). Die Kameras arbeiten wie im Patent mit 4 Bildern pro Sekunde, Radar, ToF, GNSS und IMU mit rund 34–37 Hz. Die Sensoren werden wie bei allen CARLA-Fahrzeugen zur Laufzeit per Python am Bot montiert, nicht im Blueprint.</w:t>
      </w:r>
    </w:p>
    <w:p>
      <w:pPr/>
      <w:r>
        <w:rPr>
          <w:b/>
        </w:rPr>
        <w:t xml:space="preserve">Aufbau</w:t>
      </w:r>
    </w:p>
    <w:p>
      <w:pPr>
        <w:pStyle w:val="ListParagraph"/>
        <w:numPr>
          <w:ilvl w:val="0"/>
          <w:numId w:val="12"/>
        </w:numPr>
      </w:pPr>
      <w:r>
        <w:rPr>
          <w:rStyle w:val="CodeChar"/>
        </w:rPr>
        <w:t xml:space="preserve">starship_sensors.json</w:t>
      </w:r>
      <w:r>
        <w:t xml:space="preserve"> – die physische Ausstattung: je Sensor ID, CARLA-Typ, Einbauposition, Ausrichtung und Parameter. Die ID dient später als ROS2-Frame- und Topic-Name.</w:t>
      </w:r>
    </w:p>
    <w:p>
      <w:pPr>
        <w:pStyle w:val="ListParagraph"/>
        <w:numPr>
          <w:ilvl w:val="0"/>
          <w:numId w:val="12"/>
        </w:numPr>
      </w:pPr>
      <w:r>
        <w:rPr>
          <w:rStyle w:val="CodeChar"/>
        </w:rPr>
        <w:t xml:space="preserve">starship_sensors.py</w:t>
      </w:r>
      <w:r>
        <w:t xml:space="preserve"> – spawnt den Bot, montiert alle Sensoren aus der JSON-Datei und sammelt die Messwerte in einer Klasse </w:t>
      </w:r>
      <w:r>
        <w:rPr>
          <w:rStyle w:val="CodeChar"/>
        </w:rPr>
        <w:t xml:space="preserve">SensorHub</w:t>
      </w:r>
      <w:r>
        <w:t xml:space="preserve">. Dazu kommt eine Live-Ansicht mit Steuerung per WASD. Option </w:t>
      </w:r>
      <w:r>
        <w:rPr>
          <w:rStyle w:val="CodeChar"/>
        </w:rPr>
        <w:t xml:space="preserve">--test N</w:t>
      </w:r>
      <w:r>
        <w:t xml:space="preserve"> fährt N Sekunden geradeaus und speichert einen Screenshot, </w:t>
      </w:r>
      <w:r>
        <w:rPr>
          <w:rStyle w:val="CodeChar"/>
        </w:rPr>
        <w:t xml:space="preserve">--sync</w:t>
      </w:r>
      <w:r>
        <w:t xml:space="preserve"> schaltet auf synchronen 20-Hz-Takt.</w:t>
      </w:r>
    </w:p>
    <w:tbl>
      <w:tblPr>
        <w:tblStyle w:val="TableGrid"/>
        <w:tblW w:w="0" w:type="auto"/>
        <w:tblLayout w:type="fixed"/>
        <w:tblLook w:val="04A0" w:firstRow="1" w:lastRow="0" w:firstColumn="0" w:lastColumn="0" w:noHBand="0" w:noVBand="1"/>
      </w:tblPr>
      <w:tblGrid>
        <w:gridCol w:w="1778"/>
        <w:gridCol w:w="2756"/>
        <w:gridCol w:w="4826"/>
      </w:tblGrid>
      <w:tr>
        <w:trPr>
          <w:tblHeader/>
        </w:trPr>
        <w:tc>
          <w:tcPr>
            <w:tcW w:w="1778" w:type="dxa"/>
            <w:shd w:val="clear" w:color="auto" w:fill="F2F2F2"/>
          </w:tcPr>
          <w:p>
            <w:pPr/>
            <w:r>
              <w:t xml:space="preserve">Starship-Sensor</w:t>
            </w:r>
          </w:p>
        </w:tc>
        <w:tc>
          <w:tcPr>
            <w:tcW w:w="2756" w:type="dxa"/>
            <w:shd w:val="clear" w:color="auto" w:fill="F2F2F2"/>
          </w:tcPr>
          <w:p>
            <w:pPr/>
            <w:r>
              <w:t xml:space="preserve">CARLA-Sensor</w:t>
            </w:r>
          </w:p>
        </w:tc>
        <w:tc>
          <w:tcPr>
            <w:tcW w:w="4826" w:type="dxa"/>
            <w:shd w:val="clear" w:color="auto" w:fill="F2F2F2"/>
          </w:tcPr>
          <w:p>
            <w:pPr/>
            <w:r>
              <w:t xml:space="preserve">Umsetzung</w:t>
            </w:r>
          </w:p>
        </w:tc>
      </w:tr>
      <w:tr>
        <w:tc>
          <w:tcPr>
            <w:tcW w:w="1778" w:type="dxa"/>
          </w:tcPr>
          <w:p>
            <w:pPr/>
            <w:r>
              <w:t xml:space="preserve">Kameras (1 einzeln + 4 Stereo-Paare)</w:t>
            </w:r>
          </w:p>
        </w:tc>
        <w:tc>
          <w:tcPr>
            <w:tcW w:w="2756" w:type="dxa"/>
          </w:tcPr>
          <w:p>
            <w:pPr/>
            <w:r>
              <w:rPr>
                <w:rStyle w:val="CodeChar"/>
              </w:rPr>
              <w:t xml:space="preserve">sensor.camera.rgb</w:t>
            </w:r>
          </w:p>
        </w:tc>
        <w:tc>
          <w:tcPr>
            <w:tcW w:w="4826" w:type="dxa"/>
          </w:tcPr>
          <w:p>
            <w:pPr/>
            <w:r>
              <w:t xml:space="preserve">640×480 quer bzw. 480×640 hochkant, 80° bzw. 60°, 4 Bilder/s (</w:t>
            </w:r>
            <w:r>
              <w:rPr>
                <w:rStyle w:val="CodeChar"/>
              </w:rPr>
              <w:t xml:space="preserve">sensor_tick</w:t>
            </w:r>
            <w:r>
              <w:t xml:space="preserve"> 0,25 s)</w:t>
            </w:r>
          </w:p>
        </w:tc>
      </w:tr>
      <w:tr>
        <w:tc>
          <w:tcPr>
            <w:tcW w:w="1778" w:type="dxa"/>
          </w:tcPr>
          <w:p>
            <w:pPr/>
            <w:r>
              <w:t xml:space="preserve">Time-of-Flight (3)</w:t>
            </w:r>
          </w:p>
        </w:tc>
        <w:tc>
          <w:tcPr>
            <w:tcW w:w="2756" w:type="dxa"/>
          </w:tcPr>
          <w:p>
            <w:pPr/>
            <w:r>
              <w:rPr>
                <w:rStyle w:val="CodeChar"/>
              </w:rPr>
              <w:t xml:space="preserve">sensor.camera.depth</w:t>
            </w:r>
          </w:p>
        </w:tc>
        <w:tc>
          <w:tcPr>
            <w:tcW w:w="4826" w:type="dxa"/>
          </w:tcPr>
          <w:p>
            <w:pPr/>
            <w:r>
              <w:t xml:space="preserve">320×240 wie epc660; Werte über 5 m werden verworfen</w:t>
            </w:r>
          </w:p>
        </w:tc>
      </w:tr>
      <w:tr>
        <w:tc>
          <w:tcPr>
            <w:tcW w:w="1778" w:type="dxa"/>
          </w:tcPr>
          <w:p>
            <w:pPr/>
            <w:r>
              <w:t xml:space="preserve">Radar (4)</w:t>
            </w:r>
          </w:p>
        </w:tc>
        <w:tc>
          <w:tcPr>
            <w:tcW w:w="2756" w:type="dxa"/>
          </w:tcPr>
          <w:p>
            <w:pPr/>
            <w:r>
              <w:rPr>
                <w:rStyle w:val="CodeChar"/>
              </w:rPr>
              <w:t xml:space="preserve">sensor.other.radar</w:t>
            </w:r>
          </w:p>
        </w:tc>
        <w:tc>
          <w:tcPr>
            <w:tcW w:w="4826" w:type="dxa"/>
          </w:tcPr>
          <w:p>
            <w:pPr/>
            <w:r>
              <w:t xml:space="preserve">60° × 20°, 20 m, 1500 Punkte/s</w:t>
            </w:r>
          </w:p>
        </w:tc>
      </w:tr>
      <w:tr>
        <w:tc>
          <w:tcPr>
            <w:tcW w:w="1778" w:type="dxa"/>
          </w:tcPr>
          <w:p>
            <w:pPr/>
            <w:r>
              <w:t xml:space="preserve">Ultraschall (8)</w:t>
            </w:r>
          </w:p>
        </w:tc>
        <w:tc>
          <w:tcPr>
            <w:tcW w:w="2756" w:type="dxa"/>
          </w:tcPr>
          <w:p>
            <w:pPr/>
            <w:r>
              <w:rPr>
                <w:rStyle w:val="CodeChar"/>
              </w:rPr>
              <w:t xml:space="preserve">sensor.other.obstacle</w:t>
            </w:r>
          </w:p>
        </w:tc>
        <w:tc>
          <w:tcPr>
            <w:tcW w:w="4826" w:type="dxa"/>
          </w:tcPr>
          <w:p>
            <w:pPr/>
            <w:r>
              <w:t xml:space="preserve">Sweep 3 m, Radius 15 cm; ohne Ereignis für 0,25 s gilt „frei“</w:t>
            </w:r>
          </w:p>
        </w:tc>
      </w:tr>
      <w:tr>
        <w:tc>
          <w:tcPr>
            <w:tcW w:w="1778" w:type="dxa"/>
          </w:tcPr>
          <w:p>
            <w:pPr/>
            <w:r>
              <w:t xml:space="preserve">GNSS</w:t>
            </w:r>
          </w:p>
        </w:tc>
        <w:tc>
          <w:tcPr>
            <w:tcW w:w="2756" w:type="dxa"/>
          </w:tcPr>
          <w:p>
            <w:pPr/>
            <w:r>
              <w:rPr>
                <w:rStyle w:val="CodeChar"/>
              </w:rPr>
              <w:t xml:space="preserve">sensor.other.gnss</w:t>
            </w:r>
          </w:p>
        </w:tc>
        <w:tc>
          <w:tcPr>
            <w:tcW w:w="4826" w:type="dxa"/>
          </w:tcPr>
          <w:p>
            <w:pPr/>
            <w:r>
              <w:t xml:space="preserve">Rauschen ca. 2 m horizontal</w:t>
            </w:r>
          </w:p>
        </w:tc>
      </w:tr>
      <w:tr>
        <w:tc>
          <w:tcPr>
            <w:tcW w:w="1778" w:type="dxa"/>
          </w:tcPr>
          <w:p>
            <w:pPr/>
            <w:r>
              <w:t xml:space="preserve">IMU</w:t>
            </w:r>
          </w:p>
        </w:tc>
        <w:tc>
          <w:tcPr>
            <w:tcW w:w="2756" w:type="dxa"/>
          </w:tcPr>
          <w:p>
            <w:pPr/>
            <w:r>
              <w:rPr>
                <w:rStyle w:val="CodeChar"/>
              </w:rPr>
              <w:t xml:space="preserve">sensor.other.imu</w:t>
            </w:r>
          </w:p>
        </w:tc>
        <w:tc>
          <w:tcPr>
            <w:tcW w:w="4826" w:type="dxa"/>
          </w:tcPr>
          <w:p>
            <w:pPr/>
            <w:r>
              <w:t xml:space="preserve">Rauschen 0,02 m/s², 0,002 rad/s</w:t>
            </w:r>
          </w:p>
        </w:tc>
      </w:tr>
    </w:tbl>
    <w:p>
      <w:pPr/>
      <w:r>
        <w:drawing>
          <wp:inline distT="0" distB="0" distL="0" distR="0">
            <wp:extent cx="5486400" cy="3086100"/>
            <wp:docPr id="17" name="image17" descr="Live-Ansicht aller Sensoren in Town02: oben Kamera vorne und Stereo-Kameras links, rechts, hinten; Mitte ToF-Tiefenbilder und das 30° nach unten geneigte vordere Stereo-Paar; unten Ultraschallring, Radar-Draufsicht und GNSS/IMU-Werte"/>
            <a:graphic xmlns:a="http://schemas.openxmlformats.org/drawingml/2006/main">
              <a:graphicData uri="http://schemas.openxmlformats.org/drawingml/2006/picture">
                <pic:pic xmlns:pic="http://schemas.openxmlformats.org/drawingml/2006/picture">
                  <pic:nvPicPr>
                    <pic:cNvPr id="17" name="image17" descr="Live-Ansicht aller Sensoren in Town02: oben Kamera vorne und Stereo-Kameras links, rechts, hinten; Mitte ToF-Tiefenbilder und das 30° nach unten geneigte vordere Stereo-Paar; unten Ultraschallring, Radar-Draufsicht und GNSS/IMU-Werte"/>
                    <pic:cNvPicPr/>
                  </pic:nvPicPr>
                  <pic:blipFill>
                    <a:blip r:embed="rId27"/>
                    <a:stretch>
                      <a:fillRect/>
                    </a:stretch>
                  </pic:blipFill>
                  <pic:spPr>
                    <a:xfrm>
                      <a:off x="0" y="0"/>
                      <a:ext cx="5486400" cy="3086100"/>
                    </a:xfrm>
                    <a:prstGeom prst="rect">
                      <a:avLst/>
                    </a:prstGeom>
                  </pic:spPr>
                </pic:pic>
              </a:graphicData>
            </a:graphic>
          </wp:inline>
        </w:drawing>
      </w:r>
    </w:p>
    <w:p>
      <w:pPr/>
      <w:r>
        <w:rPr>
          <w:b/>
        </w:rPr>
        <w:t xml:space="preserve">Testergebnisse</w:t>
      </w:r>
    </w:p>
    <w:tbl>
      <w:tblPr>
        <w:tblStyle w:val="TableGrid"/>
        <w:tblW w:w="0" w:type="auto"/>
        <w:tblLayout w:type="fixed"/>
        <w:tblLook w:val="04A0" w:firstRow="1" w:lastRow="0" w:firstColumn="0" w:lastColumn="0" w:noHBand="0" w:noVBand="1"/>
      </w:tblPr>
      <w:tblGrid>
        <w:gridCol w:w="1644"/>
        <w:gridCol w:w="961"/>
        <w:gridCol w:w="1764"/>
        <w:gridCol w:w="4989"/>
      </w:tblGrid>
      <w:tr>
        <w:trPr>
          <w:tblHeader/>
        </w:trPr>
        <w:tc>
          <w:tcPr>
            <w:tcW w:w="1644" w:type="dxa"/>
            <w:shd w:val="clear" w:color="auto" w:fill="F2F2F2"/>
          </w:tcPr>
          <w:p>
            <w:pPr/>
            <w:r>
              <w:t xml:space="preserve">Sensorgruppe</w:t>
            </w:r>
          </w:p>
        </w:tc>
        <w:tc>
          <w:tcPr>
            <w:tcW w:w="961" w:type="dxa"/>
            <w:shd w:val="clear" w:color="auto" w:fill="F2F2F2"/>
          </w:tcPr>
          <w:p>
            <w:pPr/>
            <w:r>
              <w:t xml:space="preserve">Anzahl</w:t>
            </w:r>
          </w:p>
        </w:tc>
        <w:tc>
          <w:tcPr>
            <w:tcW w:w="1764" w:type="dxa"/>
            <w:shd w:val="clear" w:color="auto" w:fill="F2F2F2"/>
          </w:tcPr>
          <w:p>
            <w:pPr/>
            <w:r>
              <w:t xml:space="preserve">Messrate</w:t>
            </w:r>
          </w:p>
        </w:tc>
        <w:tc>
          <w:tcPr>
            <w:tcW w:w="4989" w:type="dxa"/>
            <w:shd w:val="clear" w:color="auto" w:fill="F2F2F2"/>
          </w:tcPr>
          <w:p>
            <w:pPr/>
            <w:r>
              <w:t xml:space="preserve">Prüfung</w:t>
            </w:r>
          </w:p>
        </w:tc>
      </w:tr>
      <w:tr>
        <w:tc>
          <w:tcPr>
            <w:tcW w:w="1644" w:type="dxa"/>
          </w:tcPr>
          <w:p>
            <w:pPr/>
            <w:r>
              <w:t xml:space="preserve">Kameras</w:t>
            </w:r>
          </w:p>
        </w:tc>
        <w:tc>
          <w:tcPr>
            <w:tcW w:w="961" w:type="dxa"/>
          </w:tcPr>
          <w:p>
            <w:pPr/>
            <w:r>
              <w:t xml:space="preserve">9</w:t>
            </w:r>
          </w:p>
        </w:tc>
        <w:tc>
          <w:tcPr>
            <w:tcW w:w="1764" w:type="dxa"/>
          </w:tcPr>
          <w:p>
            <w:pPr/>
            <w:r>
              <w:t xml:space="preserve">4,5 Hz</w:t>
            </w:r>
          </w:p>
        </w:tc>
        <w:tc>
          <w:tcPr>
            <w:tcW w:w="4989" w:type="dxa"/>
          </w:tcPr>
          <w:p>
            <w:pPr/>
            <w:r>
              <w:t xml:space="preserve">Bilder plausibel, Rate wie im Patent</w:t>
            </w:r>
          </w:p>
        </w:tc>
      </w:tr>
      <w:tr>
        <w:tc>
          <w:tcPr>
            <w:tcW w:w="1644" w:type="dxa"/>
          </w:tcPr>
          <w:p>
            <w:pPr/>
            <w:r>
              <w:t xml:space="preserve">ToF</w:t>
            </w:r>
          </w:p>
        </w:tc>
        <w:tc>
          <w:tcPr>
            <w:tcW w:w="961" w:type="dxa"/>
          </w:tcPr>
          <w:p>
            <w:pPr/>
            <w:r>
              <w:t xml:space="preserve">3</w:t>
            </w:r>
          </w:p>
        </w:tc>
        <w:tc>
          <w:tcPr>
            <w:tcW w:w="1764" w:type="dxa"/>
          </w:tcPr>
          <w:p>
            <w:pPr/>
            <w:r>
              <w:t xml:space="preserve">ca. 36 Hz</w:t>
            </w:r>
          </w:p>
        </w:tc>
        <w:tc>
          <w:tcPr>
            <w:tcW w:w="4989" w:type="dxa"/>
          </w:tcPr>
          <w:p>
            <w:pPr/>
            <w:r>
              <w:t xml:space="preserve">Tiefenbilder plausibel</w:t>
            </w:r>
          </w:p>
        </w:tc>
      </w:tr>
      <w:tr>
        <w:tc>
          <w:tcPr>
            <w:tcW w:w="1644" w:type="dxa"/>
          </w:tcPr>
          <w:p>
            <w:pPr/>
            <w:r>
              <w:t xml:space="preserve">Radar</w:t>
            </w:r>
          </w:p>
        </w:tc>
        <w:tc>
          <w:tcPr>
            <w:tcW w:w="961" w:type="dxa"/>
          </w:tcPr>
          <w:p>
            <w:pPr/>
            <w:r>
              <w:t xml:space="preserve">4</w:t>
            </w:r>
          </w:p>
        </w:tc>
        <w:tc>
          <w:tcPr>
            <w:tcW w:w="1764" w:type="dxa"/>
          </w:tcPr>
          <w:p>
            <w:pPr/>
            <w:r>
              <w:t xml:space="preserve">ca. 36 Hz</w:t>
            </w:r>
          </w:p>
        </w:tc>
        <w:tc>
          <w:tcPr>
            <w:tcW w:w="4989" w:type="dxa"/>
          </w:tcPr>
          <w:p>
            <w:pPr/>
            <w:r>
              <w:t xml:space="preserve">rund 120 Punkte im Bild</w:t>
            </w:r>
          </w:p>
        </w:tc>
      </w:tr>
      <w:tr>
        <w:tc>
          <w:tcPr>
            <w:tcW w:w="1644" w:type="dxa"/>
          </w:tcPr>
          <w:p>
            <w:pPr/>
            <w:r>
              <w:t xml:space="preserve">Ultraschall</w:t>
            </w:r>
          </w:p>
        </w:tc>
        <w:tc>
          <w:tcPr>
            <w:tcW w:w="961" w:type="dxa"/>
          </w:tcPr>
          <w:p>
            <w:pPr/>
            <w:r>
              <w:t xml:space="preserve">8</w:t>
            </w:r>
          </w:p>
        </w:tc>
        <w:tc>
          <w:tcPr>
            <w:tcW w:w="1764" w:type="dxa"/>
          </w:tcPr>
          <w:p>
            <w:pPr/>
            <w:r>
              <w:t xml:space="preserve">nur bei Treffer</w:t>
            </w:r>
          </w:p>
        </w:tc>
        <w:tc>
          <w:tcPr>
            <w:tcW w:w="4989" w:type="dxa"/>
          </w:tcPr>
          <w:p>
            <w:pPr/>
            <w:r>
              <w:t xml:space="preserve">Leitkegel 1,5 m vor dem Bot erkannt: </w:t>
            </w:r>
            <w:r>
              <w:rPr>
                <w:rStyle w:val="CodeChar"/>
              </w:rPr>
              <w:t xml:space="preserve">us_front</w:t>
            </w:r>
            <w:r>
              <w:t xml:space="preserve"> meldet 0,81 m (Test vom 08.10.2026); keine Fehlalarme während der Fahrt</w:t>
            </w:r>
          </w:p>
        </w:tc>
      </w:tr>
      <w:tr>
        <w:tc>
          <w:tcPr>
            <w:tcW w:w="1644" w:type="dxa"/>
          </w:tcPr>
          <w:p>
            <w:pPr/>
            <w:r>
              <w:t xml:space="preserve">GNSS / IMU</w:t>
            </w:r>
          </w:p>
        </w:tc>
        <w:tc>
          <w:tcPr>
            <w:tcW w:w="961" w:type="dxa"/>
          </w:tcPr>
          <w:p>
            <w:pPr/>
            <w:r>
              <w:t xml:space="preserve">je 1</w:t>
            </w:r>
          </w:p>
        </w:tc>
        <w:tc>
          <w:tcPr>
            <w:tcW w:w="1764" w:type="dxa"/>
          </w:tcPr>
          <w:p>
            <w:pPr/>
            <w:r>
              <w:t xml:space="preserve">ca. 34 Hz</w:t>
            </w:r>
          </w:p>
        </w:tc>
        <w:tc>
          <w:tcPr>
            <w:tcW w:w="4989" w:type="dxa"/>
          </w:tcPr>
          <w:p>
            <w:pPr/>
            <w:r>
              <w:t xml:space="preserve">Werte plausibel</w:t>
            </w:r>
          </w:p>
        </w:tc>
      </w:tr>
    </w:tbl>
    <w:p>
      <w:pPr/>
      <w:r>
        <w:t xml:space="preserve">Die hinteren Ultraschallsensoren erkannten zunächst die Straße als Hindernis, weil der Bot beim Anfahren leicht nickt. Seit alle acht um 4° nach oben geneigt sind, gibt es keine Fehlalarme mehr.</w:t>
      </w:r>
    </w:p>
    <w:p>
      <w:pPr/>
      <w:r>
        <w:rPr>
          <w:b/>
        </w:rPr>
        <w:t xml:space="preserve">Nächster Schritt: ROS2-Schnittstellen</w:t>
      </w:r>
    </w:p>
    <w:p>
      <w:pPr/>
      <w:r>
        <w:t xml:space="preserve">Der </w:t>
      </w:r>
      <w:r>
        <w:rPr>
          <w:rStyle w:val="CodeChar"/>
        </w:rPr>
        <w:t xml:space="preserve">SensorHub</w:t>
      </w:r>
      <w:r>
        <w:t xml:space="preserve"> ist die Quelle für die ROS2-Publisher. Geplant sind:</w:t>
      </w:r>
    </w:p>
    <w:p>
      <w:pPr>
        <w:pStyle w:val="ListParagraph"/>
        <w:numPr>
          <w:ilvl w:val="0"/>
          <w:numId w:val="13"/>
        </w:numPr>
      </w:pPr>
      <w:r>
        <w:t xml:space="preserve">Topics </w:t>
      </w:r>
      <w:r>
        <w:rPr>
          <w:rStyle w:val="CodeChar"/>
        </w:rPr>
        <w:t xml:space="preserve">/starship/&lt;id&gt;/…</w:t>
      </w:r>
      <w:r>
        <w:t xml:space="preserve"> mit Standard-Nachrichten: </w:t>
      </w:r>
      <w:r>
        <w:rPr>
          <w:rStyle w:val="CodeChar"/>
        </w:rPr>
        <w:t xml:space="preserve">Image</w:t>
      </w:r>
      <w:r>
        <w:t xml:space="preserve"> + </w:t>
      </w:r>
      <w:r>
        <w:rPr>
          <w:rStyle w:val="CodeChar"/>
        </w:rPr>
        <w:t xml:space="preserve">CameraInfo</w:t>
      </w:r>
      <w:r>
        <w:t xml:space="preserve">, </w:t>
      </w:r>
      <w:r>
        <w:rPr>
          <w:rStyle w:val="CodeChar"/>
        </w:rPr>
        <w:t xml:space="preserve">PointCloud2</w:t>
      </w:r>
      <w:r>
        <w:t xml:space="preserve"> für Radar, </w:t>
      </w:r>
      <w:r>
        <w:rPr>
          <w:rStyle w:val="CodeChar"/>
        </w:rPr>
        <w:t xml:space="preserve">Range</w:t>
      </w:r>
      <w:r>
        <w:t xml:space="preserve"> für Ultraschall, </w:t>
      </w:r>
      <w:r>
        <w:rPr>
          <w:rStyle w:val="CodeChar"/>
        </w:rPr>
        <w:t xml:space="preserve">NavSatFix</w:t>
      </w:r>
      <w:r>
        <w:t xml:space="preserve">, </w:t>
      </w:r>
      <w:r>
        <w:rPr>
          <w:rStyle w:val="CodeChar"/>
        </w:rPr>
        <w:t xml:space="preserve">Imu</w:t>
      </w:r>
      <w:r>
        <w:t xml:space="preserve">, </w:t>
      </w:r>
      <w:r>
        <w:rPr>
          <w:rStyle w:val="CodeChar"/>
        </w:rPr>
        <w:t xml:space="preserve">Odometry</w:t>
      </w:r>
      <w:r>
        <w:t xml:space="preserve">.</w:t>
      </w:r>
    </w:p>
    <w:p>
      <w:pPr>
        <w:pStyle w:val="ListParagraph"/>
        <w:numPr>
          <w:ilvl w:val="0"/>
          <w:numId w:val="13"/>
        </w:numPr>
      </w:pPr>
      <w:r>
        <w:t xml:space="preserve">TF-Baum </w:t>
      </w:r>
      <w:r>
        <w:rPr>
          <w:rStyle w:val="CodeChar"/>
        </w:rPr>
        <w:t xml:space="preserve">map → odom → base_link → &lt;Sensor-ID&gt;</w:t>
      </w:r>
      <w:r>
        <w:t xml:space="preserve"> aus den Einbaupositionen.</w:t>
      </w:r>
    </w:p>
    <w:p>
      <w:pPr>
        <w:pStyle w:val="ListParagraph"/>
        <w:numPr>
          <w:ilvl w:val="0"/>
          <w:numId w:val="13"/>
        </w:numPr>
      </w:pPr>
      <w:r>
        <w:t xml:space="preserve">Befehlseingang </w:t>
      </w:r>
      <w:r>
        <w:rPr>
          <w:rStyle w:val="CodeChar"/>
        </w:rPr>
        <w:t xml:space="preserve">/starship/cmd_vel</w:t>
      </w:r>
      <w:r>
        <w:t xml:space="preserve"> (</w:t>
      </w:r>
      <w:r>
        <w:rPr>
          <w:rStyle w:val="CodeChar"/>
        </w:rPr>
        <w:t xml:space="preserve">Twist</w:t>
      </w:r>
      <w:r>
        <w:t xml:space="preserve">) und Simulationszeit </w:t>
      </w:r>
      <w:r>
        <w:rPr>
          <w:rStyle w:val="CodeChar"/>
        </w:rPr>
        <w:t xml:space="preserve">/clock</w:t>
      </w:r>
      <w:r>
        <w:t xml:space="preserve">.</w:t>
      </w:r>
    </w:p>
    <w:p>
      <w:pPr/>
      <w:r>
        <w:t xml:space="preserve">Zur Wahl stehen die carla-ros-bridge in WSL2 (kein Neubau von CARLA nötig) oder ein Neubau von CARLA mit </w:t>
      </w:r>
      <w:r>
        <w:rPr>
          <w:rStyle w:val="CodeChar"/>
        </w:rPr>
        <w:t xml:space="preserve">--ros2</w:t>
      </w:r>
      <w:r>
        <w:t xml:space="preserve">. Im lokalen Build ist ROS2 derzeit ausgeschaltet (</w:t>
      </w:r>
      <w:r>
        <w:rPr>
          <w:rStyle w:val="CodeChar"/>
        </w:rPr>
        <w:t xml:space="preserve">Ros2 OFF</w:t>
      </w:r>
      <w:r>
        <w:t xml:space="preserve">).</w:t>
      </w:r>
    </w:p>
    <w:p>
      <w:pPr>
        <w:pStyle w:val="Heading2"/>
      </w:pPr>
      <w:r>
        <w:t xml:space="preserve">Quellen</w:t>
      </w:r>
    </w:p>
    <w:p>
      <w:pPr>
        <w:pStyle w:val="ListParagraph"/>
        <w:numPr>
          <w:ilvl w:val="0"/>
          <w:numId w:val="14"/>
        </w:numPr>
      </w:pPr>
      <w:hyperlink r:id="rId18" w:history="1">
        <w:r>
          <w:rPr>
            <w:rStyle w:val="Hyperlink"/>
          </w:rPr>
          <w:t xml:space="preserve">Starship Technologies: Our Robots</w:t>
        </w:r>
      </w:hyperlink>
      <w:r>
        <w:t xml:space="preserve"> – 12 Kameras inkl. ToF, Radar, Ultraschall, „Bubble of Awareness“ (abgerufen 09.10.2026)</w:t>
      </w:r>
    </w:p>
    <w:p>
      <w:pPr>
        <w:pStyle w:val="ListParagraph"/>
        <w:numPr>
          <w:ilvl w:val="0"/>
          <w:numId w:val="14"/>
        </w:numPr>
      </w:pPr>
      <w:hyperlink r:id="rId10" w:history="1">
        <w:r>
          <w:rPr>
            <w:rStyle w:val="Hyperlink"/>
          </w:rPr>
          <w:t xml:space="preserve">Wikipedia: Starship Technologies</w:t>
        </w:r>
      </w:hyperlink>
      <w:r>
        <w:t xml:space="preserve"> – Sensoren, 6 km/h, 25 kg, 18 h Akku</w:t>
      </w:r>
    </w:p>
    <w:p>
      <w:pPr>
        <w:pStyle w:val="ListParagraph"/>
        <w:numPr>
          <w:ilvl w:val="0"/>
          <w:numId w:val="14"/>
        </w:numPr>
      </w:pPr>
      <w:hyperlink r:id="rId19" w:history="1">
        <w:r>
          <w:rPr>
            <w:rStyle w:val="Hyperlink"/>
          </w:rPr>
          <w:t xml:space="preserve">Vision Systems Design: Autonomous robot successfully delivers takeout for the first time</w:t>
        </w:r>
      </w:hyperlink>
      <w:r>
        <w:t xml:space="preserve"> – 3 Stereo-Paare, 3 ToF, Ultraschall 360°, Tegra K1</w:t>
      </w:r>
    </w:p>
    <w:p>
      <w:pPr>
        <w:pStyle w:val="ListParagraph"/>
        <w:numPr>
          <w:ilvl w:val="0"/>
          <w:numId w:val="14"/>
        </w:numPr>
      </w:pPr>
      <w:hyperlink r:id="rId21" w:history="1">
        <w:r>
          <w:rPr>
            <w:rStyle w:val="Hyperlink"/>
          </w:rPr>
          <w:t xml:space="preserve">MIT Technology Review, 30.01.2018</w:t>
        </w:r>
      </w:hyperlink>
      <w:r>
        <w:t xml:space="preserve"> – 9 Kameras, 4 Radare, 8 Ultraschallsensoren</w:t>
      </w:r>
    </w:p>
    <w:p>
      <w:pPr>
        <w:pStyle w:val="ListParagraph"/>
        <w:numPr>
          <w:ilvl w:val="0"/>
          <w:numId w:val="14"/>
        </w:numPr>
      </w:pPr>
      <w:hyperlink r:id="rId20" w:history="1">
        <w:r>
          <w:rPr>
            <w:rStyle w:val="Hyperlink"/>
          </w:rPr>
          <w:t xml:space="preserve">The Robot Report, 30.11.2022: ESPROS chips in use in Starship robots</w:t>
        </w:r>
      </w:hyperlink>
      <w:r>
        <w:t xml:space="preserve"> – ToF-Chip epc660</w:t>
      </w:r>
    </w:p>
    <w:p>
      <w:pPr>
        <w:pStyle w:val="ListParagraph"/>
        <w:numPr>
          <w:ilvl w:val="0"/>
          <w:numId w:val="14"/>
        </w:numPr>
      </w:pPr>
      <w:hyperlink r:id="rId23" w:history="1">
        <w:r>
          <w:rPr>
            <w:rStyle w:val="Hyperlink"/>
          </w:rPr>
          <w:t xml:space="preserve">ESPROS epc660 Datenblatt (Kopie)</w:t>
        </w:r>
      </w:hyperlink>
      <w:r>
        <w:t xml:space="preserve"> – 320 × 240 Pixel, 12-Bit-Distanz</w:t>
      </w:r>
    </w:p>
    <w:p>
      <w:pPr>
        <w:pStyle w:val="ListParagraph"/>
        <w:numPr>
          <w:ilvl w:val="0"/>
          <w:numId w:val="14"/>
        </w:numPr>
      </w:pPr>
      <w:hyperlink r:id="rId28" w:history="1">
        <w:r>
          <w:rPr>
            <w:rStyle w:val="Hyperlink"/>
          </w:rPr>
          <w:t xml:space="preserve">CARLA: ROS2 native interface</w:t>
        </w:r>
      </w:hyperlink>
      <w:r>
        <w:t xml:space="preserve"> – </w:t>
      </w:r>
      <w:r>
        <w:rPr>
          <w:rStyle w:val="CodeChar"/>
        </w:rPr>
        <w:t xml:space="preserve">--ros2</w:t>
      </w:r>
      <w:r>
        <w:t xml:space="preserve">, </w:t>
      </w:r>
      <w:r>
        <w:rPr>
          <w:rStyle w:val="CodeChar"/>
        </w:rPr>
        <w:t xml:space="preserve">ros_name</w:t>
      </w:r>
      <w:r>
        <w:t xml:space="preserve">, </w:t>
      </w:r>
      <w:r>
        <w:rPr>
          <w:rStyle w:val="CodeChar"/>
        </w:rPr>
        <w:t xml:space="preserve">enable_for_ros()</w:t>
      </w:r>
    </w:p>
    <w:p>
      <w:pPr>
        <w:pStyle w:val="ListParagraph"/>
        <w:numPr>
          <w:ilvl w:val="0"/>
          <w:numId w:val="15"/>
        </w:numPr>
      </w:pPr>
      <w:hyperlink r:id="rId22" w:history="1">
        <w:r>
          <w:rPr>
            <w:rStyle w:val="Hyperlink"/>
          </w:rPr>
          <w:t xml:space="preserve">Patent US 2018/0253107 A1, Starship Technologies</w:t>
        </w:r>
      </w:hyperlink>
      <w:r>
        <w:t xml:space="preserve"> – Kameraanordnung, Stereo-Abstände, Neigung, Sichtfeld, 4 Bilder/s, Geschwindigkeit</w:t>
      </w:r>
    </w:p>
    <w:p>
      <w:pPr>
        <w:pStyle w:val="ListParagraph"/>
        <w:numPr>
          <w:ilvl w:val="0"/>
          <w:numId w:val="16"/>
        </w:numPr>
      </w:pPr>
      <w:hyperlink r:id="rId11" w:history="1">
        <w:r>
          <w:rPr>
            <w:rStyle w:val="Hyperlink"/>
          </w:rPr>
          <w:t xml:space="preserve">Patent US 2018/0194411 A1 / US 10 239 378 B2, Starship Technologies</w:t>
        </w:r>
      </w:hyperlink>
      <w:r>
        <w:t xml:space="preserve"> – Fahrwerk, feste Radachsen bei Kurvenfahrt, einzeln angetriebene Räder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hyperlink" Target="https://en.wikipedia.org/wiki/Starship_Technologies" TargetMode="External"/><Relationship Id="rId11" Type="http://schemas.openxmlformats.org/officeDocument/2006/relationships/hyperlink" Target="https://patents.google.com/patent/US20180194411A1/en" TargetMode="External"/><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hyperlink" Target="https://www.starship.xyz/?p=673" TargetMode="External"/><Relationship Id="rId19" Type="http://schemas.openxmlformats.org/officeDocument/2006/relationships/hyperlink" Target="https://www.vision-systems.com/embedded/article/16742182/autonomous-robot-successfully-delivers-takeout-for-the-first-time" TargetMode="External"/><Relationship Id="rId20" Type="http://schemas.openxmlformats.org/officeDocument/2006/relationships/hyperlink" Target="https://www.therobotreport.com/espros-chips-in-use-in-starship-technologies-delivery-robots/" TargetMode="External"/><Relationship Id="rId21" Type="http://schemas.openxmlformats.org/officeDocument/2006/relationships/hyperlink" Target="https://www.technologyreview.com/2018/01/30/145935/why-sidewalk-delivery-robots-still-need-safety-drivers-too/amp/" TargetMode="External"/><Relationship Id="rId22" Type="http://schemas.openxmlformats.org/officeDocument/2006/relationships/hyperlink" Target="https://patents.google.com/patent/US20180253107A1/" TargetMode="External"/><Relationship Id="rId23" Type="http://schemas.openxmlformats.org/officeDocument/2006/relationships/hyperlink" Target="https://atta.szlcsc.com/upload/public/pdf/source/231023/Datasheet_epc660-d67cd1b32b170f852a88b269f1d42613.pdf" TargetMode="Externa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yperlink" Target="https://carla-ue5.readthedocs.io/en/latest/ros2_nativ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Starship-Bot in CARLA – Umsetzung &amp; Sensorik</dc:title>
  <dc:description>Claude Docs node/f04e8604-d386@29 docx-w7</dc:description>
  <cp:revision>29</cp:revision>
</cp:coreProperties>
</file>