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2A4A"/>
          <w:sz w:val="48"/>
          <w:szCs w:val="48"/>
        </w:rPr>
        <w:t xml:space="preserve">ANVO INSURANCE</w:t>
      </w:r>
    </w:p>
    <w:p>
      <w:pPr>
        <w:spacing w:after="160" w:before="0"/>
        <w:jc w:val="center"/>
      </w:pPr>
      <w:r>
        <w:rPr>
          <w:rFonts w:ascii="Arial" w:cs="Arial" w:eastAsia="Arial" w:hAnsi="Arial"/>
          <w:b/>
          <w:bCs/>
          <w:color w:val="1A5276"/>
          <w:sz w:val="36"/>
          <w:szCs w:val="36"/>
        </w:rPr>
        <w:t xml:space="preserve">E&amp;O Content Audit &amp; Compliance Review</w:t>
      </w:r>
    </w:p>
    <w:p>
      <w:pPr>
        <w:spacing w:after="80" w:before="0"/>
        <w:jc w:val="center"/>
      </w:pPr>
      <w:r>
        <w:rPr>
          <w:rFonts w:ascii="Arial" w:cs="Arial" w:eastAsia="Arial" w:hAnsi="Arial"/>
          <w:color w:val="5D6D7E"/>
          <w:sz w:val="24"/>
          <w:szCs w:val="24"/>
        </w:rPr>
        <w:t xml:space="preserve">Website: genuine-elf-87d1d4.netlify.app  |  March 31, 2026</w:t>
      </w:r>
    </w:p>
    <w:p>
      <w:pPr>
        <w:spacing w:after="720" w:before="80"/>
        <w:jc w:val="center"/>
      </w:pPr>
      <w:r>
        <w:rPr>
          <w:rFonts w:ascii="Arial" w:cs="Arial" w:eastAsia="Arial" w:hAnsi="Arial"/>
          <w:i/>
          <w:iCs/>
          <w:color w:val="5D6D7E"/>
          <w:sz w:val="22"/>
          <w:szCs w:val="22"/>
        </w:rPr>
        <w:t xml:space="preserve">Prepared for: Edward Hsyeh, Managing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EBF5FB" w:val="clear"/>
            <w:tcMar>
              <w:top w:type="dxa" w:w="160"/>
              <w:left w:type="dxa" w:w="200"/>
              <w:bottom w:type="dxa" w:w="160"/>
              <w:right w:type="dxa" w:w="200"/>
            </w:tcMar>
          </w:tcPr>
          <w:p>
            <w:pPr>
              <w:spacing w:after="80" w:before="0"/>
              <w:jc w:val="center"/>
            </w:pPr>
            <w:r>
              <w:rPr>
                <w:rFonts w:ascii="Arial" w:cs="Arial" w:eastAsia="Arial" w:hAnsi="Arial"/>
                <w:b/>
                <w:bCs/>
                <w:color w:val="1B2A4A"/>
                <w:sz w:val="22"/>
                <w:szCs w:val="22"/>
              </w:rPr>
              <w:t xml:space="preserve">CONFIDENTIAL — INTERNAL USE ONLY</w:t>
            </w:r>
          </w:p>
          <w:p>
            <w:pPr>
              <w:spacing w:after="0" w:before="0"/>
              <w:jc w:val="center"/>
            </w:pPr>
            <w:r>
              <w:rPr>
                <w:rFonts w:ascii="Arial" w:cs="Arial" w:eastAsia="Arial" w:hAnsi="Arial"/>
                <w:i/>
                <w:iCs/>
                <w:color w:val="5D6D7E"/>
                <w:sz w:val="20"/>
                <w:szCs w:val="20"/>
              </w:rPr>
              <w:t xml:space="preserve">This document contains legal compliance analysis and attorney-sensitive recommendations. The author is not an attorney. Nothing in this document constitutes legal advice. Consult a licensed insurance attorney in CA and NY before publishing disclaimer language.</w:t>
            </w:r>
          </w:p>
        </w:tc>
      </w:tr>
    </w:tbl>
    <w:p>
      <w:pPr>
        <w:spacing w:after="320" w:before="0"/>
      </w:pPr>
      <w:r>
        <w:t xml:space="preserve"/>
      </w:r>
    </w:p>
    <w:p>
      <w:pPr>
        <w:pageBreakBefore/>
      </w:pPr>
      <w:r>
        <w:t xml:space="preserve"/>
      </w:r>
    </w:p>
    <w:p>
      <w:pPr>
        <w:pStyle w:val="Heading1"/>
        <w:shd w:fill="1B2A4A" w:val="clear"/>
        <w:spacing w:after="180" w:before="360"/>
        <w:ind w:left="360" w:right="360"/>
      </w:pPr>
      <w:r>
        <w:rPr>
          <w:rFonts w:ascii="Arial" w:cs="Arial" w:eastAsia="Arial" w:hAnsi="Arial"/>
          <w:b/>
          <w:bCs/>
          <w:color w:val="FFFFFF"/>
          <w:sz w:val="32"/>
          <w:szCs w:val="32"/>
        </w:rPr>
        <w:t xml:space="preserve">1.  Executive Summary</w:t>
      </w:r>
    </w:p>
    <w:p>
      <w:pPr>
        <w:spacing w:after="120" w:before="0"/>
      </w:pPr>
      <w:r>
        <w:t xml:space="preserve"/>
      </w:r>
    </w:p>
    <w:p>
      <w:pPr>
        <w:spacing w:after="160" w:before="0"/>
      </w:pPr>
      <w:r>
        <w:rPr>
          <w:rFonts w:ascii="Arial" w:cs="Arial" w:eastAsia="Arial" w:hAnsi="Arial"/>
          <w:sz w:val="22"/>
          <w:szCs w:val="22"/>
        </w:rPr>
        <w:t xml:space="preserve">This audit reviewed all live English-language pages on the Anvo Insurance staging site for content that could create errors &amp; omissions (E&amp;O) liability, and for compliance with California and New York licensing disclosure requirements. Seven pages were reviewed: Homepage, About, Coverages, Hotels &amp; Hospitality, Restaurant Groups, Commercial Fleets, and Food Distribution.</w:t>
      </w:r>
    </w:p>
    <w:p>
      <w:pPr>
        <w:spacing w:after="120" w:before="0"/>
      </w:pPr>
      <w:r>
        <w:t xml:space="preserve"/>
      </w:r>
    </w:p>
    <w:p>
      <w:pPr>
        <w:spacing w:after="160" w:before="0"/>
      </w:pPr>
      <w:r>
        <w:rPr>
          <w:rFonts w:ascii="Arial" w:cs="Arial" w:eastAsia="Arial" w:hAnsi="Arial"/>
          <w:sz w:val="22"/>
          <w:szCs w:val="22"/>
        </w:rPr>
        <w:t xml:space="preserve">Fifteen findings were identified across three priority tiers. Two findings are P1 (fix before launch): the absence of license numbers from every page — a legal violation of California Insurance Code §1725.5 — and the absence of any New York Regulation 194 producer compensation disclosure. The remaining findings are P2 and P3 language issues that create E&amp;O exposure without rising to the level of a regulatory violation.</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Count</w:t>
            </w:r>
          </w:p>
        </w:tc>
        <w:tc>
          <w:tcPr>
            <w:tcW w:type="dxa" w:w="5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r>
      <w:tr>
        <w:tc>
          <w:tcPr>
            <w:tcW w:type="dxa" w:w="1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spacing w:after="0" w:before="0"/>
            </w:pPr>
            <w:r>
              <w:rPr>
                <w:rFonts w:ascii="Arial" w:cs="Arial" w:eastAsia="Arial" w:hAnsi="Arial"/>
                <w:b/>
                <w:bCs/>
                <w:color w:val="C0392B"/>
                <w:sz w:val="20"/>
                <w:szCs w:val="20"/>
              </w:rPr>
              <w:t xml:space="preserve">P1 — Critical</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2</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Regulatory non-compliance (CA license number; NY Reg 194 disclosure)</w:t>
            </w:r>
          </w:p>
        </w:tc>
      </w:tr>
      <w:tr>
        <w:tc>
          <w:tcPr>
            <w:tcW w:type="dxa" w:w="18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spacing w:after="0" w:before="0"/>
            </w:pPr>
            <w:r>
              <w:rPr>
                <w:rFonts w:ascii="Arial" w:cs="Arial" w:eastAsia="Arial" w:hAnsi="Arial"/>
                <w:b/>
                <w:bCs/>
                <w:color w:val="D35400"/>
                <w:sz w:val="20"/>
                <w:szCs w:val="20"/>
              </w:rPr>
              <w:t xml:space="preserve">P2 — High</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9</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Premium price ranges; unsourced statistics; absolute outcome promises</w:t>
            </w:r>
          </w:p>
        </w:tc>
      </w:tr>
      <w:tr>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spacing w:after="0" w:before="0"/>
            </w:pPr>
            <w:r>
              <w:rPr>
                <w:rFonts w:ascii="Arial" w:cs="Arial" w:eastAsia="Arial" w:hAnsi="Arial"/>
                <w:b/>
                <w:bCs/>
                <w:color w:val="B7950B"/>
                <w:sz w:val="20"/>
                <w:szCs w:val="20"/>
              </w:rPr>
              <w:t xml:space="preserve">P3 — Moderate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sz w:val="20"/>
                <w:szCs w:val="20"/>
              </w:rPr>
              <w:t xml:space="preserve">4</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Loose language, overstated service commitments, minor phrasing issues</w:t>
            </w:r>
          </w:p>
        </w:tc>
      </w:tr>
    </w:tbl>
    <w:p>
      <w:pPr>
        <w:spacing w:after="280" w:before="0"/>
      </w:pPr>
      <w:r>
        <w:t xml:space="preserve"/>
      </w:r>
    </w:p>
    <w:p>
      <w:pPr>
        <w:pageBreakBefore/>
      </w:pPr>
      <w:r>
        <w:t xml:space="preserve"/>
      </w:r>
    </w:p>
    <w:p>
      <w:pPr>
        <w:pStyle w:val="Heading1"/>
        <w:shd w:fill="1B2A4A" w:val="clear"/>
        <w:spacing w:after="180" w:before="360"/>
        <w:ind w:left="360" w:right="360"/>
      </w:pPr>
      <w:r>
        <w:rPr>
          <w:rFonts w:ascii="Arial" w:cs="Arial" w:eastAsia="Arial" w:hAnsi="Arial"/>
          <w:b/>
          <w:bCs/>
          <w:color w:val="FFFFFF"/>
          <w:sz w:val="32"/>
          <w:szCs w:val="32"/>
        </w:rPr>
        <w:t xml:space="preserve">2.  CA and NY Licensing Requirements</w:t>
      </w:r>
    </w:p>
    <w:p>
      <w:pPr>
        <w:spacing w:after="120" w:before="0"/>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2.1  California — License Number Disclosure</w:t>
      </w:r>
    </w:p>
    <w:p>
      <w:pPr>
        <w:spacing w:after="160" w:before="0"/>
      </w:pPr>
      <w:r>
        <w:rPr>
          <w:rFonts w:ascii="Arial" w:cs="Arial" w:eastAsia="Arial" w:hAnsi="Arial"/>
          <w:sz w:val="22"/>
          <w:szCs w:val="22"/>
        </w:rPr>
        <w:t xml:space="preserve">California Insurance Code §1725.5 requires every licensed insurance agent and broker to include their license number on all advertisements and solicitations. A website is an advertisement under California law. The license number must appear on every page of the site — or at minimum in the site-wide footer — so that any California resident viewing any page sees it.</w:t>
      </w:r>
    </w:p>
    <w:p>
      <w:pPr>
        <w:spacing w:after="120" w:before="0"/>
      </w:pPr>
      <w:r>
        <w:t xml:space="preserve"/>
      </w:r>
    </w:p>
    <w:p>
      <w:pPr>
        <w:spacing w:after="160" w:before="0"/>
      </w:pPr>
      <w:r>
        <w:rPr>
          <w:rFonts w:ascii="Arial" w:cs="Arial" w:eastAsia="Arial" w:hAnsi="Arial"/>
          <w:b/>
          <w:bCs/>
          <w:color w:val="1B2A4A"/>
          <w:sz w:val="22"/>
          <w:szCs w:val="22"/>
        </w:rPr>
        <w:t xml:space="preserve">Since January 1, 2023, </w:t>
      </w:r>
      <w:r>
        <w:rPr>
          <w:rFonts w:ascii="Arial" w:cs="Arial" w:eastAsia="Arial" w:hAnsi="Arial"/>
          <w:sz w:val="22"/>
          <w:szCs w:val="22"/>
        </w:rPr>
        <w:t xml:space="preserve">this requirement also applies to email. Every email sent from the agency — outreach, policy communications, quote follow-ups — must include the CA license number in the email signature. This is not optional.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EBF5FB" w:val="clear"/>
            <w:tcMar>
              <w:top w:type="dxa" w:w="160"/>
              <w:left w:type="dxa" w:w="200"/>
              <w:bottom w:type="dxa" w:w="160"/>
              <w:right w:type="dxa" w:w="200"/>
            </w:tcMar>
          </w:tcPr>
          <w:p>
            <w:pPr>
              <w:spacing w:after="80" w:before="0"/>
            </w:pPr>
            <w:r>
              <w:rPr>
                <w:rFonts w:ascii="Arial" w:cs="Arial" w:eastAsia="Arial" w:hAnsi="Arial"/>
                <w:b/>
                <w:bCs/>
                <w:color w:val="1B2A4A"/>
                <w:sz w:val="20"/>
                <w:szCs w:val="20"/>
              </w:rPr>
              <w:t xml:space="preserve">Required footer format:</w:t>
            </w:r>
          </w:p>
          <w:p>
            <w:pPr>
              <w:spacing w:after="80" w:before="0"/>
            </w:pPr>
            <w:r>
              <w:rPr>
                <w:rFonts w:ascii="Arial" w:cs="Arial" w:eastAsia="Arial" w:hAnsi="Arial"/>
                <w:i/>
                <w:iCs/>
                <w:color w:val="1A5276"/>
                <w:sz w:val="20"/>
                <w:szCs w:val="20"/>
              </w:rPr>
              <w:t xml:space="preserve">CA License No. [YOUR CA LICENSE NUMBER]</w:t>
            </w:r>
          </w:p>
          <w:p>
            <w:pPr>
              <w:spacing w:after="80" w:before="0"/>
            </w:pPr>
            <w:r>
              <w:rPr>
                <w:rFonts w:ascii="Arial" w:cs="Arial" w:eastAsia="Arial" w:hAnsi="Arial"/>
                <w:color w:val="5D6D7E"/>
                <w:sz w:val="20"/>
                <w:szCs w:val="20"/>
              </w:rPr>
              <w:t xml:space="preserve">If you are also licensed in NY, add it on the same line:</w:t>
            </w:r>
          </w:p>
          <w:p>
            <w:pPr>
              <w:spacing w:after="0" w:before="0"/>
            </w:pPr>
            <w:r>
              <w:rPr>
                <w:rFonts w:ascii="Arial" w:cs="Arial" w:eastAsia="Arial" w:hAnsi="Arial"/>
                <w:i/>
                <w:iCs/>
                <w:color w:val="1A5276"/>
                <w:sz w:val="20"/>
                <w:szCs w:val="20"/>
              </w:rPr>
              <w:t xml:space="preserve">CA License No. [XXXX]  |  NY License No. [XXXX]</w:t>
            </w:r>
          </w:p>
        </w:tc>
      </w:tr>
    </w:tbl>
    <w:p>
      <w:pPr>
        <w:spacing w:after="160" w:before="0"/>
      </w:pPr>
      <w:r>
        <w:t xml:space="preserve"/>
      </w:r>
    </w:p>
    <w:p>
      <w:pPr>
        <w:spacing w:after="160" w:before="0"/>
      </w:pPr>
      <w:r>
        <w:rPr>
          <w:rFonts w:ascii="Arial" w:cs="Arial" w:eastAsia="Arial" w:hAnsi="Arial"/>
          <w:b/>
          <w:bCs/>
          <w:color w:val="1B2A4A"/>
          <w:sz w:val="22"/>
          <w:szCs w:val="22"/>
        </w:rPr>
        <w:t xml:space="preserve">Action required: </w:t>
      </w:r>
      <w:r>
        <w:rPr>
          <w:rFonts w:ascii="Arial" w:cs="Arial" w:eastAsia="Arial" w:hAnsi="Arial"/>
          <w:sz w:val="22"/>
          <w:szCs w:val="22"/>
        </w:rPr>
        <w:t xml:space="preserve">Add your CA and NY license numbers to the footer.njk file. You'll need to provide those numbers — they are not in any existing site file.</w:t>
      </w:r>
    </w:p>
    <w:p>
      <w:pPr>
        <w:spacing w:after="200" w:before="0"/>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2.2  New York — Regulation 194 Compensation Disclosure</w:t>
      </w:r>
    </w:p>
    <w:p>
      <w:pPr>
        <w:spacing w:after="160" w:before="0"/>
      </w:pPr>
      <w:r>
        <w:rPr>
          <w:rFonts w:ascii="Arial" w:cs="Arial" w:eastAsia="Arial" w:hAnsi="Arial"/>
          <w:sz w:val="22"/>
          <w:szCs w:val="22"/>
        </w:rPr>
        <w:t xml:space="preserve">New York Insurance Regulation 194 (11 NYCRR Part 30) requires insurance producers to disclose to applicants, at or before the point of application, that they receive compensation from insurers and how that compensation is determined. Applicants must be told they can request more specific information.</w:t>
      </w:r>
    </w:p>
    <w:p>
      <w:pPr>
        <w:spacing w:after="120" w:before="0"/>
      </w:pPr>
      <w:r>
        <w:t xml:space="preserve"/>
      </w:r>
    </w:p>
    <w:p>
      <w:pPr>
        <w:spacing w:after="160" w:before="0"/>
      </w:pPr>
      <w:r>
        <w:rPr>
          <w:rFonts w:ascii="Arial" w:cs="Arial" w:eastAsia="Arial" w:hAnsi="Arial"/>
          <w:sz w:val="22"/>
          <w:szCs w:val="22"/>
        </w:rPr>
        <w:t xml:space="preserve">The quote form on the Anvo website is the entry point to the application process. Under Regulation 194, a compensation disclosure must appear before or at the point of form submission — either as a note near the form, a checkbox in the form, or a link to a dedicated disclosure page. The current form has no such disclosure.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EBF5FB" w:val="clear"/>
            <w:tcMar>
              <w:top w:type="dxa" w:w="160"/>
              <w:left w:type="dxa" w:w="200"/>
              <w:bottom w:type="dxa" w:w="160"/>
              <w:right w:type="dxa" w:w="200"/>
            </w:tcMar>
          </w:tcPr>
          <w:p>
            <w:pPr>
              <w:spacing w:after="80" w:before="0"/>
            </w:pPr>
            <w:r>
              <w:rPr>
                <w:rFonts w:ascii="Arial" w:cs="Arial" w:eastAsia="Arial" w:hAnsi="Arial"/>
                <w:b/>
                <w:bCs/>
                <w:color w:val="1B2A4A"/>
                <w:sz w:val="20"/>
                <w:szCs w:val="20"/>
              </w:rPr>
              <w:t xml:space="preserve">Recommended disclosure (near quote form or on /disclosures page):</w:t>
            </w:r>
          </w:p>
          <w:p>
            <w:pPr>
              <w:spacing w:after="0" w:before="0"/>
            </w:pPr>
            <w:r>
              <w:rPr>
                <w:rFonts w:ascii="Arial" w:cs="Arial" w:eastAsia="Arial" w:hAnsi="Arial"/>
                <w:i/>
                <w:iCs/>
                <w:color w:val="1A5276"/>
                <w:sz w:val="20"/>
                <w:szCs w:val="20"/>
              </w:rPr>
              <w:t xml:space="preserve">"Anvo Insurance receives compensation from insurance companies in connection with the policies we place. The compensation we receive may vary depending on the insurer, the policy, and the coverage placed. You have the right to request more specific information about the nature and range of compensation we may receive. To request this information, contact us at info@anvo-insurance.com."</w:t>
            </w:r>
          </w:p>
        </w:tc>
      </w:tr>
    </w:tbl>
    <w:p>
      <w:pPr>
        <w:spacing w:after="160" w:before="0"/>
      </w:pPr>
      <w:r>
        <w:t xml:space="preserve"/>
      </w:r>
    </w:p>
    <w:p>
      <w:pPr>
        <w:spacing w:after="160" w:before="0"/>
      </w:pPr>
      <w:r>
        <w:rPr>
          <w:rFonts w:ascii="Arial" w:cs="Arial" w:eastAsia="Arial" w:hAnsi="Arial"/>
          <w:b/>
          <w:bCs/>
          <w:color w:val="1B2A4A"/>
          <w:sz w:val="22"/>
          <w:szCs w:val="22"/>
        </w:rPr>
        <w:t xml:space="preserve">Action required: </w:t>
      </w:r>
      <w:r>
        <w:rPr>
          <w:rFonts w:ascii="Arial" w:cs="Arial" w:eastAsia="Arial" w:hAnsi="Arial"/>
          <w:sz w:val="22"/>
          <w:szCs w:val="22"/>
        </w:rPr>
        <w:t xml:space="preserve">Add this disclosure to the quote form on all industry pages and the contact page. Link it from the footer as well. Consider a dedicated /disclosures page that both the form and the footer point to.</w:t>
      </w:r>
    </w:p>
    <w:p>
      <w:pPr>
        <w:spacing w:after="200" w:before="0"/>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2.3  Recommended Site-Wide Disclaimer</w:t>
      </w:r>
    </w:p>
    <w:p>
      <w:pPr>
        <w:spacing w:after="160" w:before="0"/>
      </w:pPr>
      <w:r>
        <w:rPr>
          <w:rFonts w:ascii="Arial" w:cs="Arial" w:eastAsia="Arial" w:hAnsi="Arial"/>
          <w:sz w:val="22"/>
          <w:szCs w:val="22"/>
        </w:rPr>
        <w:t xml:space="preserve">Beyond the regulatory requirements above, a site-wide disclaimer protects against claims that website content created a coverage expectation or constituted professional advice. This should appear in the footer and on a dedicated /disclosures page. Recommended language: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EBF5FB" w:val="clear"/>
            <w:tcMar>
              <w:top w:type="dxa" w:w="160"/>
              <w:left w:type="dxa" w:w="200"/>
              <w:bottom w:type="dxa" w:w="160"/>
              <w:right w:type="dxa" w:w="200"/>
            </w:tcMar>
          </w:tcPr>
          <w:p>
            <w:pPr>
              <w:spacing w:after="120" w:before="0"/>
            </w:pPr>
            <w:r>
              <w:rPr>
                <w:rFonts w:ascii="Arial" w:cs="Arial" w:eastAsia="Arial" w:hAnsi="Arial"/>
                <w:b/>
                <w:bCs/>
                <w:color w:val="1B2A4A"/>
                <w:sz w:val="20"/>
                <w:szCs w:val="20"/>
              </w:rPr>
              <w:t xml:space="preserve">DISCLAIMERS &amp; DISCLOSURES</w:t>
            </w:r>
          </w:p>
          <w:p>
            <w:pPr>
              <w:spacing w:after="120" w:before="0"/>
            </w:pPr>
            <w:r>
              <w:rPr>
                <w:rFonts w:ascii="Arial" w:cs="Arial" w:eastAsia="Arial" w:hAnsi="Arial"/>
                <w:color w:val="5D6D7E"/>
                <w:sz w:val="20"/>
                <w:szCs w:val="20"/>
              </w:rPr>
              <w:t xml:space="preserve">Coverage descriptions on this website are general summaries for informational purposes only. Actual coverage is governed exclusively by the terms, conditions, exclusions, and endorsements of the applicable policy. Not all coverages are available in all states.</w:t>
            </w:r>
          </w:p>
          <w:p>
            <w:pPr>
              <w:spacing w:after="120" w:before="0"/>
            </w:pPr>
            <w:r>
              <w:rPr>
                <w:rFonts w:ascii="Arial" w:cs="Arial" w:eastAsia="Arial" w:hAnsi="Arial"/>
                <w:color w:val="5D6D7E"/>
                <w:sz w:val="20"/>
                <w:szCs w:val="20"/>
              </w:rPr>
              <w:t xml:space="preserve">Any premium ranges or cost estimates referenced are illustrative examples based on general industry data and do not represent a quote, commitment, or guarantee of pricing for any specific account. Your actual premium will depend on underwriting criteria and is subject to carrier approval.</w:t>
            </w:r>
          </w:p>
          <w:p>
            <w:pPr>
              <w:spacing w:after="120" w:before="0"/>
            </w:pPr>
            <w:r>
              <w:rPr>
                <w:rFonts w:ascii="Arial" w:cs="Arial" w:eastAsia="Arial" w:hAnsi="Arial"/>
                <w:color w:val="5D6D7E"/>
                <w:sz w:val="20"/>
                <w:szCs w:val="20"/>
              </w:rPr>
              <w:t xml:space="preserve">Statistics and industry data referenced on this website are sourced from publicly available third-party sources. Anvo Insurance makes no representation as to their accuracy, completeness, or applicability to any specific situation.</w:t>
            </w:r>
          </w:p>
          <w:p>
            <w:pPr>
              <w:spacing w:after="120" w:before="0"/>
            </w:pPr>
            <w:r>
              <w:rPr>
                <w:rFonts w:ascii="Arial" w:cs="Arial" w:eastAsia="Arial" w:hAnsi="Arial"/>
                <w:color w:val="5D6D7E"/>
                <w:sz w:val="20"/>
                <w:szCs w:val="20"/>
              </w:rPr>
              <w:t xml:space="preserve">This website does not constitute legal, financial, or risk management advice. The information provided is not a substitute for consultation with a qualified professional.</w:t>
            </w:r>
          </w:p>
          <w:p>
            <w:pPr>
              <w:spacing w:after="120" w:before="0"/>
            </w:pPr>
            <w:r>
              <w:rPr>
                <w:rFonts w:ascii="Arial" w:cs="Arial" w:eastAsia="Arial" w:hAnsi="Arial"/>
                <w:color w:val="5D6D7E"/>
                <w:sz w:val="20"/>
                <w:szCs w:val="20"/>
              </w:rPr>
              <w:t xml:space="preserve">Producer Compensation Disclosure (New York): Anvo Insurance receives compensation from insurance companies in connection with the policies we place. Compensation may vary by insurer, policy, and coverage type. You have the right to request specific information about our compensation. Contact: info@anvo-insurance.com.</w:t>
            </w:r>
          </w:p>
          <w:p>
            <w:pPr>
              <w:spacing w:after="0" w:before="0"/>
            </w:pPr>
            <w:r>
              <w:rPr>
                <w:rFonts w:ascii="Arial" w:cs="Arial" w:eastAsia="Arial" w:hAnsi="Arial"/>
                <w:b/>
                <w:bCs/>
                <w:color w:val="1B2A4A"/>
                <w:sz w:val="20"/>
                <w:szCs w:val="20"/>
              </w:rPr>
              <w:t xml:space="preserve">CA License No. [INSERT]  |  NY License No. [INSERT]</w:t>
            </w:r>
          </w:p>
        </w:tc>
      </w:tr>
    </w:tbl>
    <w:p>
      <w:pPr>
        <w:spacing w:after="160" w:before="0"/>
      </w:pPr>
      <w:r>
        <w:t xml:space="preserve"/>
      </w:r>
    </w:p>
    <w:p>
      <w:pPr>
        <w:spacing w:after="160" w:before="0"/>
      </w:pPr>
      <w:r>
        <w:rPr>
          <w:rFonts w:ascii="Arial" w:cs="Arial" w:eastAsia="Arial" w:hAnsi="Arial"/>
          <w:i/>
          <w:iCs/>
          <w:color w:val="5D6D7E"/>
          <w:sz w:val="22"/>
          <w:szCs w:val="22"/>
        </w:rPr>
        <w:t xml:space="preserve">Note: Have this disclaimer reviewed by a licensed insurance attorney in California and New York before publishing. Regulations are subject to change.</w:t>
      </w:r>
    </w:p>
    <w:p>
      <w:pPr>
        <w:spacing w:after="280" w:before="0"/>
      </w:pPr>
      <w:r>
        <w:t xml:space="preserve"/>
      </w:r>
    </w:p>
    <w:p>
      <w:pPr>
        <w:pageBreakBefore/>
      </w:pPr>
      <w:r>
        <w:t xml:space="preserve"/>
      </w:r>
    </w:p>
    <w:p>
      <w:pPr>
        <w:pStyle w:val="Heading1"/>
        <w:shd w:fill="1B2A4A" w:val="clear"/>
        <w:spacing w:after="180" w:before="360"/>
        <w:ind w:left="360" w:right="360"/>
      </w:pPr>
      <w:r>
        <w:rPr>
          <w:rFonts w:ascii="Arial" w:cs="Arial" w:eastAsia="Arial" w:hAnsi="Arial"/>
          <w:b/>
          <w:bCs/>
          <w:color w:val="FFFFFF"/>
          <w:sz w:val="32"/>
          <w:szCs w:val="32"/>
        </w:rPr>
        <w:t xml:space="preserve">3.  Page-by-Page Audit Findings</w:t>
      </w:r>
    </w:p>
    <w:p>
      <w:pPr>
        <w:spacing w:after="160" w:before="0"/>
      </w:pPr>
      <w:r>
        <w:t xml:space="preserve"/>
      </w:r>
    </w:p>
    <w:p>
      <w:pPr>
        <w:spacing w:after="160" w:before="0"/>
      </w:pPr>
      <w:r>
        <w:rPr>
          <w:rFonts w:ascii="Arial" w:cs="Arial" w:eastAsia="Arial" w:hAnsi="Arial"/>
          <w:b/>
          <w:bCs/>
          <w:color w:val="1B2A4A"/>
          <w:sz w:val="22"/>
          <w:szCs w:val="22"/>
        </w:rPr>
        <w:t xml:space="preserve">Priority key:  </w:t>
      </w:r>
      <w:r>
        <w:rPr>
          <w:rFonts w:ascii="Arial" w:cs="Arial" w:eastAsia="Arial" w:hAnsi="Arial"/>
          <w:b/>
          <w:bCs/>
          <w:color w:val="C0392B"/>
          <w:sz w:val="22"/>
          <w:szCs w:val="22"/>
        </w:rPr>
        <w:t xml:space="preserve">P1 = Fix before launch  </w:t>
      </w:r>
      <w:r>
        <w:rPr>
          <w:rFonts w:ascii="Arial" w:cs="Arial" w:eastAsia="Arial" w:hAnsi="Arial"/>
          <w:b/>
          <w:bCs/>
          <w:color w:val="D35400"/>
          <w:sz w:val="22"/>
          <w:szCs w:val="22"/>
        </w:rPr>
        <w:t xml:space="preserve">P2 = Fix before paid traffic  </w:t>
      </w:r>
      <w:r>
        <w:rPr>
          <w:rFonts w:ascii="Arial" w:cs="Arial" w:eastAsia="Arial" w:hAnsi="Arial"/>
          <w:b/>
          <w:bCs/>
          <w:color w:val="B7950B"/>
          <w:sz w:val="22"/>
          <w:szCs w:val="22"/>
        </w:rPr>
        <w:t xml:space="preserve">P3 = Fix when time allows</w:t>
      </w:r>
    </w:p>
    <w:p>
      <w:pPr>
        <w:spacing w:after="200" w:before="0"/>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3.1  Site-Wide Issues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#1 — P1</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#1 </w:t>
            </w:r>
            <w:r>
              <w:rPr>
                <w:rFonts w:ascii="Arial" w:cs="Arial" w:eastAsia="Arial" w:hAnsi="Arial"/>
                <w:b/>
                <w:bCs/>
                <w:color w:val="C0392B"/>
                <w:sz w:val="20"/>
                <w:szCs w:val="20"/>
              </w:rPr>
              <w:t xml:space="preserve">P1</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All pages — footer</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"(No license number anywhere on the site)"</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California Insurance Code §1725.5 requires the CA license number on all advertisements. Every page of the site is an advertisement under California law. The current footer has no license number. This is an active regulatory violation for any California-licensed producer.</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80" w:before="0"/>
            </w:pPr>
            <w:r>
              <w:rPr>
                <w:rFonts w:ascii="Arial" w:cs="Arial" w:eastAsia="Arial" w:hAnsi="Arial"/>
                <w:color w:val="1E8449"/>
                <w:sz w:val="20"/>
                <w:szCs w:val="20"/>
              </w:rPr>
              <w:t xml:space="preserve">Add to footer.njk, on the line above the copyright:</w:t>
            </w:r>
          </w:p>
          <w:p>
            <w:pPr>
              <w:spacing w:after="0" w:before="0"/>
            </w:pPr>
            <w:r>
              <w:rPr>
                <w:rFonts w:ascii="Arial" w:cs="Arial" w:eastAsia="Arial" w:hAnsi="Arial"/>
                <w:b/>
                <w:bCs/>
                <w:i/>
                <w:iCs/>
                <w:color w:val="1E8449"/>
                <w:sz w:val="20"/>
                <w:szCs w:val="20"/>
              </w:rPr>
              <w:t xml:space="preserve">CA License No. [YOUR NUMBER]  |  NY License No. [YOUR NUMBER]</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#2 — P1</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#2 </w:t>
            </w:r>
            <w:r>
              <w:rPr>
                <w:rFonts w:ascii="Arial" w:cs="Arial" w:eastAsia="Arial" w:hAnsi="Arial"/>
                <w:b/>
                <w:bCs/>
                <w:color w:val="C0392B"/>
                <w:sz w:val="20"/>
                <w:szCs w:val="20"/>
              </w:rPr>
              <w:t xml:space="preserve">P1</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All industry pages — quote form</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"(No NY Regulation 194 compensation disclosure near quote form)"</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New York Regulation 194 requires producers to disclose compensation from insurers at or before the application stage. The quote form is the application entry point. There is currently no disclosure anywhere on the site.</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Add a brief disclosure above the form submit button or as a note below the form on every page with a quote form. See Section 2.2 for recommended language. Also add to the /disclosures page and link from footer.</w:t>
            </w:r>
          </w:p>
        </w:tc>
      </w:tr>
    </w:tbl>
    <w:p>
      <w:pPr>
        <w:spacing w:after="320" w:before="0"/>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3.2  Homepage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#3 — P2</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#3 </w:t>
            </w:r>
            <w:r>
              <w:rPr>
                <w:rFonts w:ascii="Arial" w:cs="Arial" w:eastAsia="Arial" w:hAnsi="Arial"/>
                <w:b/>
                <w:bCs/>
                <w:color w:val="D35400"/>
                <w:sz w:val="20"/>
                <w:szCs w:val="20"/>
              </w:rPr>
              <w:t xml:space="preserve">P2</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Homepage — hero section</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""We...match your business with the right coverage at the right price.""</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Promising both the "right coverage" AND the "right price" simultaneously is an open-ended guarantee. If a client later feels underinsured (wrong coverage) or overpays at renewal (wrong price), this sentence can be cited against you. "Right" is indefinite enough to mean whatever the client wants it to mean in hindsight.</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"We use data and market access to find coverage that fits your operation — and to make sure you're not paying for what you don't need."</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#4 — P2</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#4 </w:t>
            </w:r>
            <w:r>
              <w:rPr>
                <w:rFonts w:ascii="Arial" w:cs="Arial" w:eastAsia="Arial" w:hAnsi="Arial"/>
                <w:b/>
                <w:bCs/>
                <w:color w:val="D35400"/>
                <w:sz w:val="20"/>
                <w:szCs w:val="20"/>
              </w:rPr>
              <w:t xml:space="preserve">P2</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Homepage — How It Works, Step 3</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""You're covered.""</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Overly definitive. A client who has a claim denied could point to "you're covered" as a representation that all their risks were addressed. It also implies finality when coverage placement is a process.</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"Review your options, bind your policy, and get your certificates — fast."</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#5 — P3</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#5 </w:t>
            </w:r>
            <w:r>
              <w:rPr>
                <w:rFonts w:ascii="Arial" w:cs="Arial" w:eastAsia="Arial" w:hAnsi="Arial"/>
                <w:b/>
                <w:bCs/>
                <w:color w:val="D35400"/>
                <w:sz w:val="20"/>
                <w:szCs w:val="20"/>
              </w:rPr>
              <w:t xml:space="preserve">P3</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Homepage — How It Works, Step 2</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""We shop the market. We match your risk profile against our carrier network to find the best coverage at the best price.""</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"Best coverage at the best price" is a dual superlative guarantee. In practice, the best coverage may cost more, and the best price may come with coverage trade-offs. This creates a standard you can't consistently meet.</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"We shop our carrier network to find coverage that fits your risk profile and your budget — without gaps."</w:t>
            </w:r>
          </w:p>
        </w:tc>
      </w:tr>
    </w:tbl>
    <w:p>
      <w:pPr>
        <w:spacing w:after="320" w:before="0"/>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3.3  About Page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#6 — P3</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#6 </w:t>
            </w:r>
            <w:r>
              <w:rPr>
                <w:rFonts w:ascii="Arial" w:cs="Arial" w:eastAsia="Arial" w:hAnsi="Arial"/>
                <w:b/>
                <w:bCs/>
                <w:color w:val="B7950B"/>
                <w:sz w:val="20"/>
                <w:szCs w:val="20"/>
              </w:rPr>
              <w:t xml:space="preserve">P3</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About — testimonial section</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""Anvo Insurance has helped us improve our business operations, decrease our risk and premium, and increase our margins.""</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Testimonials are generally protected as attributed opinion, but this one explicitly claims to have decreased the client's premium and increased their margins. A prospective client reading this may form an expectation that Anvo will do the same for them. Low risk, but worth flagging.</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Keep the testimonial — it's attributed and real. Consider adding a small disclaimer near the testimonials section: "Results vary by account."</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#7 — P3</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#7 </w:t>
            </w:r>
            <w:r>
              <w:rPr>
                <w:rFonts w:ascii="Arial" w:cs="Arial" w:eastAsia="Arial" w:hAnsi="Arial"/>
                <w:b/>
                <w:bCs/>
                <w:color w:val="B7950B"/>
                <w:sz w:val="20"/>
                <w:szCs w:val="20"/>
              </w:rPr>
              <w:t xml:space="preserve">P3</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About — service commitments</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""Deliver certificates same-day" / "Respond within one business day""</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These are contractual-sounding SLA commitments with no carve-outs for carrier delays, volume spikes, or holiday periods. If you miss one, a client can cite these as breached promises. Low probability of a formal claim, but frustration-generating.</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Add "in most cases" or "typically" before both: "typically deliver certificates same-day" and "we aim to respond within one business day." Or limit to: "we respond promptly — usually within one business day."</w:t>
            </w:r>
          </w:p>
        </w:tc>
      </w:tr>
    </w:tbl>
    <w:p>
      <w:pPr>
        <w:spacing w:after="320" w:before="0"/>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3.4  Coverages Page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#8 — P3</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#8 </w:t>
            </w:r>
            <w:r>
              <w:rPr>
                <w:rFonts w:ascii="Arial" w:cs="Arial" w:eastAsia="Arial" w:hAnsi="Arial"/>
                <w:b/>
                <w:bCs/>
                <w:color w:val="B7950B"/>
                <w:sz w:val="20"/>
                <w:szCs w:val="20"/>
              </w:rPr>
              <w:t xml:space="preserve">P3</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Coverages — umbrella description</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""When a serious claim exceeds your primary policy, umbrella coverage is the difference between a manageable loss and a catastrophic one.""</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This frames umbrella coverage as a guarantee against catastrophic loss. If a client buys umbrella based on this language and still faces a financially catastrophic outcome (e.g., coverage is disputed, or limits are still exceeded), this sentence could be cited as a misrepresentation.</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"When a serious claim approaches your primary policy limits, umbrella coverage can provide additional protection — helping manage exposures that standard limits alone may not fully address."</w:t>
            </w:r>
          </w:p>
        </w:tc>
      </w:tr>
    </w:tbl>
    <w:p>
      <w:pPr>
        <w:spacing w:after="320" w:before="0"/>
      </w:pPr>
      <w:r>
        <w:t xml:space="preserve"/>
      </w:r>
    </w:p>
    <w:p>
      <w:pPr>
        <w:pageBreakBefore/>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3.5  Hotels &amp; Hospitality Page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#9 — P2</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#9 </w:t>
            </w:r>
            <w:r>
              <w:rPr>
                <w:rFonts w:ascii="Arial" w:cs="Arial" w:eastAsia="Arial" w:hAnsi="Arial"/>
                <w:b/>
                <w:bCs/>
                <w:color w:val="D35400"/>
                <w:sz w:val="20"/>
                <w:szCs w:val="20"/>
              </w:rPr>
              <w:t xml:space="preserve">P2</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Hotels — cyber stat</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""$3.86M average cost of a data breach in the hospitality industry in 2024""</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This figure appears to come from the IBM Cost of a Data Breach Report, but no source is cited on the page. If the number is wrong, misattributed, or outdated by the time a prospect reads it, it could undermine credibility. More importantly, citing a specific dollar figure without attribution could be seen as implying this is the expected outcome for your clients.</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Add source attribution: "(Source: IBM Cost of a Data Breach Report, 2024)" — and confirm the figure specifically cites hospitality, not the overall industry average.</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#10 — P2</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#10 </w:t>
            </w:r>
            <w:r>
              <w:rPr>
                <w:rFonts w:ascii="Arial" w:cs="Arial" w:eastAsia="Arial" w:hAnsi="Arial"/>
                <w:b/>
                <w:bCs/>
                <w:color w:val="D35400"/>
                <w:sz w:val="20"/>
                <w:szCs w:val="20"/>
              </w:rPr>
              <w:t xml:space="preserve">P2</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Hotels — BI coverage description</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""every night a room goes unsold generally represents income that's difficult to recover""</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The hedge word 'generally' is good and keeps this compliant. Flag for awareness only — no change needed unless you remove the hedge in future edits.</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No change needed. Keep 'generally.' This is a good example of the right hedge pattern.</w:t>
            </w:r>
          </w:p>
        </w:tc>
      </w:tr>
    </w:tbl>
    <w:p>
      <w:pPr>
        <w:spacing w:after="320" w:before="0"/>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3.6  Restaurant Groups Page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#11 — P2</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#11 </w:t>
            </w:r>
            <w:r>
              <w:rPr>
                <w:rFonts w:ascii="Arial" w:cs="Arial" w:eastAsia="Arial" w:hAnsi="Arial"/>
                <w:b/>
                <w:bCs/>
                <w:color w:val="D35400"/>
                <w:sz w:val="20"/>
                <w:szCs w:val="20"/>
              </w:rPr>
              <w:t xml:space="preserve">P2</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Restaurants — kitchen fire stat</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""$165K average insured loss from a commercial kitchen fire, including equipment replacement, structural repairs, and initial business interruption (Source: NFPA / insurance industry data)""</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"Insurance industry data" is not a citable source. No one can verify it. If a client or regulator asks what "insurance industry data" means, you have no answer. The NFPA part is legitimate — but the parenthetical creates a hybrid citation that looks authoritative but isn't.</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Either cite a specific NFPA report (e.g., "Source: NFPA, Structure Fires in Eating and Drinking Establishments, 2022") with the actual dollar figure from that report — or remove the dollar amount entirely and replace with: "Commercial kitchen fires carry significant restoration costs, including equipment replacement, structural repairs, and business interruption during the restoration period."</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#12 — P2</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#12 </w:t>
            </w:r>
            <w:r>
              <w:rPr>
                <w:rFonts w:ascii="Arial" w:cs="Arial" w:eastAsia="Arial" w:hAnsi="Arial"/>
                <w:b/>
                <w:bCs/>
                <w:color w:val="D35400"/>
                <w:sz w:val="20"/>
                <w:szCs w:val="20"/>
              </w:rPr>
              <w:t xml:space="preserve">P2</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Restaurants — restoration timeline</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""6 weeks typical kitchen restoration timeline after a major fire""</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No source cited. Restoration timelines vary enormously based on the extent of the fire, permit timelines, contractor availability, and equipment lead times. Citing "6 weeks" as typical creates a client expectation. If their restoration takes 14 weeks and their BI coverage was structured around a 6-week assumption, this sentence becomes evidence that Anvo set the wrong expectation.</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Remove the specific timeframe and replace with: "Kitchen restoration following a major fire can take weeks to months, depending on the extent of damage, equipment lead times, and local permitting — making accurate business interruption coverage essential."</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#13 — P2</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#13 </w:t>
            </w:r>
            <w:r>
              <w:rPr>
                <w:rFonts w:ascii="Arial" w:cs="Arial" w:eastAsia="Arial" w:hAnsi="Arial"/>
                <w:b/>
                <w:bCs/>
                <w:color w:val="D35400"/>
                <w:sz w:val="20"/>
                <w:szCs w:val="20"/>
              </w:rPr>
              <w:t xml:space="preserve">P2</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Restaurants — 'markets others can't access'</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""For hard-to-place groups, have markets others can't access.""</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"Can't access" is an absolute competitive claim. If a prospect asks you to prove that a specific carrier is unavailable to another broker, you can't. It could also be read as disparaging competitors.</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"For hard-to-place groups, we have access to specialty and E&amp;S markets that many generalist agents don't typically work with."</w:t>
            </w:r>
          </w:p>
        </w:tc>
      </w:tr>
    </w:tbl>
    <w:p>
      <w:pPr>
        <w:spacing w:after="320" w:before="0"/>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3.7  Commercial Fleets Page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#14 — P2</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#14 </w:t>
            </w:r>
            <w:r>
              <w:rPr>
                <w:rFonts w:ascii="Arial" w:cs="Arial" w:eastAsia="Arial" w:hAnsi="Arial"/>
                <w:b/>
                <w:bCs/>
                <w:color w:val="D35400"/>
                <w:sz w:val="20"/>
                <w:szCs w:val="20"/>
              </w:rPr>
              <w:t xml:space="preserve">P2</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Commercial Fleets — nuclear verdict stat</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""$4.7M average nuclear verdict in trucking lawsuits""</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No source is cited. This figure likely derives from ATRI (American Transportation Research Institute) research, but without attribution, it cannot be verified. In a regulatory review or client dispute, citing an unsourced dollar figure could be challenged. More importantly, quoting nuclear verdict averages implies a specific risk level that may not apply to the client's actual fleet.</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Add source: "(Source: American Transportation Research Institute, 2023)" — or verify the actual source and cite it specifically. If the figure can't be sourced accurately, replace with: "Trucking lawsuits can result in multi-million dollar verdicts — a risk that has grown significantly in recent years, driven by litigation funding and nuclear verdict trends."</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#15 — P2</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#15 </w:t>
            </w:r>
            <w:r>
              <w:rPr>
                <w:rFonts w:ascii="Arial" w:cs="Arial" w:eastAsia="Arial" w:hAnsi="Arial"/>
                <w:b/>
                <w:bCs/>
                <w:color w:val="D35400"/>
                <w:sz w:val="20"/>
                <w:szCs w:val="20"/>
              </w:rPr>
              <w:t xml:space="preserve">P2</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Commercial Fleets — premium ranges</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""For an established carrier with clean safety records, expect $8,000–$14,000 per truck annually." and "New ventures and carriers with elevated CSA scores can pay $15,000–$25,000 or more per unit.""</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This is the highest E&amp;O exposure on the fleets page. Publishing specific premium ranges creates client anchors. If you quote a fleet at $18,000/truck for an 'established' carrier with a clean record, they will cite this page. You will lose the account, or you will justify to your E&amp;O carrier why you published pricing your quote couldn't match. Premium ranges also vary dramatically by state, cargo type, and carrier appetite — none of which are mentioned in the caveat.</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Remove the specific dollar ranges entirely. Replace with: "Premiums vary significantly based on fleet size, CSA safety scores, cargo type, states of operation, and claims history. We analyze your SAFER profile before approaching carriers so you understand where your program stands before the first quote arrives."</w:t>
            </w:r>
          </w:p>
        </w:tc>
      </w:tr>
    </w:tbl>
    <w:p>
      <w:pPr>
        <w:spacing w:after="320" w:before="0"/>
      </w:pPr>
      <w:r>
        <w:t xml:space="preserve"/>
      </w:r>
    </w:p>
    <w:p>
      <w:pPr>
        <w:pageBreakBefore/>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3.8  Food Distribution Page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#16 — P2</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#16 </w:t>
            </w:r>
            <w:r>
              <w:rPr>
                <w:rFonts w:ascii="Arial" w:cs="Arial" w:eastAsia="Arial" w:hAnsi="Arial"/>
                <w:b/>
                <w:bCs/>
                <w:color w:val="D35400"/>
                <w:sz w:val="20"/>
                <w:szCs w:val="20"/>
              </w:rPr>
              <w:t xml:space="preserve">P2</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Food Distribution — premium ranges</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""$40,000–$80,000 per year" (small ops) and "$120,000–$300,000 or more" (mid-size with 15+ vehicles)"</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Same issue as Commercial Fleets #15 — but higher dollar ranges mean higher stakes if the quote comes in higher than the stated range. These ranges are already flagged in your E&amp;O feedback memory as the most significant content risk on the site. A prospect who reads '$40K–$80K' and gets quoted $95K for a 4-truck operation will be unhappy and may have grounds to complain.</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Remove both dollar ranges. Replace with: "Premiums for food distribution operations vary widely based on fleet size, cargo type, temperature-control requirements, route geography, driver records, and claims history. We build programs around your actual operation — not industry averages."</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#17 — P2</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#17 </w:t>
            </w:r>
            <w:r>
              <w:rPr>
                <w:rFonts w:ascii="Arial" w:cs="Arial" w:eastAsia="Arial" w:hAnsi="Arial"/>
                <w:b/>
                <w:bCs/>
                <w:color w:val="D35400"/>
                <w:sz w:val="20"/>
                <w:szCs w:val="20"/>
              </w:rPr>
              <w:t xml:space="preserve">P2</w:t>
            </w:r>
            <w:r>
              <w:rPr>
                <w:rFonts w:ascii="Arial" w:cs="Arial" w:eastAsia="Arial" w:hAnsi="Arial"/>
                <w:color w:val="5D6D7E"/>
                <w:sz w:val="20"/>
                <w:szCs w:val="20"/>
              </w:rPr>
              <w:t xml:space="preserve">  |  Page: </w:t>
            </w:r>
            <w:r>
              <w:rPr>
                <w:rFonts w:ascii="Arial" w:cs="Arial" w:eastAsia="Arial" w:hAnsi="Arial"/>
                <w:b/>
                <w:bCs/>
                <w:color w:val="1B2A4A"/>
                <w:sz w:val="20"/>
                <w:szCs w:val="20"/>
              </w:rPr>
              <w:t xml:space="preserve">Food Distribution — unsourced statistics</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Current Language</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20"/>
                <w:szCs w:val="20"/>
              </w:rPr>
              <w:t xml:space="preserve">""78% of food distributors cite insurance costs as top-3 concern" and "3x likelihood of product liability claims vs. general warehouse ops""</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Why It's Risky</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20"/>
                <w:szCs w:val="20"/>
              </w:rPr>
              <w:t xml:space="preserve">Neither of these statistics has a source cited. The "3x" claim in particular is a strong comparative assertion that could be challenged easily. If a prospect asks where these numbers come from and you can't answer, it damages credibility. If they're inaccurate, it could be characterized as a misrepresentation.</w:t>
            </w:r>
          </w:p>
        </w:tc>
      </w:tr>
      <w:tr>
        <w:tc>
          <w:tcPr>
            <w:tcW w:type="dxa" w:w="2160"/>
            <w:tcBorders>
              <w:top w:val="single" w:color="D5D8DC" w:sz="1"/>
              <w:left w:val="single" w:color="D5D8DC" w:sz="1"/>
              <w:bottom w:val="single" w:color="D5D8DC" w:sz="1"/>
              <w:right w:val="single" w:color="D5D8DC" w:sz="1"/>
            </w:tcBorders>
            <w:shd w:fill="F2F2F2" w:val="clear"/>
            <w:tcMar>
              <w:top w:type="dxa" w:w="80"/>
              <w:left w:type="dxa" w:w="120"/>
              <w:bottom w:type="dxa" w:w="80"/>
              <w:right w:type="dxa" w:w="120"/>
            </w:tcMar>
          </w:tcPr>
          <w:p>
            <w:pPr>
              <w:spacing w:after="0" w:before="0"/>
            </w:pPr>
            <w:r>
              <w:rPr>
                <w:rFonts w:ascii="Arial" w:cs="Arial" w:eastAsia="Arial" w:hAnsi="Arial"/>
                <w:b/>
                <w:bCs/>
                <w:color w:val="1B2A4A"/>
                <w:sz w:val="20"/>
                <w:szCs w:val="20"/>
              </w:rPr>
              <w:t xml:space="preserve">Recommended Fix</w:t>
            </w:r>
          </w:p>
        </w:tc>
        <w:tc>
          <w:tcPr>
            <w:tcW w:type="dxa" w:w="7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20"/>
                <w:szCs w:val="20"/>
              </w:rPr>
              <w:t xml:space="preserve">Either add accurate, verifiable source attributions — or remove these specific statistics. For the 78% stat, a general statement works: "Insurance cost is consistently cited as a top operational concern for food distributors." For the 3x claim, remove unless you can source it: "Food distributors face elevated product liability exposure compared to general warehousing operations, due to the direct link between distributed products and consumer health."</w:t>
            </w:r>
          </w:p>
        </w:tc>
      </w:tr>
    </w:tbl>
    <w:p>
      <w:pPr>
        <w:spacing w:after="320" w:before="0"/>
      </w:pPr>
      <w:r>
        <w:t xml:space="preserve"/>
      </w:r>
    </w:p>
    <w:p>
      <w:pPr>
        <w:pageBreakBefore/>
      </w:pPr>
      <w:r>
        <w:t xml:space="preserve"/>
      </w:r>
    </w:p>
    <w:p>
      <w:pPr>
        <w:pStyle w:val="Heading1"/>
        <w:shd w:fill="1B2A4A" w:val="clear"/>
        <w:spacing w:after="180" w:before="360"/>
        <w:ind w:left="360" w:right="360"/>
      </w:pPr>
      <w:r>
        <w:rPr>
          <w:rFonts w:ascii="Arial" w:cs="Arial" w:eastAsia="Arial" w:hAnsi="Arial"/>
          <w:b/>
          <w:bCs/>
          <w:color w:val="FFFFFF"/>
          <w:sz w:val="32"/>
          <w:szCs w:val="32"/>
        </w:rPr>
        <w:t xml:space="preserve">4.  Quick-Fix Summary</w:t>
      </w:r>
    </w:p>
    <w:p>
      <w:pPr>
        <w:spacing w:after="160" w:before="0"/>
      </w:pPr>
      <w:r>
        <w:t xml:space="preserve"/>
      </w:r>
    </w:p>
    <w:p>
      <w:pPr>
        <w:spacing w:after="160" w:before="0"/>
      </w:pPr>
      <w:r>
        <w:rPr>
          <w:rFonts w:ascii="Arial" w:cs="Arial" w:eastAsia="Arial" w:hAnsi="Arial"/>
          <w:sz w:val="22"/>
          <w:szCs w:val="22"/>
        </w:rPr>
        <w:t xml:space="preserve">The table below summarizes every change required, sorted by priority. Use this as your implementation checklist.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240"/>
        <w:gridCol w:w="3240"/>
      </w:tblGrid>
      <w:tr>
        <w:tc>
          <w:tcPr>
            <w:tcW w:type="dxa" w:w="72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pPr>
              <w:spacing w:after="0" w:before="0"/>
            </w:pPr>
            <w:r>
              <w:rPr>
                <w:rFonts w:ascii="Arial" w:cs="Arial" w:eastAsia="Arial" w:hAnsi="Arial"/>
                <w:b/>
                <w:bCs/>
                <w:color w:val="FFFFFF"/>
                <w:sz w:val="18"/>
                <w:szCs w:val="18"/>
              </w:rPr>
              <w:t xml:space="preserve">#</w:t>
            </w:r>
          </w:p>
        </w:tc>
        <w:tc>
          <w:tcPr>
            <w:tcW w:type="dxa" w:w="2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Page / Location</w:t>
            </w:r>
          </w:p>
        </w:tc>
        <w:tc>
          <w:tcPr>
            <w:tcW w:type="dxa" w:w="32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Remove / Change</w:t>
            </w:r>
          </w:p>
        </w:tc>
        <w:tc>
          <w:tcPr>
            <w:tcW w:type="dxa" w:w="32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Replace With</w:t>
            </w:r>
          </w:p>
        </w:tc>
      </w:tr>
      <w:tr>
        <w:tc>
          <w:tcPr>
            <w:tcW w:type="dxa" w:w="720"/>
            <w:tcBorders>
              <w:top w:val="single" w:color="D5D8DC" w:sz="1"/>
              <w:left w:val="single" w:color="D5D8DC" w:sz="1"/>
              <w:bottom w:val="single" w:color="D5D8DC" w:sz="1"/>
              <w:right w:val="single" w:color="D5D8DC" w:sz="1"/>
            </w:tcBorders>
            <w:shd w:fill="FADBD8" w:val="clear"/>
            <w:tcMar>
              <w:top w:type="dxa" w:w="80"/>
              <w:left w:type="dxa" w:w="80"/>
              <w:bottom w:type="dxa" w:w="80"/>
              <w:right w:type="dxa" w:w="80"/>
            </w:tcMar>
          </w:tcPr>
          <w:p>
            <w:pPr>
              <w:spacing w:after="0" w:before="0"/>
            </w:pPr>
            <w:r>
              <w:rPr>
                <w:rFonts w:ascii="Arial" w:cs="Arial" w:eastAsia="Arial" w:hAnsi="Arial"/>
                <w:b/>
                <w:bCs/>
                <w:color w:val="C0392B"/>
                <w:sz w:val="18"/>
                <w:szCs w:val="18"/>
              </w:rPr>
              <w:t xml:space="preserve">1</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All pages — footer</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No license number</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CA License No. [#]  |  NY License No. [#]</w:t>
            </w:r>
          </w:p>
        </w:tc>
      </w:tr>
      <w:tr>
        <w:tc>
          <w:tcPr>
            <w:tcW w:type="dxa" w:w="720"/>
            <w:tcBorders>
              <w:top w:val="single" w:color="D5D8DC" w:sz="1"/>
              <w:left w:val="single" w:color="D5D8DC" w:sz="1"/>
              <w:bottom w:val="single" w:color="D5D8DC" w:sz="1"/>
              <w:right w:val="single" w:color="D5D8DC" w:sz="1"/>
            </w:tcBorders>
            <w:shd w:fill="FADBD8" w:val="clear"/>
            <w:tcMar>
              <w:top w:type="dxa" w:w="80"/>
              <w:left w:type="dxa" w:w="80"/>
              <w:bottom w:type="dxa" w:w="80"/>
              <w:right w:type="dxa" w:w="80"/>
            </w:tcMar>
          </w:tcPr>
          <w:p>
            <w:pPr>
              <w:spacing w:after="0" w:before="0"/>
            </w:pPr>
            <w:r>
              <w:rPr>
                <w:rFonts w:ascii="Arial" w:cs="Arial" w:eastAsia="Arial" w:hAnsi="Arial"/>
                <w:b/>
                <w:bCs/>
                <w:color w:val="C0392B"/>
                <w:sz w:val="18"/>
                <w:szCs w:val="18"/>
              </w:rPr>
              <w:t xml:space="preserve">2</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All quote forms</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No NY Reg 194 disclosure</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Add compensation disclosure above/below form submit</w:t>
            </w:r>
          </w:p>
        </w:tc>
      </w:tr>
      <w:tr>
        <w:tc>
          <w:tcPr>
            <w:tcW w:type="dxa" w:w="72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tcPr>
          <w:p>
            <w:pPr>
              <w:spacing w:after="0" w:before="0"/>
            </w:pPr>
            <w:r>
              <w:rPr>
                <w:rFonts w:ascii="Arial" w:cs="Arial" w:eastAsia="Arial" w:hAnsi="Arial"/>
                <w:b/>
                <w:bCs/>
                <w:color w:val="D35400"/>
                <w:sz w:val="18"/>
                <w:szCs w:val="18"/>
              </w:rPr>
              <w:t xml:space="preserve">3</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Homepage — hero</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"right coverage at the right price"</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"coverage that fits your operation — without paying for what you don't need"</w:t>
            </w:r>
          </w:p>
        </w:tc>
      </w:tr>
      <w:tr>
        <w:tc>
          <w:tcPr>
            <w:tcW w:type="dxa" w:w="72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tcPr>
          <w:p>
            <w:pPr>
              <w:spacing w:after="0" w:before="0"/>
            </w:pPr>
            <w:r>
              <w:rPr>
                <w:rFonts w:ascii="Arial" w:cs="Arial" w:eastAsia="Arial" w:hAnsi="Arial"/>
                <w:b/>
                <w:bCs/>
                <w:color w:val="D35400"/>
                <w:sz w:val="18"/>
                <w:szCs w:val="18"/>
              </w:rPr>
              <w:t xml:space="preserve">4</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Homepage — Step 3</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"You're covered."</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"Bind your policy and get your certificates — fast."</w:t>
            </w:r>
          </w:p>
        </w:tc>
      </w:tr>
      <w:tr>
        <w:tc>
          <w:tcPr>
            <w:tcW w:type="dxa" w:w="72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tcPr>
          <w:p>
            <w:pPr>
              <w:spacing w:after="0" w:before="0"/>
            </w:pPr>
            <w:r>
              <w:rPr>
                <w:rFonts w:ascii="Arial" w:cs="Arial" w:eastAsia="Arial" w:hAnsi="Arial"/>
                <w:b/>
                <w:bCs/>
                <w:color w:val="D35400"/>
                <w:sz w:val="18"/>
                <w:szCs w:val="18"/>
              </w:rPr>
              <w:t xml:space="preserve">5</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Homepage — Step 2</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"best coverage at the best price"</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"coverage that fits your risk profile and your budget"</w:t>
            </w:r>
          </w:p>
        </w:tc>
      </w:tr>
      <w:tr>
        <w:tc>
          <w:tcPr>
            <w:tcW w:type="dxa" w:w="72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tcPr>
          <w:p>
            <w:pPr>
              <w:spacing w:after="0" w:before="0"/>
            </w:pPr>
            <w:r>
              <w:rPr>
                <w:rFonts w:ascii="Arial" w:cs="Arial" w:eastAsia="Arial" w:hAnsi="Arial"/>
                <w:b/>
                <w:bCs/>
                <w:color w:val="D35400"/>
                <w:sz w:val="18"/>
                <w:szCs w:val="18"/>
              </w:rPr>
              <w:t xml:space="preserve">6</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Hotels — cyber stat</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"$3.86M" (no source)</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Add: (Source: IBM Cost of a Data Breach Report, 2024)</w:t>
            </w:r>
          </w:p>
        </w:tc>
      </w:tr>
      <w:tr>
        <w:tc>
          <w:tcPr>
            <w:tcW w:type="dxa" w:w="72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tcPr>
          <w:p>
            <w:pPr>
              <w:spacing w:after="0" w:before="0"/>
            </w:pPr>
            <w:r>
              <w:rPr>
                <w:rFonts w:ascii="Arial" w:cs="Arial" w:eastAsia="Arial" w:hAnsi="Arial"/>
                <w:b/>
                <w:bCs/>
                <w:color w:val="D35400"/>
                <w:sz w:val="18"/>
                <w:szCs w:val="18"/>
              </w:rPr>
              <w:t xml:space="preserve">7</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Restaurants — kitchen fire</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"Source: NFPA / insurance industry data"</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Cite specific NFPA report or remove dollar figure</w:t>
            </w:r>
          </w:p>
        </w:tc>
      </w:tr>
      <w:tr>
        <w:tc>
          <w:tcPr>
            <w:tcW w:type="dxa" w:w="72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tcPr>
          <w:p>
            <w:pPr>
              <w:spacing w:after="0" w:before="0"/>
            </w:pPr>
            <w:r>
              <w:rPr>
                <w:rFonts w:ascii="Arial" w:cs="Arial" w:eastAsia="Arial" w:hAnsi="Arial"/>
                <w:b/>
                <w:bCs/>
                <w:color w:val="D35400"/>
                <w:sz w:val="18"/>
                <w:szCs w:val="18"/>
              </w:rPr>
              <w:t xml:space="preserve">8</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Restaurants — restoration</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"6 weeks typical restoration timeline"</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Remove timeframe; describe variability instead</w:t>
            </w:r>
          </w:p>
        </w:tc>
      </w:tr>
      <w:tr>
        <w:tc>
          <w:tcPr>
            <w:tcW w:type="dxa" w:w="72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tcPr>
          <w:p>
            <w:pPr>
              <w:spacing w:after="0" w:before="0"/>
            </w:pPr>
            <w:r>
              <w:rPr>
                <w:rFonts w:ascii="Arial" w:cs="Arial" w:eastAsia="Arial" w:hAnsi="Arial"/>
                <w:b/>
                <w:bCs/>
                <w:color w:val="D35400"/>
                <w:sz w:val="18"/>
                <w:szCs w:val="18"/>
              </w:rPr>
              <w:t xml:space="preserve">9</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Restaurants — markets</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"markets others can't access"</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"markets that many generalist agents don't typically work with"</w:t>
            </w:r>
          </w:p>
        </w:tc>
      </w:tr>
      <w:tr>
        <w:tc>
          <w:tcPr>
            <w:tcW w:type="dxa" w:w="72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tcPr>
          <w:p>
            <w:pPr>
              <w:spacing w:after="0" w:before="0"/>
            </w:pPr>
            <w:r>
              <w:rPr>
                <w:rFonts w:ascii="Arial" w:cs="Arial" w:eastAsia="Arial" w:hAnsi="Arial"/>
                <w:b/>
                <w:bCs/>
                <w:color w:val="D35400"/>
                <w:sz w:val="18"/>
                <w:szCs w:val="18"/>
              </w:rPr>
              <w:t xml:space="preserve">10</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Comm. Fleets — verdict stat</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"$4.7M average nuclear verdict" (no source)</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Add ATRI source or rephrase without specific dollar</w:t>
            </w:r>
          </w:p>
        </w:tc>
      </w:tr>
      <w:tr>
        <w:tc>
          <w:tcPr>
            <w:tcW w:type="dxa" w:w="72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tcPr>
          <w:p>
            <w:pPr>
              <w:spacing w:after="0" w:before="0"/>
            </w:pPr>
            <w:r>
              <w:rPr>
                <w:rFonts w:ascii="Arial" w:cs="Arial" w:eastAsia="Arial" w:hAnsi="Arial"/>
                <w:b/>
                <w:bCs/>
                <w:color w:val="D35400"/>
                <w:sz w:val="18"/>
                <w:szCs w:val="18"/>
              </w:rPr>
              <w:t xml:space="preserve">11</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Comm. Fleets — premiums</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"$8K–$14K per truck" / "$15K–$25K"</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Remove ranges; describe underwriting factors instead</w:t>
            </w:r>
          </w:p>
        </w:tc>
      </w:tr>
      <w:tr>
        <w:tc>
          <w:tcPr>
            <w:tcW w:type="dxa" w:w="72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tcPr>
          <w:p>
            <w:pPr>
              <w:spacing w:after="0" w:before="0"/>
            </w:pPr>
            <w:r>
              <w:rPr>
                <w:rFonts w:ascii="Arial" w:cs="Arial" w:eastAsia="Arial" w:hAnsi="Arial"/>
                <w:b/>
                <w:bCs/>
                <w:color w:val="D35400"/>
                <w:sz w:val="18"/>
                <w:szCs w:val="18"/>
              </w:rPr>
              <w:t xml:space="preserve">12</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Food Dist. — premiums</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"$40K–$80K" / "$120K–$300K+"</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Remove ranges; describe underwriting factors instead</w:t>
            </w:r>
          </w:p>
        </w:tc>
      </w:tr>
      <w:tr>
        <w:tc>
          <w:tcPr>
            <w:tcW w:type="dxa" w:w="72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tcPr>
          <w:p>
            <w:pPr>
              <w:spacing w:after="0" w:before="0"/>
            </w:pPr>
            <w:r>
              <w:rPr>
                <w:rFonts w:ascii="Arial" w:cs="Arial" w:eastAsia="Arial" w:hAnsi="Arial"/>
                <w:b/>
                <w:bCs/>
                <w:color w:val="D35400"/>
                <w:sz w:val="18"/>
                <w:szCs w:val="18"/>
              </w:rPr>
              <w:t xml:space="preserve">13</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Food Dist. — stats</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"78%" and "3x" (no sources)</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Add sources or rephrase without specific numbers</w:t>
            </w:r>
          </w:p>
        </w:tc>
      </w:tr>
      <w:tr>
        <w:tc>
          <w:tcPr>
            <w:tcW w:type="dxa" w:w="720"/>
            <w:tcBorders>
              <w:top w:val="single" w:color="D5D8DC" w:sz="1"/>
              <w:left w:val="single" w:color="D5D8DC" w:sz="1"/>
              <w:bottom w:val="single" w:color="D5D8DC" w:sz="1"/>
              <w:right w:val="single" w:color="D5D8DC" w:sz="1"/>
            </w:tcBorders>
            <w:shd w:fill="FEF9E7" w:val="clear"/>
            <w:tcMar>
              <w:top w:type="dxa" w:w="80"/>
              <w:left w:type="dxa" w:w="80"/>
              <w:bottom w:type="dxa" w:w="80"/>
              <w:right w:type="dxa" w:w="80"/>
            </w:tcMar>
          </w:tcPr>
          <w:p>
            <w:pPr>
              <w:spacing w:after="0" w:before="0"/>
            </w:pPr>
            <w:r>
              <w:rPr>
                <w:rFonts w:ascii="Arial" w:cs="Arial" w:eastAsia="Arial" w:hAnsi="Arial"/>
                <w:b/>
                <w:bCs/>
                <w:color w:val="B7950B"/>
                <w:sz w:val="18"/>
                <w:szCs w:val="18"/>
              </w:rPr>
              <w:t xml:space="preserve">14</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About — testimonial area</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No disclaimer near testimonials</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Add: "Results vary by account."</w:t>
            </w:r>
          </w:p>
        </w:tc>
      </w:tr>
      <w:tr>
        <w:tc>
          <w:tcPr>
            <w:tcW w:type="dxa" w:w="720"/>
            <w:tcBorders>
              <w:top w:val="single" w:color="D5D8DC" w:sz="1"/>
              <w:left w:val="single" w:color="D5D8DC" w:sz="1"/>
              <w:bottom w:val="single" w:color="D5D8DC" w:sz="1"/>
              <w:right w:val="single" w:color="D5D8DC" w:sz="1"/>
            </w:tcBorders>
            <w:shd w:fill="FEF9E7" w:val="clear"/>
            <w:tcMar>
              <w:top w:type="dxa" w:w="80"/>
              <w:left w:type="dxa" w:w="80"/>
              <w:bottom w:type="dxa" w:w="80"/>
              <w:right w:type="dxa" w:w="80"/>
            </w:tcMar>
          </w:tcPr>
          <w:p>
            <w:pPr>
              <w:spacing w:after="0" w:before="0"/>
            </w:pPr>
            <w:r>
              <w:rPr>
                <w:rFonts w:ascii="Arial" w:cs="Arial" w:eastAsia="Arial" w:hAnsi="Arial"/>
                <w:b/>
                <w:bCs/>
                <w:color w:val="B7950B"/>
                <w:sz w:val="18"/>
                <w:szCs w:val="18"/>
              </w:rPr>
              <w:t xml:space="preserve">15</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About — service SLAs</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"same-day" / "one business day"</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"typically same-day" / "usually within one business day"</w:t>
            </w:r>
          </w:p>
        </w:tc>
      </w:tr>
      <w:tr>
        <w:tc>
          <w:tcPr>
            <w:tcW w:type="dxa" w:w="720"/>
            <w:tcBorders>
              <w:top w:val="single" w:color="D5D8DC" w:sz="1"/>
              <w:left w:val="single" w:color="D5D8DC" w:sz="1"/>
              <w:bottom w:val="single" w:color="D5D8DC" w:sz="1"/>
              <w:right w:val="single" w:color="D5D8DC" w:sz="1"/>
            </w:tcBorders>
            <w:shd w:fill="FEF9E7" w:val="clear"/>
            <w:tcMar>
              <w:top w:type="dxa" w:w="80"/>
              <w:left w:type="dxa" w:w="80"/>
              <w:bottom w:type="dxa" w:w="80"/>
              <w:right w:type="dxa" w:w="80"/>
            </w:tcMar>
          </w:tcPr>
          <w:p>
            <w:pPr>
              <w:spacing w:after="0" w:before="0"/>
            </w:pPr>
            <w:r>
              <w:rPr>
                <w:rFonts w:ascii="Arial" w:cs="Arial" w:eastAsia="Arial" w:hAnsi="Arial"/>
                <w:b/>
                <w:bCs/>
                <w:color w:val="B7950B"/>
                <w:sz w:val="18"/>
                <w:szCs w:val="18"/>
              </w:rPr>
              <w:t xml:space="preserve">16</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Coverages — umbrella</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"difference between manageable and catastrophic"</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"can provide additional protection...that standard limits alone may not fully address"</w:t>
            </w:r>
          </w:p>
        </w:tc>
      </w:tr>
      <w:tr>
        <w:tc>
          <w:tcPr>
            <w:tcW w:type="dxa" w:w="720"/>
            <w:tcBorders>
              <w:top w:val="single" w:color="D5D8DC" w:sz="1"/>
              <w:left w:val="single" w:color="D5D8DC" w:sz="1"/>
              <w:bottom w:val="single" w:color="D5D8DC" w:sz="1"/>
              <w:right w:val="single" w:color="D5D8DC" w:sz="1"/>
            </w:tcBorders>
            <w:shd w:fill="FEF9E7" w:val="clear"/>
            <w:tcMar>
              <w:top w:type="dxa" w:w="80"/>
              <w:left w:type="dxa" w:w="80"/>
              <w:bottom w:type="dxa" w:w="80"/>
              <w:right w:type="dxa" w:w="80"/>
            </w:tcMar>
          </w:tcPr>
          <w:p>
            <w:pPr>
              <w:spacing w:after="0" w:before="0"/>
            </w:pPr>
            <w:r>
              <w:rPr>
                <w:rFonts w:ascii="Arial" w:cs="Arial" w:eastAsia="Arial" w:hAnsi="Arial"/>
                <w:b/>
                <w:bCs/>
                <w:color w:val="B7950B"/>
                <w:sz w:val="18"/>
                <w:szCs w:val="18"/>
              </w:rPr>
              <w:t xml:space="preserve">17</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sz w:val="18"/>
                <w:szCs w:val="18"/>
              </w:rPr>
              <w:t xml:space="preserve">Hotels — BI description</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i/>
                <w:iCs/>
                <w:color w:val="C0392B"/>
                <w:sz w:val="18"/>
                <w:szCs w:val="18"/>
              </w:rPr>
              <w:t xml:space="preserve">"generally represents income difficult to recover"</w:t>
            </w:r>
          </w:p>
        </w:tc>
        <w:tc>
          <w:tcPr>
            <w:tcW w:type="dxa" w:w="324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0" w:before="0"/>
            </w:pPr>
            <w:r>
              <w:rPr>
                <w:rFonts w:ascii="Arial" w:cs="Arial" w:eastAsia="Arial" w:hAnsi="Arial"/>
                <w:color w:val="1E8449"/>
                <w:sz w:val="18"/>
                <w:szCs w:val="18"/>
              </w:rPr>
              <w:t xml:space="preserve">No change needed — hedge words are correct.</w:t>
            </w:r>
          </w:p>
        </w:tc>
      </w:tr>
    </w:tbl>
    <w:p>
      <w:pPr>
        <w:spacing w:after="280" w:before="0"/>
      </w:pPr>
      <w:r>
        <w:t xml:space="preserve"/>
      </w:r>
    </w:p>
    <w:p>
      <w:pPr>
        <w:pageBreakBefore/>
      </w:pPr>
      <w:r>
        <w:t xml:space="preserve"/>
      </w:r>
    </w:p>
    <w:p>
      <w:pPr>
        <w:pStyle w:val="Heading1"/>
        <w:shd w:fill="1B2A4A" w:val="clear"/>
        <w:spacing w:after="180" w:before="360"/>
        <w:ind w:left="360" w:right="360"/>
      </w:pPr>
      <w:r>
        <w:rPr>
          <w:rFonts w:ascii="Arial" w:cs="Arial" w:eastAsia="Arial" w:hAnsi="Arial"/>
          <w:b/>
          <w:bCs/>
          <w:color w:val="FFFFFF"/>
          <w:sz w:val="32"/>
          <w:szCs w:val="32"/>
        </w:rPr>
        <w:t xml:space="preserve">5.  Implementation Checklist</w:t>
      </w:r>
    </w:p>
    <w:p>
      <w:pPr>
        <w:spacing w:after="160" w:before="0"/>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5.1  Before Site Goes Live (P1)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DEC" w:val="clear"/>
            <w:tcMar>
              <w:top w:type="dxa" w:w="160"/>
              <w:left w:type="dxa" w:w="200"/>
              <w:bottom w:type="dxa" w:w="160"/>
              <w:right w:type="dxa" w:w="200"/>
            </w:tcMar>
          </w:tcPr>
          <w:p>
            <w:pPr>
              <w:spacing w:after="120" w:before="0"/>
            </w:pPr>
            <w:r>
              <w:rPr>
                <w:rFonts w:ascii="Arial" w:cs="Arial" w:eastAsia="Arial" w:hAnsi="Arial"/>
                <w:b/>
                <w:bCs/>
                <w:color w:val="C0392B"/>
                <w:sz w:val="20"/>
                <w:szCs w:val="20"/>
              </w:rPr>
              <w:t xml:space="preserve">You cannot legally launch this site in California without completing these two items:</w:t>
            </w:r>
          </w:p>
          <w:p>
            <w:pPr>
              <w:pStyle w:val="ListParagraph"/>
              <w:numPr>
                <w:ilvl w:val="0"/>
                <w:numId w:val="2"/>
              </w:numPr>
              <w:spacing w:after="80" w:before="0"/>
            </w:pPr>
            <w:r>
              <w:rPr>
                <w:rFonts w:ascii="Arial" w:cs="Arial" w:eastAsia="Arial" w:hAnsi="Arial"/>
                <w:sz w:val="20"/>
                <w:szCs w:val="20"/>
              </w:rPr>
              <w:t xml:space="preserve">Obtain your CA and NY license numbers and add them to footer.njk.</w:t>
            </w:r>
          </w:p>
          <w:p>
            <w:pPr>
              <w:pStyle w:val="ListParagraph"/>
              <w:numPr>
                <w:ilvl w:val="0"/>
                <w:numId w:val="2"/>
              </w:numPr>
              <w:spacing w:after="80" w:before="0"/>
            </w:pPr>
            <w:r>
              <w:rPr>
                <w:rFonts w:ascii="Arial" w:cs="Arial" w:eastAsia="Arial" w:hAnsi="Arial"/>
                <w:sz w:val="20"/>
                <w:szCs w:val="20"/>
              </w:rPr>
              <w:t xml:space="preserve">Add NY Regulation 194 producer compensation disclosure to every page with a quote form and in the footer.</w:t>
            </w:r>
          </w:p>
          <w:p>
            <w:pPr>
              <w:pStyle w:val="ListParagraph"/>
              <w:numPr>
                <w:ilvl w:val="0"/>
                <w:numId w:val="2"/>
              </w:numPr>
              <w:spacing w:after="0" w:before="0"/>
            </w:pPr>
            <w:r>
              <w:rPr>
                <w:rFonts w:ascii="Arial" w:cs="Arial" w:eastAsia="Arial" w:hAnsi="Arial"/>
                <w:sz w:val="20"/>
                <w:szCs w:val="20"/>
              </w:rPr>
              <w:t xml:space="preserve">Create a /disclosures page with the full site-wide disclaimer (see Section 2.3) and link from the footer.</w:t>
            </w:r>
          </w:p>
        </w:tc>
      </w:tr>
    </w:tbl>
    <w:p>
      <w:pPr>
        <w:spacing w:after="200" w:before="0"/>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5.2  Before First Paid Traffic (P2)</w:t>
      </w:r>
    </w:p>
    <w:p>
      <w:pPr>
        <w:spacing w:after="80" w:before="0"/>
      </w:pPr>
      <w:r>
        <w:t xml:space="preserve"/>
      </w:r>
    </w:p>
    <w:p>
      <w:pPr>
        <w:pStyle w:val="ListParagraph"/>
        <w:numPr>
          <w:ilvl w:val="0"/>
          <w:numId w:val="2"/>
        </w:numPr>
        <w:spacing w:after="80" w:before="0"/>
      </w:pPr>
      <w:r>
        <w:rPr>
          <w:rFonts w:ascii="Arial" w:cs="Arial" w:eastAsia="Arial" w:hAnsi="Arial"/>
          <w:sz w:val="22"/>
          <w:szCs w:val="22"/>
        </w:rPr>
        <w:t xml:space="preserve">Remove premium dollar ranges from both Commercial Fleets and Food Distribution pages.</w:t>
      </w:r>
    </w:p>
    <w:p>
      <w:pPr>
        <w:pStyle w:val="ListParagraph"/>
        <w:numPr>
          <w:ilvl w:val="0"/>
          <w:numId w:val="2"/>
        </w:numPr>
        <w:spacing w:after="80" w:before="0"/>
      </w:pPr>
      <w:r>
        <w:rPr>
          <w:rFonts w:ascii="Arial" w:cs="Arial" w:eastAsia="Arial" w:hAnsi="Arial"/>
          <w:sz w:val="22"/>
          <w:szCs w:val="22"/>
        </w:rPr>
        <w:t xml:space="preserve">Source or remove the $4.7M nuclear verdict stat on Commercial Fleets.</w:t>
      </w:r>
    </w:p>
    <w:p>
      <w:pPr>
        <w:pStyle w:val="ListParagraph"/>
        <w:numPr>
          <w:ilvl w:val="0"/>
          <w:numId w:val="2"/>
        </w:numPr>
        <w:spacing w:after="80" w:before="0"/>
      </w:pPr>
      <w:r>
        <w:rPr>
          <w:rFonts w:ascii="Arial" w:cs="Arial" w:eastAsia="Arial" w:hAnsi="Arial"/>
          <w:sz w:val="22"/>
          <w:szCs w:val="22"/>
        </w:rPr>
        <w:t xml:space="preserve">Source or remove the $47K cargo spoilage stat, 78% and 3x stats on Food Distribution.</w:t>
      </w:r>
    </w:p>
    <w:p>
      <w:pPr>
        <w:pStyle w:val="ListParagraph"/>
        <w:numPr>
          <w:ilvl w:val="0"/>
          <w:numId w:val="2"/>
        </w:numPr>
        <w:spacing w:after="80" w:before="0"/>
      </w:pPr>
      <w:r>
        <w:rPr>
          <w:rFonts w:ascii="Arial" w:cs="Arial" w:eastAsia="Arial" w:hAnsi="Arial"/>
          <w:sz w:val="22"/>
          <w:szCs w:val="22"/>
        </w:rPr>
        <w:t xml:space="preserve">Add IBM source citation to the $3.86M data breach stat on Hotels.</w:t>
      </w:r>
    </w:p>
    <w:p>
      <w:pPr>
        <w:pStyle w:val="ListParagraph"/>
        <w:numPr>
          <w:ilvl w:val="0"/>
          <w:numId w:val="2"/>
        </w:numPr>
        <w:spacing w:after="80" w:before="0"/>
      </w:pPr>
      <w:r>
        <w:rPr>
          <w:rFonts w:ascii="Arial" w:cs="Arial" w:eastAsia="Arial" w:hAnsi="Arial"/>
          <w:sz w:val="22"/>
          <w:szCs w:val="22"/>
        </w:rPr>
        <w:t xml:space="preserve">Fix the NFPA citation on Restaurants (cite specific report or remove dollar figure).</w:t>
      </w:r>
    </w:p>
    <w:p>
      <w:pPr>
        <w:pStyle w:val="ListParagraph"/>
        <w:numPr>
          <w:ilvl w:val="0"/>
          <w:numId w:val="2"/>
        </w:numPr>
        <w:spacing w:after="80" w:before="0"/>
      </w:pPr>
      <w:r>
        <w:rPr>
          <w:rFonts w:ascii="Arial" w:cs="Arial" w:eastAsia="Arial" w:hAnsi="Arial"/>
          <w:sz w:val="22"/>
          <w:szCs w:val="22"/>
        </w:rPr>
        <w:t xml:space="preserve">Remove the "6 weeks" kitchen restoration timeframe.</w:t>
      </w:r>
    </w:p>
    <w:p>
      <w:pPr>
        <w:pStyle w:val="ListParagraph"/>
        <w:numPr>
          <w:ilvl w:val="0"/>
          <w:numId w:val="2"/>
        </w:numPr>
        <w:spacing w:after="80" w:before="0"/>
      </w:pPr>
      <w:r>
        <w:rPr>
          <w:rFonts w:ascii="Arial" w:cs="Arial" w:eastAsia="Arial" w:hAnsi="Arial"/>
          <w:sz w:val="22"/>
          <w:szCs w:val="22"/>
        </w:rPr>
        <w:t xml:space="preserve">Fix the three homepage language issues (#3, #4, #5).</w:t>
      </w:r>
    </w:p>
    <w:p>
      <w:pPr>
        <w:pStyle w:val="ListParagraph"/>
        <w:numPr>
          <w:ilvl w:val="0"/>
          <w:numId w:val="2"/>
        </w:numPr>
        <w:spacing w:after="80" w:before="0"/>
      </w:pPr>
      <w:r>
        <w:rPr>
          <w:rFonts w:ascii="Arial" w:cs="Arial" w:eastAsia="Arial" w:hAnsi="Arial"/>
          <w:sz w:val="22"/>
          <w:szCs w:val="22"/>
        </w:rPr>
        <w:t xml:space="preserve">Fix the "markets others can't access" line on Restaurants.</w:t>
      </w:r>
    </w:p>
    <w:p>
      <w:pPr>
        <w:spacing w:after="200" w:before="0"/>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5.3  Ongoing (P3 &amp; Maintenance)</w:t>
      </w:r>
    </w:p>
    <w:p>
      <w:pPr>
        <w:spacing w:after="80" w:before="0"/>
      </w:pPr>
      <w:r>
        <w:t xml:space="preserve"/>
      </w:r>
    </w:p>
    <w:p>
      <w:pPr>
        <w:pStyle w:val="ListParagraph"/>
        <w:numPr>
          <w:ilvl w:val="0"/>
          <w:numId w:val="2"/>
        </w:numPr>
        <w:spacing w:after="80" w:before="0"/>
      </w:pPr>
      <w:r>
        <w:rPr>
          <w:rFonts w:ascii="Arial" w:cs="Arial" w:eastAsia="Arial" w:hAnsi="Arial"/>
          <w:sz w:val="22"/>
          <w:szCs w:val="22"/>
        </w:rPr>
        <w:t xml:space="preserve">Add "Results vary by account" near testimonials on the About page.</w:t>
      </w:r>
    </w:p>
    <w:p>
      <w:pPr>
        <w:pStyle w:val="ListParagraph"/>
        <w:numPr>
          <w:ilvl w:val="0"/>
          <w:numId w:val="2"/>
        </w:numPr>
        <w:spacing w:after="80" w:before="0"/>
      </w:pPr>
      <w:r>
        <w:rPr>
          <w:rFonts w:ascii="Arial" w:cs="Arial" w:eastAsia="Arial" w:hAnsi="Arial"/>
          <w:sz w:val="22"/>
          <w:szCs w:val="22"/>
        </w:rPr>
        <w:t xml:space="preserve">Soften the service SLA language on About page and Contact page.</w:t>
      </w:r>
    </w:p>
    <w:p>
      <w:pPr>
        <w:pStyle w:val="ListParagraph"/>
        <w:numPr>
          <w:ilvl w:val="0"/>
          <w:numId w:val="2"/>
        </w:numPr>
        <w:spacing w:after="80" w:before="0"/>
      </w:pPr>
      <w:r>
        <w:rPr>
          <w:rFonts w:ascii="Arial" w:cs="Arial" w:eastAsia="Arial" w:hAnsi="Arial"/>
          <w:sz w:val="22"/>
          <w:szCs w:val="22"/>
        </w:rPr>
        <w:t xml:space="preserve">Update the umbrella coverage description on the Coverages page.</w:t>
      </w:r>
    </w:p>
    <w:p>
      <w:pPr>
        <w:pStyle w:val="ListParagraph"/>
        <w:numPr>
          <w:ilvl w:val="0"/>
          <w:numId w:val="2"/>
        </w:numPr>
        <w:spacing w:after="80" w:before="0"/>
      </w:pPr>
      <w:r>
        <w:rPr>
          <w:rFonts w:ascii="Arial" w:cs="Arial" w:eastAsia="Arial" w:hAnsi="Arial"/>
          <w:sz w:val="22"/>
          <w:szCs w:val="22"/>
        </w:rPr>
        <w:t xml:space="preserve">Whenever a statistic is added to any page, confirm the source URL contains the exact claimed figure before publishing. Do not cite 'industry data' as a source.</w:t>
      </w:r>
    </w:p>
    <w:p>
      <w:pPr>
        <w:pStyle w:val="ListParagraph"/>
        <w:numPr>
          <w:ilvl w:val="0"/>
          <w:numId w:val="2"/>
        </w:numPr>
        <w:spacing w:after="80" w:before="0"/>
      </w:pPr>
      <w:r>
        <w:rPr>
          <w:rFonts w:ascii="Arial" w:cs="Arial" w:eastAsia="Arial" w:hAnsi="Arial"/>
          <w:sz w:val="22"/>
          <w:szCs w:val="22"/>
        </w:rPr>
        <w:t xml:space="preserve">Review and update this audit annually or whenever significant new content is added.</w:t>
      </w:r>
    </w:p>
    <w:p>
      <w:pPr>
        <w:spacing w:after="200" w:before="0"/>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5.4  Email Signature Requirement (CA)</w:t>
      </w:r>
    </w:p>
    <w:p>
      <w:pPr>
        <w:spacing w:after="80" w:before="0"/>
      </w:pPr>
      <w:r>
        <w:t xml:space="preserve"/>
      </w:r>
    </w:p>
    <w:p>
      <w:pPr>
        <w:spacing w:after="160" w:before="0"/>
      </w:pPr>
      <w:r>
        <w:rPr>
          <w:rFonts w:ascii="Arial" w:cs="Arial" w:eastAsia="Arial" w:hAnsi="Arial"/>
          <w:sz w:val="22"/>
          <w:szCs w:val="22"/>
        </w:rPr>
        <w:t xml:space="preserve">California Insurance Code §1725.5, as amended effective January 1, 2023, requires that all emails sent by a licensed insurance agent or broker include the licensee's CA license number. Update your email signature templates across all team email accounts to include: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EBF5FB" w:val="clear"/>
            <w:tcMar>
              <w:top w:type="dxa" w:w="160"/>
              <w:left w:type="dxa" w:w="200"/>
              <w:bottom w:type="dxa" w:w="160"/>
              <w:right w:type="dxa" w:w="200"/>
            </w:tcMar>
          </w:tcPr>
          <w:p>
            <w:pPr>
              <w:spacing w:after="0" w:before="0"/>
            </w:pPr>
            <w:r>
              <w:rPr>
                <w:rFonts w:ascii="Arial" w:cs="Arial" w:eastAsia="Arial" w:hAnsi="Arial"/>
                <w:b/>
                <w:bCs/>
                <w:color w:val="1B2A4A"/>
                <w:sz w:val="20"/>
                <w:szCs w:val="20"/>
              </w:rPr>
              <w:t xml:space="preserve">Edward Hsyeh  |  Anvo Insurance  |  CA License No. [YOUR NUMBER]  |  NY License No. [YOUR NUMBER]</w:t>
            </w:r>
          </w:p>
        </w:tc>
      </w:tr>
    </w:tbl>
    <w:p>
      <w:pPr>
        <w:spacing w:after="200" w:before="0"/>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5.5  What's Working Well</w:t>
      </w:r>
    </w:p>
    <w:p>
      <w:pPr>
        <w:spacing w:after="80" w:before="0"/>
      </w:pPr>
      <w:r>
        <w:t xml:space="preserve"/>
      </w:r>
    </w:p>
    <w:p>
      <w:pPr>
        <w:spacing w:after="160" w:before="0"/>
      </w:pPr>
      <w:r>
        <w:rPr>
          <w:rFonts w:ascii="Arial" w:cs="Arial" w:eastAsia="Arial" w:hAnsi="Arial"/>
          <w:sz w:val="22"/>
          <w:szCs w:val="22"/>
        </w:rPr>
        <w:t xml:space="preserve">Several pages already use good E&amp;O-safe language patterns. These should be preserved and used as a model:</w:t>
      </w:r>
    </w:p>
    <w:p>
      <w:pPr>
        <w:spacing w:after="80" w:before="0"/>
      </w:pPr>
      <w:r>
        <w:t xml:space="preserve"/>
      </w:r>
    </w:p>
    <w:p>
      <w:pPr>
        <w:pStyle w:val="ListParagraph"/>
        <w:numPr>
          <w:ilvl w:val="0"/>
          <w:numId w:val="3"/>
        </w:numPr>
        <w:spacing w:after="80" w:before="0"/>
      </w:pPr>
      <w:r>
        <w:rPr>
          <w:rFonts w:ascii="Arial" w:cs="Arial" w:eastAsia="Arial" w:hAnsi="Arial"/>
          <w:b/>
          <w:bCs/>
          <w:color w:val="1B2A4A"/>
          <w:sz w:val="22"/>
          <w:szCs w:val="22"/>
        </w:rPr>
        <w:t xml:space="preserve">Hedge words used correctly: </w:t>
      </w:r>
      <w:r>
        <w:rPr>
          <w:rFonts w:ascii="Arial" w:cs="Arial" w:eastAsia="Arial" w:hAnsi="Arial"/>
          <w:sz w:val="22"/>
          <w:szCs w:val="22"/>
        </w:rPr>
        <w:t xml:space="preserve">"typically," "often," "generally," "in most cases" appear throughout the industry pages and correctly soften absolute claims.</w:t>
      </w:r>
    </w:p>
    <w:p>
      <w:pPr>
        <w:pStyle w:val="ListParagraph"/>
        <w:numPr>
          <w:ilvl w:val="0"/>
          <w:numId w:val="3"/>
        </w:numPr>
        <w:spacing w:after="80" w:before="0"/>
      </w:pPr>
      <w:r>
        <w:rPr>
          <w:rFonts w:ascii="Arial" w:cs="Arial" w:eastAsia="Arial" w:hAnsi="Arial"/>
          <w:b/>
          <w:bCs/>
          <w:color w:val="1B2A4A"/>
          <w:sz w:val="22"/>
          <w:szCs w:val="22"/>
        </w:rPr>
        <w:t xml:space="preserve">Conditional framing: </w:t>
      </w:r>
      <w:r>
        <w:rPr>
          <w:rFonts w:ascii="Arial" w:cs="Arial" w:eastAsia="Arial" w:hAnsi="Arial"/>
          <w:sz w:val="22"/>
          <w:szCs w:val="22"/>
        </w:rPr>
        <w:t xml:space="preserve">"If your GL policy doesn't explicitly include food contamination, assume possible exclusion until confirmed" is exactly the right kind of educational caution.</w:t>
      </w:r>
    </w:p>
    <w:p>
      <w:pPr>
        <w:pStyle w:val="ListParagraph"/>
        <w:numPr>
          <w:ilvl w:val="0"/>
          <w:numId w:val="3"/>
        </w:numPr>
        <w:spacing w:after="80" w:before="0"/>
      </w:pPr>
      <w:r>
        <w:rPr>
          <w:rFonts w:ascii="Arial" w:cs="Arial" w:eastAsia="Arial" w:hAnsi="Arial"/>
          <w:b/>
          <w:bCs/>
          <w:color w:val="1B2A4A"/>
          <w:sz w:val="22"/>
          <w:szCs w:val="22"/>
        </w:rPr>
        <w:t xml:space="preserve">No coverage guarantees: </w:t>
      </w:r>
      <w:r>
        <w:rPr>
          <w:rFonts w:ascii="Arial" w:cs="Arial" w:eastAsia="Arial" w:hAnsi="Arial"/>
          <w:sz w:val="22"/>
          <w:szCs w:val="22"/>
        </w:rPr>
        <w:t xml:space="preserve">No page promises that a specific claim will be covered — coverage descriptions are framed as what the coverage "is designed to" or "covers" generically.</w:t>
      </w:r>
    </w:p>
    <w:p>
      <w:pPr>
        <w:pStyle w:val="ListParagraph"/>
        <w:numPr>
          <w:ilvl w:val="0"/>
          <w:numId w:val="3"/>
        </w:numPr>
        <w:spacing w:after="80" w:before="0"/>
      </w:pPr>
      <w:r>
        <w:rPr>
          <w:rFonts w:ascii="Arial" w:cs="Arial" w:eastAsia="Arial" w:hAnsi="Arial"/>
          <w:b/>
          <w:bCs/>
          <w:color w:val="1B2A4A"/>
          <w:sz w:val="22"/>
          <w:szCs w:val="22"/>
        </w:rPr>
        <w:t xml:space="preserve">Avoiding carrier names: </w:t>
      </w:r>
      <w:r>
        <w:rPr>
          <w:rFonts w:ascii="Arial" w:cs="Arial" w:eastAsia="Arial" w:hAnsi="Arial"/>
          <w:sz w:val="22"/>
          <w:szCs w:val="22"/>
        </w:rPr>
        <w:t xml:space="preserve">No specific carrier or wholesaler names appear in public-facing content — consistent with your E&amp;O preference.</w:t>
      </w:r>
    </w:p>
    <w:p>
      <w:pPr>
        <w:pStyle w:val="ListParagraph"/>
        <w:numPr>
          <w:ilvl w:val="0"/>
          <w:numId w:val="3"/>
        </w:numPr>
        <w:spacing w:after="80" w:before="0"/>
      </w:pPr>
      <w:r>
        <w:rPr>
          <w:rFonts w:ascii="Arial" w:cs="Arial" w:eastAsia="Arial" w:hAnsi="Arial"/>
          <w:b/>
          <w:bCs/>
          <w:color w:val="1B2A4A"/>
          <w:sz w:val="22"/>
          <w:szCs w:val="22"/>
        </w:rPr>
        <w:t xml:space="preserve">FMCSA federal minimums: </w:t>
      </w:r>
      <w:r>
        <w:rPr>
          <w:rFonts w:ascii="Arial" w:cs="Arial" w:eastAsia="Arial" w:hAnsi="Arial"/>
          <w:sz w:val="22"/>
          <w:szCs w:val="22"/>
        </w:rPr>
        <w:t xml:space="preserve">The $750K federal minimum liability figure on Commercial Fleets is regulatory fact, not an editorial claim — correct to state it.</w:t>
      </w:r>
    </w:p>
    <w:p>
      <w:pPr>
        <w:spacing w:after="280" w:before="0"/>
      </w:pPr>
      <w:r>
        <w:t xml:space="preserve"/>
      </w:r>
    </w:p>
    <w:p>
      <w:pPr>
        <w:pStyle w:val="Heading2"/>
        <w:pBdr>
          <w:bottom w:val="single" w:color="1B2A4A" w:sz="6"/>
        </w:pBdr>
        <w:spacing w:after="120" w:before="320"/>
      </w:pPr>
      <w:r>
        <w:rPr>
          <w:rFonts w:ascii="Arial" w:cs="Arial" w:eastAsia="Arial" w:hAnsi="Arial"/>
          <w:b/>
          <w:bCs/>
          <w:color w:val="1B2A4A"/>
          <w:sz w:val="26"/>
          <w:szCs w:val="26"/>
        </w:rPr>
        <w:t xml:space="preserve">6.  A Note on This Document</w:t>
      </w:r>
    </w:p>
    <w:p>
      <w:pPr>
        <w:spacing w:after="80" w:before="0"/>
      </w:pPr>
      <w:r>
        <w:t xml:space="preserve"/>
      </w:r>
    </w:p>
    <w:p>
      <w:pPr>
        <w:spacing w:after="160" w:before="0"/>
      </w:pPr>
      <w:r>
        <w:rPr>
          <w:rFonts w:ascii="Arial" w:cs="Arial" w:eastAsia="Arial" w:hAnsi="Arial"/>
          <w:i/>
          <w:iCs/>
          <w:color w:val="5D6D7E"/>
          <w:sz w:val="22"/>
          <w:szCs w:val="22"/>
        </w:rPr>
        <w:t xml:space="preserve">This audit was prepared by an AI assistant (Anvo's Cowork system) based on publicly available regulatory sources including California Insurance Code §1725.5, New York Insurance Regulation 194 (11 NYCRR Part 30), and the NY OGC Opinion 03-12-17. It does not constitute legal advice. The analysis reflects the state of regulations as understood in early 2026. Before publishing any disclaimer language or relying on this audit for compliance decisions, consult a licensed insurance attorney in California and New York. Regulations are subject to change.</w:t>
      </w:r>
    </w:p>
    <w:p>
      <w:pPr>
        <w:spacing w:after="80" w:before="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pBdr>
      <w:spacing w:after="0" w:before="80"/>
      <w:jc w:val="center"/>
    </w:pPr>
    <w:r>
      <w:rPr>
        <w:rFonts w:ascii="Arial" w:cs="Arial" w:eastAsia="Arial" w:hAnsi="Arial"/>
        <w:color w:val="5D6D7E"/>
        <w:sz w:val="16"/>
        <w:szCs w:val="16"/>
      </w:rPr>
      <w:t xml:space="preserve">Prepared March 31, 2026  |  For internal use only  |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pBdr>
      <w:tabs>
        <w:tab w:val="right" w:pos="9360"/>
      </w:tabs>
      <w:spacing w:after="80" w:before="0"/>
      <w:jc w:val="left"/>
    </w:pPr>
    <w:r>
      <w:rPr>
        <w:rFonts w:ascii="Arial" w:cs="Arial" w:eastAsia="Arial" w:hAnsi="Arial"/>
        <w:color w:val="5D6D7E"/>
        <w:sz w:val="18"/>
        <w:szCs w:val="18"/>
      </w:rPr>
      <w:t xml:space="preserve">ANVO INSURANCE  |  E&amp;O Content Audit &amp; Compliance Review</w:t>
    </w:r>
    <w:r>
      <w:rPr>
        <w:rFonts w:ascii="Arial" w:cs="Arial" w:eastAsia="Arial" w:hAnsi="Arial"/>
        <w:sz w:val="18"/>
        <w:szCs w:val="18"/>
      </w:rPr>
      <w:t xml:space="preserve">	</w:t>
    </w:r>
    <w:r>
      <w:rPr>
        <w:rFonts w:ascii="Arial" w:cs="Arial" w:eastAsia="Arial" w:hAnsi="Arial"/>
        <w:i/>
        <w:iCs/>
        <w:color w:val="5D6D7E"/>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2026-03-31T14:14:34.975Z</dcterms:created>
  <dcterms:modified xsi:type="dcterms:W3CDTF">2026-03-31T14:14:34.975Z</dcterms:modified>
</cp:coreProperties>
</file>

<file path=docProps/custom.xml><?xml version="1.0" encoding="utf-8"?>
<Properties xmlns="http://schemas.openxmlformats.org/officeDocument/2006/custom-properties" xmlns:vt="http://schemas.openxmlformats.org/officeDocument/2006/docPropsVTypes"/>
</file>