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1 RESEARCH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Mid-Market Vertical Analysis</w:t>
      </w:r>
    </w:p>
    <w:p>
      <w:pPr>
        <w:spacing w:after="120"/>
        <w:jc w:val="left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Proposed Industry Verticals for anvoinsurance.com</w:t>
      </w:r>
    </w:p>
    <w:p>
      <w:pPr>
        <w:pBdr>
          <w:bottom w:val="single" w:color="2E75B6" w:sz="6" w:space="1"/>
        </w:pBdr>
        <w:spacing w:after="360"/>
      </w:pPr>
    </w:p>
    <w:p>
      <w:p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Prepared for Edward Hsyeh, Managing Partner</w:t>
      </w:r>
    </w:p>
    <w:p>
      <w:p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Date: March 27, 2026</w:t>
      </w:r>
    </w:p>
    <w:p>
      <w:pPr>
        <w:spacing w:after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Status: For Review — Awaiting Approval Before Phase 2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proposes 9 mid-market industry verticals for the redesigned anvoinsurance.com. Each vertical was evaluated against three criteria: (1) premium volume large enough to generate $10K+ in per-account revenue, (2) coverage complexity that creates a natural moat against small-agency competition, and (3) carrier access through Anvo’s existing appointments, SIAA/MIAA network, and wholesale relationships.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verticals are organized into two tiers. Tier 1 includes the four verticals Edward and Alice are already pursuing — these should be built first and positioned most prominently on the site. Tier 2 includes five additional verticals that meet the mid-market thesis and expand the site’s addressable market without diluting the core positioning.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Revenue estimates include standard commission (10–15%) plus SIAA/MIAA contingency and bonus income, which can add 2–5%+ on qualifying business. The “revenue per account” figures below reflect commission only; actual yield will be higher on retained accounts.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1800"/>
        <w:gridCol w:w="180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Premium 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Revenue/Acct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Meets $10K?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Restaurant Groups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$75K–$200K+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$8K–$25K+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Hotels / Hospitality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$75K–$250K+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$8K–$30K+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Food Distributors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$50K–$150K+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$5K–$18K+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 (mid-large)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Commercial Fleets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$95K–$250K+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$10K–$30K+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Commercial Real Estate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$50K–$200K+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$5K–$25K+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 (portfolios)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Wholesale &amp; Distribution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$40K–$120K+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$4K–$15K+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 (mid-large)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Light/Medium Manufacturing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$40K–$150K+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$4K–$18K+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 (mid-large)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Technology (SaaS/IT)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$30K–$100K+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$3K–$12K+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Mid-Size Contractors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$50K–$200K+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$5K–$25K+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T1 = Tier 1 (current focus, build first)  |  T2 = Tier 2 (expansion verticals)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Tier 1: Current Focus Verticals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the four verticals Alice and Edward are actively pursuing. They should be the most prominent pages on the redesigned site, with the deepest content and strongest SEO investment.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Multi-Location Restaurant Groups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 it fits: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5-location restaurant group needs coordinated GL, property, liquor liability, workers’ comp, EPLI, and umbrella across multiple jurisdictions. The coverage program touches food contamination, dram shop exposure, employment practices (high turnover = high EPLI risk), and business interruption for each location. Small agencies quote single-location BOPs; they can’t structure a multi-location program with aggregate management. Large brokers focus on 50+ location chains. The 3–20 location group is a sweet spot.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Coverage complexity: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GL (per-location), liquor liability, property (buildings + equipment + spoilage), WC, EPLI, umbrella/excess, hired &amp; non-owned auto, cyber (POS systems), food contamination/product recall, business income.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Est. Premium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$75K–$200K+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Revenue/Account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$8K–$25K+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Carrier Access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Hartford, Travelers, GUARD, Liberty Mutual, CNA, Nationwide, UFG, AmTrust. Liquor liability limits vary — Travelers caps at 35% liquor revenue, MGT allows up to 75%. E&amp;S via Northfield for bars/nightclubs.</w:t>
            </w:r>
          </w:p>
        </w:tc>
      </w:tr>
    </w:tbl>
    <w:p>
      <w:pPr>
        <w:spacing w:after="60" w:before="80"/>
      </w:pPr>
    </w:p>
    <w:p>
      <w:pPr>
        <w:pBdr>
          <w:left w:val="single" w:color="2E75B6" w:sz="6" w:space="8"/>
        </w:pBdr>
        <w:spacing w:after="120"/>
        <w:ind w:left="24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Alice’s vertical. Nationwide requires restaurants to close by 10pm — eliminates late-night concepts. Travelers requires 3 years same ownership, no new ventures. Hartford is broadest standard market for restaurant groups.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Hotels &amp; Hospitality Groups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 it fits: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Mid-market hotel groups (3–15 properties, boutique to limited-service) have high TIV, guest liability, pool/spa exposure, event liability, and complex property schedules. Each property may be in a different wind/flood zone. Business interruption is critical — a single property going offline can cascade revenue impact. Large hotel chains self-insure or use captives; independent and regional groups need broker expertise.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Coverage complexity: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Property (high TIV per location), GL (guest injury, slip/fall), liquor liability (hotel bars/restaurants), WC, business interruption, cyber (guest data/PCI), umbrella/excess, event liability, equipment breakdown.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Est. Premium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$75K–$250K+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Revenue/Account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$8K–$30K+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Carrier Access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 (hotels/motels), Hartford (hotels), Travelers (hotel package policy, $25M TIV max), Liberty Mutual (hospitality, $30M TIV). CNA and Nationwide also write. Flood/wind via NFIP or E&amp;S markets.</w:t>
            </w:r>
          </w:p>
        </w:tc>
      </w:tr>
    </w:tbl>
    <w:p>
      <w:pPr>
        <w:spacing w:after="60" w:before="80"/>
      </w:pPr>
    </w:p>
    <w:p>
      <w:pPr>
        <w:pBdr>
          <w:left w:val="single" w:color="2E75B6" w:sz="6" w:space="8"/>
        </w:pBdr>
        <w:spacing w:after="120"/>
        <w:ind w:left="24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Alice’s vertical. Travelers targets hotels with interior hallway access for business travelers. Motels are Northfield/E&amp;S only. GUARD writes both hotels and motels. High TIV per property means this vertical hits the $10K revenue threshold with fewer accounts.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Food Distributors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 it fits: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Mid-market food distributors ($5M–$50M revenue) operate temperature-controlled warehouses, maintain delivery fleets, and carry product liability exposure for perishable goods across the supply chain. This is one of the most complex commercial insurance programs: it combines property (cold storage facilities), auto (delivery fleet), products liability (contamination/recall), and WC (warehouse labor). Small agencies can’t underwrite cold-chain risk; large brokers focus on Sysco-scale nationals.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Coverage complexity: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GL + products liability, commercial auto (delivery fleet), property (warehouse + refrigeration equipment), WC, inland marine (goods in transit), spoilage/contamination, product recall, umbrella/excess, cargo.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Est. Premium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$50K–$150K+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Revenue/Account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$5K–$18K+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Carrier Access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 (perishables, beverage distributors), Hartford Small Commercial (food distributors — packaged, frozen, meat/fish/poultry), Travelers Select (wholesalers — meat/fish/poultry, general grocery), Liberty Mutual, UFG (grocery, meat/fish/poultry/seafood distributors), CNA. Commercial auto via Progressive (up to 9 units) or CRC Group wholesale (NICO, Starwind, Nirvana for 10+ units). Product recall via E&amp;S wholesale.</w:t>
            </w:r>
          </w:p>
        </w:tc>
      </w:tr>
    </w:tbl>
    <w:p>
      <w:pPr>
        <w:spacing w:after="60" w:before="80"/>
      </w:pPr>
    </w:p>
    <w:p>
      <w:pPr>
        <w:pBdr>
          <w:left w:val="single" w:color="2E75B6" w:sz="6" w:space="8"/>
        </w:pBdr>
        <w:spacing w:after="120"/>
        <w:ind w:left="24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Edward’s vertical. KEY CONSTRAINT: Travelers Mid-Market explicitly declines food distribution across all lines. Hartford Mid-Market won’t write perishable foods. Must build multi-carrier programs — standard market BOP/WC + Progressive or CRC for fleet + wholesale for product recall. This complexity IS the competitive moat.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Commercial Fleets &amp; Trucking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 it fits: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Businesses operating 5–50 vehicle commercial fleets face DOT compliance, FMCSA safety ratings, driver qualification files, MCS-90 filings, and multi-state registration. Auto liability premiums alone can run $15K–$25K per power unit. When you add WC for drivers, physical damage, cargo, and general liability for the terminal/yard, total programs are substantial. Small agencies can’t navigate FMCSA filings; large brokers want 100+ unit fleets.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Coverage complexity: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Commercial auto liability, physical damage, cargo, non-trucking liability, WC (drivers), GL (terminal/yard), umbrella/excess, occupational accident, hired auto, MCS-90 filing.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Est. Premium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$95K–$250K+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Revenue/Account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$10K–$30K+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Carrier Access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Progressive (up to 9 units online, 10+ via Fleet dept), CRC Group wholesale (NICO/A++, Starwind Specialty, Nirvana for 11+ units), GUARD (trucking, transportation, warehousing), Hartford (commercial auto). WC from multiple standard carriers.</w:t>
            </w:r>
          </w:p>
        </w:tc>
      </w:tr>
    </w:tbl>
    <w:p>
      <w:pPr>
        <w:spacing w:after="60" w:before="80"/>
      </w:pPr>
    </w:p>
    <w:p>
      <w:pPr>
        <w:pBdr>
          <w:left w:val="single" w:color="2E75B6" w:sz="6" w:space="8"/>
        </w:pBdr>
        <w:spacing w:after="120"/>
        <w:ind w:left="24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Edward’s vertical. Progressive declines accounts with poor FMCSA/SAFER history — route those to CRC/NICO. Travelers Mid-Market won’t write monoline auto. This is the highest-floor vertical: even a 5-truck fleet hits $10K+ revenue. Heng Feng is the proof-of-concept account.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Tier 2: Expansion Verticals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five verticals extend the site’s reach without diluting the mid-market positioning. They should have industry pages on the site but with lighter content initially — built out as Anvo wins accounts and develops case studies in each space.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Commercial Real Estate Portfolios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 it fits: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Property owners and managers with 5–30 commercial buildings ($10M–$100M+ TIV) need coordinated property schedules, umbrella programs, and location-specific coverage (flood zones, wind tiers, older buildings). Tenant operations create GL exposure the owner may not control. Multi-property portfolios are inherently multi-line, multi-carrier programs. Small agencies can’t manage blanket property schedules; large brokers want institutional REIT-scale portfolios.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Coverage complexity: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Property (blanket or scheduled), GL (premises liability), umbrella/excess, loss of rents/business income, environmental liability, equipment breakdown, cyber (tenant management systems), D&amp;O (if entity-managed).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Est. Premium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$50K–$200K+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Revenue/Account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$5K–$25K+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Carrier Access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Virtually every carrier writes CRE: Hartford, Travelers ($75M apartments, $50M commercial TIV max), Liberty Mutual ($50M residential/$50M commercial RE), GUARD, CNA, Nationwide, UFG, BHHC (monoline property up to $30M TIV/location). Broadest carrier access of any vertical.</w:t>
            </w:r>
          </w:p>
        </w:tc>
      </w:tr>
    </w:tbl>
    <w:p>
      <w:pPr>
        <w:spacing w:after="60" w:before="80"/>
      </w:pPr>
    </w:p>
    <w:p>
      <w:pPr>
        <w:pBdr>
          <w:left w:val="single" w:color="2E75B6" w:sz="6" w:space="8"/>
        </w:pBdr>
        <w:spacing w:after="120"/>
        <w:ind w:left="24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Hartford Commercial won’t look at property over 50 years old — important for older KC building stock. BHHC is a strong monoline property backstop for difficult schedules. This vertical has natural cross-sell into other verticals (restaurant tenants, office tenants, etc.).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Wholesale &amp; Distribution (Non-Food)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 it fits: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Mid-market distributors ($5M–$50M revenue) in building materials, electronics, industrial supplies, and consumer goods operate large warehouses, run delivery fleets, and carry product liability for goods they distribute but didn’t manufacture. Multi-location operations with seasonal inventory swings create property and WC complexity. This is a natural extension of the food distribution playbook with broader carrier appetite.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Coverage complexity: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GL + products liability, property (warehouse + inventory), WC, commercial auto (delivery), inland marine (goods in transit), umbrella/excess, cyber, equipment breakdown.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Est. Premium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$40K–$120K+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Revenue/Account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$4K–$15K+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Carrier Access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Hartford (extensive wholesaler appetite), Travelers (broad wholesaler/distributor segment), GUARD (clothing, electronics, perishables, etc.), Liberty Mutual (auto parts, electronics, hardware, plumbing, etc.), CNA, UFG. Commercial auto via Progressive or CRC. Standard market access is strong.</w:t>
            </w:r>
          </w:p>
        </w:tc>
      </w:tr>
    </w:tbl>
    <w:p>
      <w:pPr>
        <w:spacing w:after="60" w:before="80"/>
      </w:pPr>
    </w:p>
    <w:p>
      <w:pPr>
        <w:pBdr>
          <w:left w:val="single" w:color="2E75B6" w:sz="6" w:space="8"/>
        </w:pBdr>
        <w:spacing w:after="120"/>
        <w:ind w:left="24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Similar program structure to food distribution but without the cold-chain/perishable complexity. Carrier appetite is broader — Travelers Mid-Market is viable here (unlike food distribution). Good cross-sell with commercial fleet vertical if account has its own delivery operation.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Light to Medium Manufacturing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 it fits: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Mid-market manufacturers ($5M–$50M revenue) with plant operations face property exposure (buildings + machinery + raw materials + finished goods), product liability, WC for production workers (high-hazard class codes), and environmental risk. Equipment breakdown coverage is essential. Programs are inherently multi-line with above-average WC premiums due to manufacturing class codes. Small agencies lack product liability underwriting expertise; large brokers focus on heavy industry.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Coverage complexity: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Property (plant + equipment + inventory), GL + product liability, WC (manufacturing class codes), commercial auto, equipment breakdown/boiler &amp; machinery, pollution liability, umbrella/excess, inland marine, cyber (OT/SCADA systems).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Est. Premium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$40K–$150K+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Revenue/Account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$4K–$18K+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Carrier Access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Hartford (extensive manufacturer appetite — food, metal, plastics, wood, textile), Travelers (food, metal, plastics, technology manufacturing), Liberty Mutual, CNA (machine shops, metal, electrical, glassware), GUARD (light manufacturing, assembly), AmTrust (WC for manufacturing classes). E&amp;S via wholesale for product liability on higher-hazard products.</w:t>
            </w:r>
          </w:p>
        </w:tc>
      </w:tr>
    </w:tbl>
    <w:p>
      <w:pPr>
        <w:spacing w:after="60" w:before="80"/>
      </w:pPr>
    </w:p>
    <w:p>
      <w:pPr>
        <w:pBdr>
          <w:left w:val="single" w:color="2E75B6" w:sz="6" w:space="8"/>
        </w:pBdr>
        <w:spacing w:after="120"/>
        <w:ind w:left="24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KC metro has a significant manufacturing base. WC alone can drive substantial premium on manufacturing accounts. Focus on light-to-medium operations — food products mfg, metal fabrication, plastics, wood products — where standard market appetite exists. Heavy/hazardous manufacturing requires specialty markets.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 Technology Companies (SaaS / IT Services)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 it fits: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Mid-market tech companies ($5M–$50M ARR) need Tech E&amp;O as a primary coverage line — it’s non-negotiable for any company providing software, SaaS, IT consulting, or data storage services. Cyber liability is typically bundled. VC-backed companies have board-mandated D&amp;O requirements. This is a growth vertical where traditional brokers lack technical fluency and specialty brokers charge premium fees.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Coverage complexity: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Technology E&amp;O (primary), cyber liability (bundled with E&amp;O preferred), GL, D&amp;O (VC/PE requirement), EPLI, WC, BOP/property, umbrella/excess.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Est. Premium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$30K–$100K+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Revenue/Account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$3K–$12K+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Carrier Access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market first: Travelers (Tech E&amp;O + Cyber up to $5M limits), CNA (Tech E&amp;O + Cyber up to $5M, standalone cyber via Misc Professional Liability unit), Hartford (technology classes). E&amp;S via Burns &amp; Wilcox (Tokio Marine/HCC, Beazley, Hiscox, CFC) and RPS (Tokio Marine + others). Strong wholesale access confirmed.</w:t>
            </w:r>
          </w:p>
        </w:tc>
      </w:tr>
    </w:tbl>
    <w:p>
      <w:pPr>
        <w:spacing w:after="60" w:before="80"/>
      </w:pPr>
    </w:p>
    <w:p>
      <w:pPr>
        <w:pBdr>
          <w:left w:val="single" w:color="2E75B6" w:sz="6" w:space="8"/>
        </w:pBdr>
        <w:spacing w:after="120"/>
        <w:ind w:left="24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Per Burns &amp; Wilcox (Heidi, March 2026): any company doing software dev, IT consulting, data storage, or SaaS MUST carry Tech E&amp;O. Always try standard market (Travelers/CNA) before E&amp;S. This vertical skews toward smaller premiums per account but has high volume potential and positions Anvo in a growth market.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 Mid-Size Specialty Contractors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 it fits: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Specialty trade contractors ($5M–$30M revenue) — electrical, HVAC, plumbing, concrete, masonry firms with 20–100 employees — have substantial WC exposure (construction class codes carry some of the highest rates), fleet needs, and equipment/tools coverage. Surety bonding is an adjacent revenue stream. Multi-project operations need certificates and additional insured endorsements managed constantly. Small agencies can’t handle the COI flow; large brokers want GCs with $100M+ revenue.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Coverage complexity: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GL, WC (high-rate construction codes), commercial auto (work trucks + equipment), inland marine (tools &amp; equipment), umbrella/excess, builders risk (project-specific), pollution liability, surety bonds, EPLI.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Est. Premium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$50K–$200K+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Revenue/Account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$5K–$25K+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Carrier Access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 (extensive artisan contractor appetite, including roofing), Nationwide (specialty trades — GL+CP+WC+auto+umbrella, up to $1.5M payroll), UFG (contractors segment), Hartford, Liberty Mutual. Note: most standard carriers DECLINE general contractors — focus on specialty trades. Surety via Travelers Bond &amp; Specialty or wholesale.</w:t>
            </w:r>
          </w:p>
        </w:tc>
      </w:tr>
    </w:tbl>
    <w:p>
      <w:pPr>
        <w:spacing w:after="60" w:before="80"/>
      </w:pPr>
    </w:p>
    <w:p>
      <w:pPr>
        <w:pBdr>
          <w:left w:val="single" w:color="2E75B6" w:sz="6" w:space="8"/>
        </w:pBdr>
        <w:spacing w:after="120"/>
        <w:ind w:left="240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Focus on specialty trades (electrical, HVAC, plumbing, concrete, masonry, painting) rather than general contractors. GCs are widely declined by standard markets. WC alone on a 50-person electrical contractor can be $30K–$60K+ in premium. Surety bond revenue is additive and sticky.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Verticals Considered but Not Recommended (Now)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verticals were evaluated but are not recommended for the initial site redesign. They could be added later as Anvo builds expertise and carrier relationships in these spaces.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Vertical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Not Now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Healthcare / Medical Groups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Medical malpractice requires specialty carriers (MedPro, ProAssurance) that Anvo doesn’t currently access. The BOP/WC portion is standard, but the med-mal piece is the value driver — and that’s a different skill set. Revisit if Anvo gets a med-mal appointment.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 Dealer Groups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Niche vertical with specialized garage liability and dealer inventory (floor plan) insurance. Competitive market dominated by dealer-specific programs. Limited cross-sell with other verticals.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Agriculture / Farming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Crop insurance is a federal program (USDA) requiring separate licensing. Property/casualty for farm operations uses different carrier channels (Farm Bureau, Country Financial). Doesn’t leverage Anvo’s existing carrier stack.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Staffing / Temp Agencies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Premium volumes are WC-dominated but per-account revenue tends to fall below the $10K threshold for mid-market staffing firms. Large staffing companies self-insure. Also, Liberty Mutual explicitly declines staffing/labor leasing.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Large Nonprofits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Premiums can be meaningful but carrier appetite is narrow (Hartford, Travelers, specialty nonprofit carriers). D&amp;O and management liability are the value drivers, requiring specialty expertise. Lower priority given limited carrier access.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Existing Pages to Remove or Deprioritize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existing industry pages on anvoinsurance.com target small accounts that no longer fit the mid-market positioning. Recommendation: remove these from the main navigation and either redirect to a general “small business” page or archive them. The Chinese-language (/zh/) versions of these pages can be evaluated separately — some may still serve the bilingual small-business market.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Nail Salons — small single-location accounts, typically $2K–4K premium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Day Spas — small accounts with limited coverage needs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Hair Salons / Barbershops — typically under $3K premium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Single-location restaurants (keep multi-location restaurant groups page)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Any other single-trade, single-location service business pages</w:t>
      </w:r>
    </w:p>
    <w:p>
      <w:pPr>
        <w:spacing w:after="200" w:before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Removing these pages doesn’t mean Anvo won’t write these accounts — it means the website won’t actively attract them. Walk-in small business is fine; the site should attract mid-market prospects.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Next Steps (Pending Approval)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Edward reviews this proposal and decides which verticals to include on the site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Finalize site structure (navigation, URL paths, page hierarchy)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Tier 1 industry pages with complexity-focused content (Phase 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Tier 2 industry pages with lighter content (Phase 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Remove/redirect deprecated small-account pages (Phase 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llms.txt for site root (Phase 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content performance tracking (Phase 2)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— Phase 1 Research |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666666"/>
        <w:sz w:val="16"/>
        <w:szCs w:val="16"/>
      </w:rPr>
      <w:t xml:space="preserve">ANVO INSURANCE BROKERAGE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2026-03-27T16:46:53.000Z</dcterms:created>
  <dcterms:modified xsi:type="dcterms:W3CDTF">2026-03-27T16:46:53.000Z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