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7C029" w14:textId="77777777" w:rsidR="006D29EE" w:rsidRDefault="006D29EE">
      <w:pPr>
        <w:pStyle w:val="Heading1"/>
        <w:rPr>
          <w:rFonts w:ascii="Calibri" w:eastAsia="Times New Roman" w:hAnsi="Calibri" w:cs="Calibri"/>
        </w:rPr>
      </w:pPr>
      <w:r>
        <w:rPr>
          <w:rFonts w:ascii="Calibri" w:eastAsia="Times New Roman" w:hAnsi="Calibri" w:cs="Calibri"/>
        </w:rPr>
        <w:t>THRIVTS — MIGRATION TO .NET 10 API + REACT/TYPESCRIPT</w:t>
      </w:r>
    </w:p>
    <w:p w14:paraId="35338B09" w14:textId="77777777" w:rsidR="006D29EE" w:rsidRDefault="006D29EE">
      <w:pPr>
        <w:pStyle w:val="NormalWeb"/>
        <w:rPr>
          <w:rFonts w:ascii="Calibri" w:hAnsi="Calibri" w:cs="Calibri"/>
        </w:rPr>
      </w:pPr>
      <w:r>
        <w:rPr>
          <w:rFonts w:ascii="Calibri" w:hAnsi="Calibri" w:cs="Calibri"/>
          <w:i/>
          <w:iCs/>
        </w:rPr>
        <w:t>Architecture, business rationale, and implementation plan</w:t>
      </w:r>
    </w:p>
    <w:p w14:paraId="15699D35" w14:textId="77777777" w:rsidR="006D29EE" w:rsidRDefault="006D29EE">
      <w:pPr>
        <w:pStyle w:val="NormalWeb"/>
        <w:rPr>
          <w:rFonts w:ascii="Calibri" w:hAnsi="Calibri" w:cs="Calibri"/>
        </w:rPr>
      </w:pPr>
      <w:r>
        <w:rPr>
          <w:rFonts w:ascii="Calibri" w:hAnsi="Calibri" w:cs="Calibri"/>
        </w:rPr>
        <w:t>Prepared for: Thrivts leadership &amp; development team</w:t>
      </w:r>
    </w:p>
    <w:p w14:paraId="0FC0B1EE" w14:textId="77777777" w:rsidR="006D29EE" w:rsidRDefault="006D29EE">
      <w:pPr>
        <w:rPr>
          <w:rFonts w:ascii="Calibri" w:eastAsia="Times New Roman" w:hAnsi="Calibri" w:cs="Calibri"/>
        </w:rPr>
      </w:pPr>
      <w:r>
        <w:rPr>
          <w:rFonts w:ascii="Calibri" w:eastAsia="Times New Roman" w:hAnsi="Calibri" w:cs="Calibri"/>
        </w:rPr>
        <w:pict w14:anchorId="09C9B322">
          <v:rect id="_x0000_i1025" style="width:0;height:1.5pt" o:hralign="center" o:hrstd="t" o:hr="t" fillcolor="#a0a0a0" stroked="f"/>
        </w:pict>
      </w:r>
    </w:p>
    <w:p w14:paraId="6E76A95C" w14:textId="77777777" w:rsidR="006D29EE" w:rsidRDefault="006D29EE">
      <w:pPr>
        <w:pStyle w:val="Heading1"/>
        <w:rPr>
          <w:rFonts w:ascii="Calibri" w:eastAsia="Times New Roman" w:hAnsi="Calibri" w:cs="Calibri"/>
        </w:rPr>
      </w:pPr>
      <w:r>
        <w:rPr>
          <w:rFonts w:ascii="Calibri" w:eastAsia="Times New Roman" w:hAnsi="Calibri" w:cs="Calibri"/>
        </w:rPr>
        <w:t>PART 0 — WHY WE ARE MOVING TO THIS STACK</w:t>
      </w:r>
    </w:p>
    <w:p w14:paraId="594C2D93" w14:textId="77777777" w:rsidR="006D29EE" w:rsidRDefault="006D29EE">
      <w:pPr>
        <w:pStyle w:val="Heading2"/>
        <w:rPr>
          <w:rFonts w:ascii="Calibri" w:eastAsia="Times New Roman" w:hAnsi="Calibri" w:cs="Calibri"/>
        </w:rPr>
      </w:pPr>
      <w:r>
        <w:rPr>
          <w:rFonts w:ascii="Calibri" w:eastAsia="Times New Roman" w:hAnsi="Calibri" w:cs="Calibri"/>
        </w:rPr>
        <w:t>0.1 Where Thrivts Is Today</w:t>
      </w:r>
    </w:p>
    <w:p w14:paraId="5A7D43AE" w14:textId="77777777" w:rsidR="006D29EE" w:rsidRDefault="006D29EE">
      <w:pPr>
        <w:pStyle w:val="NormalWeb"/>
        <w:rPr>
          <w:rFonts w:ascii="Calibri" w:hAnsi="Calibri" w:cs="Calibri"/>
        </w:rPr>
      </w:pPr>
      <w:r>
        <w:rPr>
          <w:rFonts w:ascii="Calibri" w:hAnsi="Calibri" w:cs="Calibri"/>
        </w:rPr>
        <w:t>The Thrivts platform currently runs as five independent, hand-built web pages (Buyer, Seller, Admin, Agency, Partners), each talking directly to the Supabase database from the browser. There is no dedicated backend application — all business logic is split between database functions and JavaScript running in the customer's browser. This approach was the right choice to launch fast, but it was never intended to be the long-term foundation for a scaling B2B marketplace handling real money, KYC-verified seller</w:t>
      </w:r>
      <w:r>
        <w:rPr>
          <w:rFonts w:ascii="Calibri" w:hAnsi="Calibri" w:cs="Calibri"/>
        </w:rPr>
        <w:t>s, and confidential buyer/seller identities.</w:t>
      </w:r>
    </w:p>
    <w:p w14:paraId="129A5DE7" w14:textId="77777777" w:rsidR="006D29EE" w:rsidRDefault="006D29EE">
      <w:pPr>
        <w:pStyle w:val="Heading2"/>
        <w:rPr>
          <w:rFonts w:ascii="Calibri" w:eastAsia="Times New Roman" w:hAnsi="Calibri" w:cs="Calibri"/>
        </w:rPr>
      </w:pPr>
      <w:r>
        <w:rPr>
          <w:rFonts w:ascii="Calibri" w:eastAsia="Times New Roman" w:hAnsi="Calibri" w:cs="Calibri"/>
        </w:rPr>
        <w:t>0.2 Why We Are Moving Now</w:t>
      </w:r>
    </w:p>
    <w:tbl>
      <w:tblPr>
        <w:tblW w:w="5000" w:type="pct"/>
        <w:tblBorders>
          <w:top w:val="outset" w:sz="6" w:space="0" w:color="auto"/>
          <w:left w:val="outset" w:sz="6" w:space="0" w:color="auto"/>
          <w:bottom w:val="outset" w:sz="6" w:space="0" w:color="auto"/>
          <w:right w:val="outset" w:sz="6" w:space="0" w:color="auto"/>
        </w:tblBorders>
        <w:tblCellMar>
          <w:top w:w="90" w:type="dxa"/>
          <w:left w:w="90" w:type="dxa"/>
          <w:bottom w:w="90" w:type="dxa"/>
          <w:right w:w="90" w:type="dxa"/>
        </w:tblCellMar>
        <w:tblLook w:val="04A0" w:firstRow="1" w:lastRow="0" w:firstColumn="1" w:lastColumn="0" w:noHBand="0" w:noVBand="1"/>
      </w:tblPr>
      <w:tblGrid>
        <w:gridCol w:w="2157"/>
        <w:gridCol w:w="7187"/>
      </w:tblGrid>
      <w:tr w:rsidR="00000000" w14:paraId="5CE9CDCF" w14:textId="77777777">
        <w:tc>
          <w:tcPr>
            <w:tcW w:w="0" w:type="auto"/>
            <w:tcBorders>
              <w:top w:val="outset" w:sz="6" w:space="0" w:color="auto"/>
              <w:left w:val="outset" w:sz="6" w:space="0" w:color="auto"/>
              <w:bottom w:val="outset" w:sz="6" w:space="0" w:color="auto"/>
              <w:right w:val="outset" w:sz="6" w:space="0" w:color="auto"/>
            </w:tcBorders>
            <w:shd w:val="clear" w:color="auto" w:fill="1F4E78"/>
            <w:vAlign w:val="center"/>
            <w:hideMark/>
          </w:tcPr>
          <w:p w14:paraId="47112BC7" w14:textId="77777777" w:rsidR="006D29EE" w:rsidRDefault="006D29EE">
            <w:pPr>
              <w:jc w:val="center"/>
              <w:rPr>
                <w:rFonts w:eastAsia="Times New Roman"/>
                <w:b/>
                <w:bCs/>
                <w:color w:val="FFFFFF"/>
              </w:rPr>
            </w:pPr>
            <w:r>
              <w:rPr>
                <w:rFonts w:eastAsia="Times New Roman"/>
                <w:b/>
                <w:bCs/>
                <w:color w:val="FFFFFF"/>
              </w:rPr>
              <w:t>Driver</w:t>
            </w:r>
          </w:p>
        </w:tc>
        <w:tc>
          <w:tcPr>
            <w:tcW w:w="0" w:type="auto"/>
            <w:tcBorders>
              <w:top w:val="outset" w:sz="6" w:space="0" w:color="auto"/>
              <w:left w:val="outset" w:sz="6" w:space="0" w:color="auto"/>
              <w:bottom w:val="outset" w:sz="6" w:space="0" w:color="auto"/>
              <w:right w:val="outset" w:sz="6" w:space="0" w:color="auto"/>
            </w:tcBorders>
            <w:shd w:val="clear" w:color="auto" w:fill="1F4E78"/>
            <w:vAlign w:val="center"/>
            <w:hideMark/>
          </w:tcPr>
          <w:p w14:paraId="78C9485B" w14:textId="77777777" w:rsidR="006D29EE" w:rsidRDefault="006D29EE">
            <w:pPr>
              <w:jc w:val="center"/>
              <w:rPr>
                <w:rFonts w:eastAsia="Times New Roman"/>
                <w:b/>
                <w:bCs/>
                <w:color w:val="FFFFFF"/>
              </w:rPr>
            </w:pPr>
            <w:r>
              <w:rPr>
                <w:rFonts w:eastAsia="Times New Roman"/>
                <w:b/>
                <w:bCs/>
                <w:color w:val="FFFFFF"/>
              </w:rPr>
              <w:t>What it means for Thrivts</w:t>
            </w:r>
          </w:p>
        </w:tc>
      </w:tr>
      <w:tr w:rsidR="00000000" w14:paraId="582C9CB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08956B1" w14:textId="77777777" w:rsidR="006D29EE" w:rsidRDefault="006D29EE">
            <w:pPr>
              <w:rPr>
                <w:rFonts w:eastAsia="Times New Roman"/>
              </w:rPr>
            </w:pPr>
            <w:r>
              <w:rPr>
                <w:rFonts w:eastAsia="Times New Roman"/>
                <w:b/>
                <w:bCs/>
              </w:rPr>
              <w:t>Security &amp; trust</w:t>
            </w:r>
          </w:p>
        </w:tc>
        <w:tc>
          <w:tcPr>
            <w:tcW w:w="0" w:type="auto"/>
            <w:tcBorders>
              <w:top w:val="outset" w:sz="6" w:space="0" w:color="auto"/>
              <w:left w:val="outset" w:sz="6" w:space="0" w:color="auto"/>
              <w:bottom w:val="outset" w:sz="6" w:space="0" w:color="auto"/>
              <w:right w:val="outset" w:sz="6" w:space="0" w:color="auto"/>
            </w:tcBorders>
            <w:vAlign w:val="center"/>
            <w:hideMark/>
          </w:tcPr>
          <w:p w14:paraId="7FCF8BA1" w14:textId="77777777" w:rsidR="006D29EE" w:rsidRDefault="006D29EE">
            <w:pPr>
              <w:rPr>
                <w:rFonts w:eastAsia="Times New Roman"/>
              </w:rPr>
            </w:pPr>
            <w:r>
              <w:rPr>
                <w:rFonts w:eastAsia="Times New Roman"/>
              </w:rPr>
              <w:t xml:space="preserve">Thrivts' entire business model depends on buyers and sellers never seeing each other's identity (the "invisible broker" guarantee). Today that rule is enforced only by database configuration that has never been formally audited. A dedicated backend lets us enforce and </w:t>
            </w:r>
            <w:r>
              <w:rPr>
                <w:rFonts w:eastAsia="Times New Roman"/>
                <w:i/>
                <w:iCs/>
              </w:rPr>
              <w:t>test</w:t>
            </w:r>
            <w:r>
              <w:rPr>
                <w:rFonts w:eastAsia="Times New Roman"/>
              </w:rPr>
              <w:t xml:space="preserve"> this guarantee in code, closing our single biggest operational risk.</w:t>
            </w:r>
          </w:p>
        </w:tc>
      </w:tr>
      <w:tr w:rsidR="00000000" w14:paraId="410B83D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2842039" w14:textId="77777777" w:rsidR="006D29EE" w:rsidRDefault="006D29EE">
            <w:pPr>
              <w:rPr>
                <w:rFonts w:eastAsia="Times New Roman"/>
              </w:rPr>
            </w:pPr>
            <w:r>
              <w:rPr>
                <w:rFonts w:eastAsia="Times New Roman"/>
                <w:b/>
                <w:bCs/>
              </w:rPr>
              <w:t>Scalability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61D4F017" w14:textId="77777777" w:rsidR="006D29EE" w:rsidRDefault="006D29EE">
            <w:pPr>
              <w:rPr>
                <w:rFonts w:eastAsia="Times New Roman"/>
              </w:rPr>
            </w:pPr>
            <w:r>
              <w:rPr>
                <w:rFonts w:eastAsia="Times New Roman"/>
              </w:rPr>
              <w:t>As transaction volume grows, a proper API layer lets us scale the backend independently of the frontend, add caching, and handle far more concurrent buyers and sellers without a redesign.</w:t>
            </w:r>
          </w:p>
        </w:tc>
      </w:tr>
      <w:tr w:rsidR="00000000" w14:paraId="1A0BAD5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1CD8EA4" w14:textId="77777777" w:rsidR="006D29EE" w:rsidRDefault="006D29EE">
            <w:pPr>
              <w:rPr>
                <w:rFonts w:eastAsia="Times New Roman"/>
              </w:rPr>
            </w:pPr>
            <w:r>
              <w:rPr>
                <w:rFonts w:eastAsia="Times New Roman"/>
                <w:b/>
                <w:bCs/>
              </w:rPr>
              <w:t>Maintainability &amp; speed of delivery</w:t>
            </w:r>
          </w:p>
        </w:tc>
        <w:tc>
          <w:tcPr>
            <w:tcW w:w="0" w:type="auto"/>
            <w:tcBorders>
              <w:top w:val="outset" w:sz="6" w:space="0" w:color="auto"/>
              <w:left w:val="outset" w:sz="6" w:space="0" w:color="auto"/>
              <w:bottom w:val="outset" w:sz="6" w:space="0" w:color="auto"/>
              <w:right w:val="outset" w:sz="6" w:space="0" w:color="auto"/>
            </w:tcBorders>
            <w:vAlign w:val="center"/>
            <w:hideMark/>
          </w:tcPr>
          <w:p w14:paraId="75E62AFA" w14:textId="77777777" w:rsidR="006D29EE" w:rsidRDefault="006D29EE">
            <w:pPr>
              <w:rPr>
                <w:rFonts w:eastAsia="Times New Roman"/>
              </w:rPr>
            </w:pPr>
            <w:r>
              <w:rPr>
                <w:rFonts w:eastAsia="Times New Roman"/>
              </w:rPr>
              <w:t>Right now, every fix or feature must be repeated across five separate HTML files. A shared, well-structured codebase means new features ship faster and with fewer bugs, across all five portals at once.</w:t>
            </w:r>
          </w:p>
        </w:tc>
      </w:tr>
      <w:tr w:rsidR="00000000" w14:paraId="34AC12F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D05811A" w14:textId="77777777" w:rsidR="006D29EE" w:rsidRDefault="006D29EE">
            <w:pPr>
              <w:rPr>
                <w:rFonts w:eastAsia="Times New Roman"/>
              </w:rPr>
            </w:pPr>
            <w:r>
              <w:rPr>
                <w:rFonts w:eastAsia="Times New Roman"/>
                <w:b/>
                <w:bCs/>
              </w:rPr>
              <w:t>Enterprise-grade reliability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67369983" w14:textId="77777777" w:rsidR="006D29EE" w:rsidRDefault="006D29EE">
            <w:pPr>
              <w:rPr>
                <w:rFonts w:eastAsia="Times New Roman"/>
              </w:rPr>
            </w:pPr>
            <w:r>
              <w:rPr>
                <w:rFonts w:eastAsia="Times New Roman"/>
              </w:rPr>
              <w:t xml:space="preserve">.NET is the same technology stack used by banks, airlines, and large logistics and marketplace platforms worldwide. Moving to it signals — </w:t>
            </w:r>
            <w:r>
              <w:rPr>
                <w:rFonts w:eastAsia="Times New Roman"/>
              </w:rPr>
              <w:lastRenderedPageBreak/>
              <w:t>and delivers — the reliability expected of a platform moving real B2B money internationally.</w:t>
            </w:r>
          </w:p>
        </w:tc>
      </w:tr>
      <w:tr w:rsidR="00000000" w14:paraId="6D2C24A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860D93C" w14:textId="77777777" w:rsidR="006D29EE" w:rsidRDefault="006D29EE">
            <w:pPr>
              <w:rPr>
                <w:rFonts w:eastAsia="Times New Roman"/>
              </w:rPr>
            </w:pPr>
            <w:r>
              <w:rPr>
                <w:rFonts w:eastAsia="Times New Roman"/>
                <w:b/>
                <w:bCs/>
              </w:rPr>
              <w:lastRenderedPageBreak/>
              <w:t>Auditability &amp; compliance</w:t>
            </w:r>
          </w:p>
        </w:tc>
        <w:tc>
          <w:tcPr>
            <w:tcW w:w="0" w:type="auto"/>
            <w:tcBorders>
              <w:top w:val="outset" w:sz="6" w:space="0" w:color="auto"/>
              <w:left w:val="outset" w:sz="6" w:space="0" w:color="auto"/>
              <w:bottom w:val="outset" w:sz="6" w:space="0" w:color="auto"/>
              <w:right w:val="outset" w:sz="6" w:space="0" w:color="auto"/>
            </w:tcBorders>
            <w:vAlign w:val="center"/>
            <w:hideMark/>
          </w:tcPr>
          <w:p w14:paraId="467AB986" w14:textId="77777777" w:rsidR="006D29EE" w:rsidRDefault="006D29EE">
            <w:pPr>
              <w:rPr>
                <w:rFonts w:eastAsia="Times New Roman"/>
              </w:rPr>
            </w:pPr>
            <w:r>
              <w:rPr>
                <w:rFonts w:eastAsia="Times New Roman"/>
              </w:rPr>
              <w:t>A structured backend gives us proper audit trails, automated testing, and clear logic that can be reviewed by security auditors or investors — much harder to demonstrate with logic scattered across frontend files.</w:t>
            </w:r>
          </w:p>
        </w:tc>
      </w:tr>
      <w:tr w:rsidR="00000000" w14:paraId="27E4681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186950C" w14:textId="77777777" w:rsidR="006D29EE" w:rsidRDefault="006D29EE">
            <w:pPr>
              <w:rPr>
                <w:rFonts w:eastAsia="Times New Roman"/>
              </w:rPr>
            </w:pPr>
            <w:r>
              <w:rPr>
                <w:rFonts w:eastAsia="Times New Roman"/>
                <w:b/>
                <w:bCs/>
              </w:rPr>
              <w:t>Better user experience</w:t>
            </w:r>
          </w:p>
        </w:tc>
        <w:tc>
          <w:tcPr>
            <w:tcW w:w="0" w:type="auto"/>
            <w:tcBorders>
              <w:top w:val="outset" w:sz="6" w:space="0" w:color="auto"/>
              <w:left w:val="outset" w:sz="6" w:space="0" w:color="auto"/>
              <w:bottom w:val="outset" w:sz="6" w:space="0" w:color="auto"/>
              <w:right w:val="outset" w:sz="6" w:space="0" w:color="auto"/>
            </w:tcBorders>
            <w:vAlign w:val="center"/>
            <w:hideMark/>
          </w:tcPr>
          <w:p w14:paraId="3310D5BC" w14:textId="77777777" w:rsidR="006D29EE" w:rsidRDefault="006D29EE">
            <w:pPr>
              <w:rPr>
                <w:rFonts w:eastAsia="Times New Roman"/>
              </w:rPr>
            </w:pPr>
            <w:r>
              <w:rPr>
                <w:rFonts w:eastAsia="Times New Roman"/>
              </w:rPr>
              <w:t>React enables a faster, smoother, more app-like experience for buyers and sellers (instant page updates, no full reloads) compared to today's static pages.</w:t>
            </w:r>
          </w:p>
        </w:tc>
      </w:tr>
      <w:tr w:rsidR="00000000" w14:paraId="5EEFA9E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07AD9B6" w14:textId="77777777" w:rsidR="006D29EE" w:rsidRDefault="006D29EE">
            <w:pPr>
              <w:rPr>
                <w:rFonts w:eastAsia="Times New Roman"/>
              </w:rPr>
            </w:pPr>
            <w:r>
              <w:rPr>
                <w:rFonts w:eastAsia="Times New Roman"/>
                <w:b/>
                <w:bCs/>
              </w:rPr>
              <w:t>Lower long-term cost</w:t>
            </w:r>
          </w:p>
        </w:tc>
        <w:tc>
          <w:tcPr>
            <w:tcW w:w="0" w:type="auto"/>
            <w:tcBorders>
              <w:top w:val="outset" w:sz="6" w:space="0" w:color="auto"/>
              <w:left w:val="outset" w:sz="6" w:space="0" w:color="auto"/>
              <w:bottom w:val="outset" w:sz="6" w:space="0" w:color="auto"/>
              <w:right w:val="outset" w:sz="6" w:space="0" w:color="auto"/>
            </w:tcBorders>
            <w:vAlign w:val="center"/>
            <w:hideMark/>
          </w:tcPr>
          <w:p w14:paraId="03FEBEF0" w14:textId="77777777" w:rsidR="006D29EE" w:rsidRDefault="006D29EE">
            <w:pPr>
              <w:rPr>
                <w:rFonts w:eastAsia="Times New Roman"/>
              </w:rPr>
            </w:pPr>
            <w:r>
              <w:rPr>
                <w:rFonts w:eastAsia="Times New Roman"/>
              </w:rPr>
              <w:t>Fewer bugs, faster onboarding for new developers, and reusable components (instead of five copies of the same code) reduce engineering cost over time, even though there is upfront investment now.</w:t>
            </w:r>
          </w:p>
        </w:tc>
      </w:tr>
      <w:tr w:rsidR="00000000" w14:paraId="767F4A3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B569291" w14:textId="77777777" w:rsidR="006D29EE" w:rsidRDefault="006D29EE">
            <w:pPr>
              <w:rPr>
                <w:rFonts w:eastAsia="Times New Roman"/>
              </w:rPr>
            </w:pPr>
            <w:r>
              <w:rPr>
                <w:rFonts w:eastAsia="Times New Roman"/>
                <w:b/>
                <w:bCs/>
              </w:rPr>
              <w:t>Future-readiness</w:t>
            </w:r>
          </w:p>
        </w:tc>
        <w:tc>
          <w:tcPr>
            <w:tcW w:w="0" w:type="auto"/>
            <w:tcBorders>
              <w:top w:val="outset" w:sz="6" w:space="0" w:color="auto"/>
              <w:left w:val="outset" w:sz="6" w:space="0" w:color="auto"/>
              <w:bottom w:val="outset" w:sz="6" w:space="0" w:color="auto"/>
              <w:right w:val="outset" w:sz="6" w:space="0" w:color="auto"/>
            </w:tcBorders>
            <w:vAlign w:val="center"/>
            <w:hideMark/>
          </w:tcPr>
          <w:p w14:paraId="3341985F" w14:textId="77777777" w:rsidR="006D29EE" w:rsidRDefault="006D29EE">
            <w:pPr>
              <w:rPr>
                <w:rFonts w:eastAsia="Times New Roman"/>
              </w:rPr>
            </w:pPr>
            <w:r>
              <w:rPr>
                <w:rFonts w:eastAsia="Times New Roman"/>
              </w:rPr>
              <w:t>A proper API is the foundation needed for what typically comes next for a growing marketplace: a mobile app, partner integrations, automated notifications, and AI-assisted features — none of which are realistically achievable on the current architecture.</w:t>
            </w:r>
          </w:p>
        </w:tc>
      </w:tr>
    </w:tbl>
    <w:p w14:paraId="0C4F8B7C" w14:textId="77777777" w:rsidR="006D29EE" w:rsidRDefault="006D29EE">
      <w:pPr>
        <w:pStyle w:val="Heading2"/>
        <w:rPr>
          <w:rFonts w:ascii="Calibri" w:eastAsia="Times New Roman" w:hAnsi="Calibri" w:cs="Calibri"/>
        </w:rPr>
      </w:pPr>
      <w:r>
        <w:rPr>
          <w:rFonts w:ascii="Calibri" w:eastAsia="Times New Roman" w:hAnsi="Calibri" w:cs="Calibri"/>
        </w:rPr>
        <w:t>0.3 Summary Benefit Statement</w:t>
      </w:r>
    </w:p>
    <w:p w14:paraId="62A6C3A0" w14:textId="77777777" w:rsidR="006D29EE" w:rsidRDefault="006D29EE">
      <w:pPr>
        <w:pStyle w:val="NormalWeb"/>
        <w:rPr>
          <w:rFonts w:ascii="Calibri" w:hAnsi="Calibri" w:cs="Calibri"/>
        </w:rPr>
      </w:pPr>
      <w:r>
        <w:rPr>
          <w:rFonts w:ascii="Calibri" w:hAnsi="Calibri" w:cs="Calibri"/>
        </w:rPr>
        <w:t xml:space="preserve">In short: today's platform was built to prove the business model quickly, and it succeeded. This migration is about giving that proven business model a foundation that is </w:t>
      </w:r>
      <w:r>
        <w:rPr>
          <w:rFonts w:ascii="Calibri" w:hAnsi="Calibri" w:cs="Calibri"/>
          <w:b/>
          <w:bCs/>
        </w:rPr>
        <w:t>secure by design, built to scale, faster to develop on, and aligned with the standards expected of an international B2B marketplace</w:t>
      </w:r>
      <w:r>
        <w:rPr>
          <w:rFonts w:ascii="Calibri" w:hAnsi="Calibri" w:cs="Calibri"/>
        </w:rPr>
        <w:t xml:space="preserve"> — without changing anything the buyer, seller, or agency experiences functionally; they get a better, faster version of the same platform.</w:t>
      </w:r>
    </w:p>
    <w:p w14:paraId="32ABB814" w14:textId="77777777" w:rsidR="006D29EE" w:rsidRDefault="006D29EE">
      <w:pPr>
        <w:rPr>
          <w:rFonts w:ascii="Calibri" w:eastAsia="Times New Roman" w:hAnsi="Calibri" w:cs="Calibri"/>
        </w:rPr>
      </w:pPr>
      <w:r>
        <w:rPr>
          <w:rFonts w:ascii="Calibri" w:eastAsia="Times New Roman" w:hAnsi="Calibri" w:cs="Calibri"/>
        </w:rPr>
        <w:pict w14:anchorId="19E9E27D">
          <v:rect id="_x0000_i1026" style="width:0;height:1.5pt" o:hralign="center" o:hrstd="t" o:hr="t" fillcolor="#a0a0a0" stroked="f"/>
        </w:pict>
      </w:r>
    </w:p>
    <w:p w14:paraId="00C1A0C6" w14:textId="77777777" w:rsidR="006D29EE" w:rsidRDefault="006D29EE">
      <w:pPr>
        <w:pStyle w:val="Heading1"/>
        <w:rPr>
          <w:rFonts w:ascii="Calibri" w:eastAsia="Times New Roman" w:hAnsi="Calibri" w:cs="Calibri"/>
        </w:rPr>
      </w:pPr>
      <w:r>
        <w:rPr>
          <w:rFonts w:ascii="Calibri" w:eastAsia="Times New Roman" w:hAnsi="Calibri" w:cs="Calibri"/>
        </w:rPr>
        <w:t>PART 1 — TECHNICAL ARCHITECTURE &amp; IMPLEMENTATION GUIDE</w:t>
      </w:r>
    </w:p>
    <w:p w14:paraId="1F4186AD" w14:textId="77777777" w:rsidR="006D29EE" w:rsidRDefault="006D29EE">
      <w:pPr>
        <w:pStyle w:val="NormalWeb"/>
        <w:rPr>
          <w:rFonts w:ascii="Calibri" w:hAnsi="Calibri" w:cs="Calibri"/>
        </w:rPr>
      </w:pPr>
      <w:r>
        <w:rPr>
          <w:rFonts w:ascii="Calibri" w:hAnsi="Calibri" w:cs="Calibri"/>
          <w:i/>
          <w:iCs/>
        </w:rPr>
        <w:t>This part is the reference for the development team — architecture, folder structure, security model, DTO rules, EF Core setup, and a phased rollout plan.</w:t>
      </w:r>
    </w:p>
    <w:p w14:paraId="2FD85DE9" w14:textId="77777777" w:rsidR="006D29EE" w:rsidRDefault="006D29EE">
      <w:pPr>
        <w:pStyle w:val="Heading2"/>
        <w:rPr>
          <w:rFonts w:ascii="Calibri" w:eastAsia="Times New Roman" w:hAnsi="Calibri" w:cs="Calibri"/>
        </w:rPr>
      </w:pPr>
      <w:r>
        <w:rPr>
          <w:rFonts w:ascii="Calibri" w:eastAsia="Times New Roman" w:hAnsi="Calibri" w:cs="Calibri"/>
        </w:rPr>
        <w:t>1. Decision Summary</w:t>
      </w:r>
    </w:p>
    <w:tbl>
      <w:tblPr>
        <w:tblW w:w="5000" w:type="pct"/>
        <w:tblBorders>
          <w:top w:val="outset" w:sz="6" w:space="0" w:color="auto"/>
          <w:left w:val="outset" w:sz="6" w:space="0" w:color="auto"/>
          <w:bottom w:val="outset" w:sz="6" w:space="0" w:color="auto"/>
          <w:right w:val="outset" w:sz="6" w:space="0" w:color="auto"/>
        </w:tblBorders>
        <w:tblCellMar>
          <w:top w:w="90" w:type="dxa"/>
          <w:left w:w="90" w:type="dxa"/>
          <w:bottom w:w="90" w:type="dxa"/>
          <w:right w:w="90" w:type="dxa"/>
        </w:tblCellMar>
        <w:tblLook w:val="04A0" w:firstRow="1" w:lastRow="0" w:firstColumn="1" w:lastColumn="0" w:noHBand="0" w:noVBand="1"/>
      </w:tblPr>
      <w:tblGrid>
        <w:gridCol w:w="1596"/>
        <w:gridCol w:w="1944"/>
        <w:gridCol w:w="5804"/>
      </w:tblGrid>
      <w:tr w:rsidR="00000000" w14:paraId="1040B94D" w14:textId="77777777">
        <w:tc>
          <w:tcPr>
            <w:tcW w:w="0" w:type="auto"/>
            <w:tcBorders>
              <w:top w:val="outset" w:sz="6" w:space="0" w:color="auto"/>
              <w:left w:val="outset" w:sz="6" w:space="0" w:color="auto"/>
              <w:bottom w:val="outset" w:sz="6" w:space="0" w:color="auto"/>
              <w:right w:val="outset" w:sz="6" w:space="0" w:color="auto"/>
            </w:tcBorders>
            <w:shd w:val="clear" w:color="auto" w:fill="1F4E78"/>
            <w:vAlign w:val="center"/>
            <w:hideMark/>
          </w:tcPr>
          <w:p w14:paraId="1A97886E" w14:textId="77777777" w:rsidR="006D29EE" w:rsidRDefault="006D29EE">
            <w:pPr>
              <w:jc w:val="center"/>
              <w:rPr>
                <w:rFonts w:eastAsia="Times New Roman"/>
                <w:b/>
                <w:bCs/>
                <w:color w:val="FFFFFF"/>
              </w:rPr>
            </w:pPr>
            <w:r>
              <w:rPr>
                <w:rFonts w:eastAsia="Times New Roman"/>
                <w:b/>
                <w:bCs/>
                <w:color w:val="FFFFFF"/>
              </w:rPr>
              <w:t>Decision</w:t>
            </w:r>
          </w:p>
        </w:tc>
        <w:tc>
          <w:tcPr>
            <w:tcW w:w="0" w:type="auto"/>
            <w:tcBorders>
              <w:top w:val="outset" w:sz="6" w:space="0" w:color="auto"/>
              <w:left w:val="outset" w:sz="6" w:space="0" w:color="auto"/>
              <w:bottom w:val="outset" w:sz="6" w:space="0" w:color="auto"/>
              <w:right w:val="outset" w:sz="6" w:space="0" w:color="auto"/>
            </w:tcBorders>
            <w:shd w:val="clear" w:color="auto" w:fill="1F4E78"/>
            <w:vAlign w:val="center"/>
            <w:hideMark/>
          </w:tcPr>
          <w:p w14:paraId="42599873" w14:textId="77777777" w:rsidR="006D29EE" w:rsidRDefault="006D29EE">
            <w:pPr>
              <w:jc w:val="center"/>
              <w:rPr>
                <w:rFonts w:eastAsia="Times New Roman"/>
                <w:b/>
                <w:bCs/>
                <w:color w:val="FFFFFF"/>
              </w:rPr>
            </w:pPr>
            <w:r>
              <w:rPr>
                <w:rFonts w:eastAsia="Times New Roman"/>
                <w:b/>
                <w:bCs/>
                <w:color w:val="FFFFFF"/>
              </w:rPr>
              <w:t>Choice</w:t>
            </w:r>
          </w:p>
        </w:tc>
        <w:tc>
          <w:tcPr>
            <w:tcW w:w="0" w:type="auto"/>
            <w:tcBorders>
              <w:top w:val="outset" w:sz="6" w:space="0" w:color="auto"/>
              <w:left w:val="outset" w:sz="6" w:space="0" w:color="auto"/>
              <w:bottom w:val="outset" w:sz="6" w:space="0" w:color="auto"/>
              <w:right w:val="outset" w:sz="6" w:space="0" w:color="auto"/>
            </w:tcBorders>
            <w:shd w:val="clear" w:color="auto" w:fill="1F4E78"/>
            <w:vAlign w:val="center"/>
            <w:hideMark/>
          </w:tcPr>
          <w:p w14:paraId="023A439E" w14:textId="77777777" w:rsidR="006D29EE" w:rsidRDefault="006D29EE">
            <w:pPr>
              <w:jc w:val="center"/>
              <w:rPr>
                <w:rFonts w:eastAsia="Times New Roman"/>
                <w:b/>
                <w:bCs/>
                <w:color w:val="FFFFFF"/>
              </w:rPr>
            </w:pPr>
            <w:r>
              <w:rPr>
                <w:rFonts w:eastAsia="Times New Roman"/>
                <w:b/>
                <w:bCs/>
                <w:color w:val="FFFFFF"/>
              </w:rPr>
              <w:t>Reason</w:t>
            </w:r>
          </w:p>
        </w:tc>
      </w:tr>
      <w:tr w:rsidR="00000000" w14:paraId="1786850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E117B98" w14:textId="77777777" w:rsidR="006D29EE" w:rsidRDefault="006D29EE">
            <w:pPr>
              <w:rPr>
                <w:rFonts w:eastAsia="Times New Roman"/>
              </w:rPr>
            </w:pPr>
            <w:r>
              <w:rPr>
                <w:rFonts w:eastAsia="Times New Roman"/>
              </w:rPr>
              <w:lastRenderedPageBreak/>
              <w:t>Database</w:t>
            </w:r>
          </w:p>
        </w:tc>
        <w:tc>
          <w:tcPr>
            <w:tcW w:w="0" w:type="auto"/>
            <w:tcBorders>
              <w:top w:val="outset" w:sz="6" w:space="0" w:color="auto"/>
              <w:left w:val="outset" w:sz="6" w:space="0" w:color="auto"/>
              <w:bottom w:val="outset" w:sz="6" w:space="0" w:color="auto"/>
              <w:right w:val="outset" w:sz="6" w:space="0" w:color="auto"/>
            </w:tcBorders>
            <w:vAlign w:val="center"/>
            <w:hideMark/>
          </w:tcPr>
          <w:p w14:paraId="1FBF3EAD" w14:textId="77777777" w:rsidR="006D29EE" w:rsidRDefault="006D29EE">
            <w:pPr>
              <w:rPr>
                <w:rFonts w:eastAsia="Times New Roman"/>
              </w:rPr>
            </w:pPr>
            <w:r>
              <w:rPr>
                <w:rFonts w:eastAsia="Times New Roman"/>
              </w:rPr>
              <w:t>Keep Supabase (Postgres)</w:t>
            </w:r>
          </w:p>
        </w:tc>
        <w:tc>
          <w:tcPr>
            <w:tcW w:w="0" w:type="auto"/>
            <w:tcBorders>
              <w:top w:val="outset" w:sz="6" w:space="0" w:color="auto"/>
              <w:left w:val="outset" w:sz="6" w:space="0" w:color="auto"/>
              <w:bottom w:val="outset" w:sz="6" w:space="0" w:color="auto"/>
              <w:right w:val="outset" w:sz="6" w:space="0" w:color="auto"/>
            </w:tcBorders>
            <w:vAlign w:val="center"/>
            <w:hideMark/>
          </w:tcPr>
          <w:p w14:paraId="06D43F21" w14:textId="77777777" w:rsidR="006D29EE" w:rsidRDefault="006D29EE">
            <w:pPr>
              <w:rPr>
                <w:rFonts w:eastAsia="Times New Roman"/>
              </w:rPr>
            </w:pPr>
            <w:r>
              <w:rPr>
                <w:rFonts w:eastAsia="Times New Roman"/>
              </w:rPr>
              <w:t>Schema, RLS, and all 19+ tables already live there. Rewriting to SQL Server means re-deriving the entire data model for no functional gain.</w:t>
            </w:r>
          </w:p>
        </w:tc>
      </w:tr>
      <w:tr w:rsidR="00000000" w14:paraId="378AE60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EA9D4DB" w14:textId="77777777" w:rsidR="006D29EE" w:rsidRDefault="006D29EE">
            <w:pPr>
              <w:rPr>
                <w:rFonts w:eastAsia="Times New Roman"/>
              </w:rPr>
            </w:pPr>
            <w:r>
              <w:rPr>
                <w:rFonts w:eastAsia="Times New Roman"/>
              </w:rPr>
              <w:t>Backend</w:t>
            </w:r>
          </w:p>
        </w:tc>
        <w:tc>
          <w:tcPr>
            <w:tcW w:w="0" w:type="auto"/>
            <w:tcBorders>
              <w:top w:val="outset" w:sz="6" w:space="0" w:color="auto"/>
              <w:left w:val="outset" w:sz="6" w:space="0" w:color="auto"/>
              <w:bottom w:val="outset" w:sz="6" w:space="0" w:color="auto"/>
              <w:right w:val="outset" w:sz="6" w:space="0" w:color="auto"/>
            </w:tcBorders>
            <w:vAlign w:val="center"/>
            <w:hideMark/>
          </w:tcPr>
          <w:p w14:paraId="74578656" w14:textId="77777777" w:rsidR="006D29EE" w:rsidRDefault="006D29EE">
            <w:pPr>
              <w:rPr>
                <w:rFonts w:eastAsia="Times New Roman"/>
              </w:rPr>
            </w:pPr>
            <w:r>
              <w:rPr>
                <w:rFonts w:eastAsia="Times New Roman"/>
              </w:rPr>
              <w:t>.NET 10 Web API, Clean Architecture</w:t>
            </w:r>
          </w:p>
        </w:tc>
        <w:tc>
          <w:tcPr>
            <w:tcW w:w="0" w:type="auto"/>
            <w:tcBorders>
              <w:top w:val="outset" w:sz="6" w:space="0" w:color="auto"/>
              <w:left w:val="outset" w:sz="6" w:space="0" w:color="auto"/>
              <w:bottom w:val="outset" w:sz="6" w:space="0" w:color="auto"/>
              <w:right w:val="outset" w:sz="6" w:space="0" w:color="auto"/>
            </w:tcBorders>
            <w:vAlign w:val="center"/>
            <w:hideMark/>
          </w:tcPr>
          <w:p w14:paraId="5CC97498" w14:textId="77777777" w:rsidR="006D29EE" w:rsidRDefault="006D29EE">
            <w:pPr>
              <w:rPr>
                <w:rFonts w:eastAsia="Times New Roman"/>
              </w:rPr>
            </w:pPr>
            <w:r>
              <w:rPr>
                <w:rFonts w:eastAsia="Times New Roman"/>
              </w:rPr>
              <w:t>Business logic currently lives half in Postgres functions, half in frontend JS. Centralising it in a typed, testable backend fixes both the "unauditable security rules" and "client-only validation" risks identified in the audit.</w:t>
            </w:r>
          </w:p>
        </w:tc>
      </w:tr>
      <w:tr w:rsidR="00000000" w14:paraId="43BA634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6A76937" w14:textId="77777777" w:rsidR="006D29EE" w:rsidRDefault="006D29EE">
            <w:pPr>
              <w:rPr>
                <w:rFonts w:eastAsia="Times New Roman"/>
              </w:rPr>
            </w:pPr>
            <w:r>
              <w:rPr>
                <w:rFonts w:eastAsia="Times New Roman"/>
              </w:rPr>
              <w:t>DB access</w:t>
            </w:r>
          </w:p>
        </w:tc>
        <w:tc>
          <w:tcPr>
            <w:tcW w:w="0" w:type="auto"/>
            <w:tcBorders>
              <w:top w:val="outset" w:sz="6" w:space="0" w:color="auto"/>
              <w:left w:val="outset" w:sz="6" w:space="0" w:color="auto"/>
              <w:bottom w:val="outset" w:sz="6" w:space="0" w:color="auto"/>
              <w:right w:val="outset" w:sz="6" w:space="0" w:color="auto"/>
            </w:tcBorders>
            <w:vAlign w:val="center"/>
            <w:hideMark/>
          </w:tcPr>
          <w:p w14:paraId="3F7C588B" w14:textId="77777777" w:rsidR="006D29EE" w:rsidRDefault="006D29EE">
            <w:pPr>
              <w:rPr>
                <w:rFonts w:eastAsia="Times New Roman"/>
              </w:rPr>
            </w:pPr>
            <w:r>
              <w:rPr>
                <w:rFonts w:eastAsia="Times New Roman"/>
              </w:rPr>
              <w:t>EF Core + Npgsql provider</w:t>
            </w:r>
          </w:p>
        </w:tc>
        <w:tc>
          <w:tcPr>
            <w:tcW w:w="0" w:type="auto"/>
            <w:tcBorders>
              <w:top w:val="outset" w:sz="6" w:space="0" w:color="auto"/>
              <w:left w:val="outset" w:sz="6" w:space="0" w:color="auto"/>
              <w:bottom w:val="outset" w:sz="6" w:space="0" w:color="auto"/>
              <w:right w:val="outset" w:sz="6" w:space="0" w:color="auto"/>
            </w:tcBorders>
            <w:vAlign w:val="center"/>
            <w:hideMark/>
          </w:tcPr>
          <w:p w14:paraId="205DA61D" w14:textId="77777777" w:rsidR="006D29EE" w:rsidRDefault="006D29EE">
            <w:pPr>
              <w:rPr>
                <w:rFonts w:eastAsia="Times New Roman"/>
              </w:rPr>
            </w:pPr>
            <w:r>
              <w:rPr>
                <w:rFonts w:eastAsia="Times New Roman"/>
              </w:rPr>
              <w:t>Postgres works fine from .NET; no need for SQL Server-only tooling.</w:t>
            </w:r>
          </w:p>
        </w:tc>
      </w:tr>
      <w:tr w:rsidR="00000000" w14:paraId="257751E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08066B9" w14:textId="77777777" w:rsidR="006D29EE" w:rsidRDefault="006D29EE">
            <w:pPr>
              <w:rPr>
                <w:rFonts w:eastAsia="Times New Roman"/>
              </w:rPr>
            </w:pPr>
            <w:r>
              <w:rPr>
                <w:rFonts w:eastAsia="Times New Roman"/>
              </w:rPr>
              <w:t>Frontend</w:t>
            </w:r>
          </w:p>
        </w:tc>
        <w:tc>
          <w:tcPr>
            <w:tcW w:w="0" w:type="auto"/>
            <w:tcBorders>
              <w:top w:val="outset" w:sz="6" w:space="0" w:color="auto"/>
              <w:left w:val="outset" w:sz="6" w:space="0" w:color="auto"/>
              <w:bottom w:val="outset" w:sz="6" w:space="0" w:color="auto"/>
              <w:right w:val="outset" w:sz="6" w:space="0" w:color="auto"/>
            </w:tcBorders>
            <w:vAlign w:val="center"/>
            <w:hideMark/>
          </w:tcPr>
          <w:p w14:paraId="38F1BAAC" w14:textId="77777777" w:rsidR="006D29EE" w:rsidRDefault="006D29EE">
            <w:pPr>
              <w:rPr>
                <w:rFonts w:eastAsia="Times New Roman"/>
              </w:rPr>
            </w:pPr>
            <w:r>
              <w:rPr>
                <w:rFonts w:eastAsia="Times New Roman"/>
              </w:rPr>
              <w:t>React + TypeScript</w:t>
            </w:r>
          </w:p>
        </w:tc>
        <w:tc>
          <w:tcPr>
            <w:tcW w:w="0" w:type="auto"/>
            <w:tcBorders>
              <w:top w:val="outset" w:sz="6" w:space="0" w:color="auto"/>
              <w:left w:val="outset" w:sz="6" w:space="0" w:color="auto"/>
              <w:bottom w:val="outset" w:sz="6" w:space="0" w:color="auto"/>
              <w:right w:val="outset" w:sz="6" w:space="0" w:color="auto"/>
            </w:tcBorders>
            <w:vAlign w:val="center"/>
            <w:hideMark/>
          </w:tcPr>
          <w:p w14:paraId="2C932ECE" w14:textId="77777777" w:rsidR="006D29EE" w:rsidRDefault="006D29EE">
            <w:pPr>
              <w:rPr>
                <w:rFonts w:eastAsia="Times New Roman"/>
              </w:rPr>
            </w:pPr>
            <w:r>
              <w:rPr>
                <w:rFonts w:eastAsia="Times New Roman"/>
              </w:rPr>
              <w:t>Replaces the five hand-rolled HTML portals with shared components, typed contracts, and no duplicated code.</w:t>
            </w:r>
          </w:p>
        </w:tc>
      </w:tr>
      <w:tr w:rsidR="00000000" w14:paraId="373D173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D8DE62E" w14:textId="77777777" w:rsidR="006D29EE" w:rsidRDefault="006D29EE">
            <w:pPr>
              <w:rPr>
                <w:rFonts w:eastAsia="Times New Roman"/>
              </w:rPr>
            </w:pPr>
            <w:r>
              <w:rPr>
                <w:rFonts w:eastAsia="Times New Roman"/>
              </w:rPr>
              <w:t>Browser ↔ Supabase direct calls</w:t>
            </w:r>
          </w:p>
        </w:tc>
        <w:tc>
          <w:tcPr>
            <w:tcW w:w="0" w:type="auto"/>
            <w:tcBorders>
              <w:top w:val="outset" w:sz="6" w:space="0" w:color="auto"/>
              <w:left w:val="outset" w:sz="6" w:space="0" w:color="auto"/>
              <w:bottom w:val="outset" w:sz="6" w:space="0" w:color="auto"/>
              <w:right w:val="outset" w:sz="6" w:space="0" w:color="auto"/>
            </w:tcBorders>
            <w:vAlign w:val="center"/>
            <w:hideMark/>
          </w:tcPr>
          <w:p w14:paraId="77C455B0" w14:textId="77777777" w:rsidR="006D29EE" w:rsidRDefault="006D29EE">
            <w:pPr>
              <w:rPr>
                <w:rFonts w:eastAsia="Times New Roman"/>
              </w:rPr>
            </w:pPr>
            <w:r>
              <w:rPr>
                <w:rFonts w:eastAsia="Times New Roman"/>
              </w:rPr>
              <w:t>Removed entirely</w:t>
            </w:r>
          </w:p>
        </w:tc>
        <w:tc>
          <w:tcPr>
            <w:tcW w:w="0" w:type="auto"/>
            <w:tcBorders>
              <w:top w:val="outset" w:sz="6" w:space="0" w:color="auto"/>
              <w:left w:val="outset" w:sz="6" w:space="0" w:color="auto"/>
              <w:bottom w:val="outset" w:sz="6" w:space="0" w:color="auto"/>
              <w:right w:val="outset" w:sz="6" w:space="0" w:color="auto"/>
            </w:tcBorders>
            <w:vAlign w:val="center"/>
            <w:hideMark/>
          </w:tcPr>
          <w:p w14:paraId="42183F31" w14:textId="77777777" w:rsidR="006D29EE" w:rsidRDefault="006D29EE">
            <w:pPr>
              <w:rPr>
                <w:rFonts w:eastAsia="Times New Roman"/>
              </w:rPr>
            </w:pPr>
            <w:r>
              <w:rPr>
                <w:rFonts w:eastAsia="Times New Roman"/>
              </w:rPr>
              <w:t xml:space="preserve">The React apps will talk </w:t>
            </w:r>
            <w:r>
              <w:rPr>
                <w:rFonts w:eastAsia="Times New Roman"/>
              </w:rPr>
              <w:t>only to the .NET API. This is the single biggest architectural change — see Security section.</w:t>
            </w:r>
          </w:p>
        </w:tc>
      </w:tr>
    </w:tbl>
    <w:p w14:paraId="3DAF64DA" w14:textId="77777777" w:rsidR="006D29EE" w:rsidRDefault="006D29EE">
      <w:pPr>
        <w:pStyle w:val="Heading2"/>
        <w:rPr>
          <w:rFonts w:ascii="Calibri" w:eastAsia="Times New Roman" w:hAnsi="Calibri" w:cs="Calibri"/>
        </w:rPr>
      </w:pPr>
      <w:r>
        <w:rPr>
          <w:rFonts w:ascii="Calibri" w:eastAsia="Times New Roman" w:hAnsi="Calibri" w:cs="Calibri"/>
        </w:rPr>
        <w:t>2. High-Level Architecture</w:t>
      </w:r>
    </w:p>
    <w:p w14:paraId="0CBCE5ED" w14:textId="77777777" w:rsidR="006D29EE" w:rsidRDefault="006D29EE">
      <w:pPr>
        <w:pStyle w:val="NormalWeb"/>
        <w:rPr>
          <w:rFonts w:ascii="Calibri" w:hAnsi="Calibri" w:cs="Calibri"/>
        </w:rPr>
      </w:pPr>
      <w:r>
        <w:rPr>
          <w:rFonts w:ascii="Calibri" w:hAnsi="Calibri" w:cs="Calibri"/>
        </w:rPr>
        <w:t>Three tiers, one direction of trust:</w:t>
      </w:r>
    </w:p>
    <w:p w14:paraId="45CD69B3" w14:textId="77777777" w:rsidR="006D29EE" w:rsidRDefault="006D29EE">
      <w:pPr>
        <w:numPr>
          <w:ilvl w:val="0"/>
          <w:numId w:val="1"/>
        </w:numPr>
        <w:spacing w:before="100" w:beforeAutospacing="1" w:after="100" w:afterAutospacing="1"/>
        <w:rPr>
          <w:rFonts w:ascii="Calibri" w:eastAsia="Times New Roman" w:hAnsi="Calibri" w:cs="Calibri"/>
        </w:rPr>
      </w:pPr>
      <w:r>
        <w:rPr>
          <w:rFonts w:ascii="Calibri" w:eastAsia="Times New Roman" w:hAnsi="Calibri" w:cs="Calibri"/>
          <w:b/>
          <w:bCs/>
        </w:rPr>
        <w:t>React + TypeScript apps</w:t>
      </w:r>
      <w:r>
        <w:rPr>
          <w:rFonts w:ascii="Calibri" w:eastAsia="Times New Roman" w:hAnsi="Calibri" w:cs="Calibri"/>
        </w:rPr>
        <w:t xml:space="preserve"> (Buyer / Seller / Agency / Partner / Admin) — call only the .NET API, using a Bearer token for authentication.</w:t>
      </w:r>
    </w:p>
    <w:p w14:paraId="745CBF22" w14:textId="77777777" w:rsidR="006D29EE" w:rsidRDefault="006D29EE">
      <w:pPr>
        <w:numPr>
          <w:ilvl w:val="0"/>
          <w:numId w:val="1"/>
        </w:numPr>
        <w:spacing w:before="100" w:beforeAutospacing="1" w:after="100" w:afterAutospacing="1"/>
        <w:rPr>
          <w:rFonts w:ascii="Calibri" w:eastAsia="Times New Roman" w:hAnsi="Calibri" w:cs="Calibri"/>
        </w:rPr>
      </w:pPr>
      <w:r>
        <w:rPr>
          <w:rFonts w:ascii="Calibri" w:eastAsia="Times New Roman" w:hAnsi="Calibri" w:cs="Calibri"/>
          <w:b/>
          <w:bCs/>
        </w:rPr>
        <w:t>.NET 10 Web API (Clean Architecture)</w:t>
      </w:r>
      <w:r>
        <w:rPr>
          <w:rFonts w:ascii="Calibri" w:eastAsia="Times New Roman" w:hAnsi="Calibri" w:cs="Calibri"/>
        </w:rPr>
        <w:t xml:space="preserve"> </w:t>
      </w:r>
      <w:r>
        <w:rPr>
          <w:rFonts w:ascii="Calibri" w:eastAsia="Times New Roman" w:hAnsi="Calibri" w:cs="Calibri"/>
        </w:rPr>
        <w:t>— Presentation (controllers, DTOs) → Application (use cases, validation, business rules) → Domain (entities, deal state machine — no external dependencies) → Infrastructure (EF Core, Supabase Auth token validation, email).</w:t>
      </w:r>
    </w:p>
    <w:p w14:paraId="251D63A7" w14:textId="77777777" w:rsidR="006D29EE" w:rsidRDefault="006D29EE">
      <w:pPr>
        <w:numPr>
          <w:ilvl w:val="0"/>
          <w:numId w:val="1"/>
        </w:numPr>
        <w:spacing w:before="100" w:beforeAutospacing="1" w:after="100" w:afterAutospacing="1"/>
        <w:rPr>
          <w:rFonts w:ascii="Calibri" w:eastAsia="Times New Roman" w:hAnsi="Calibri" w:cs="Calibri"/>
        </w:rPr>
      </w:pPr>
      <w:r>
        <w:rPr>
          <w:rFonts w:ascii="Calibri" w:eastAsia="Times New Roman" w:hAnsi="Calibri" w:cs="Calibri"/>
          <w:b/>
          <w:bCs/>
        </w:rPr>
        <w:t>Supabase Postgres</w:t>
      </w:r>
      <w:r>
        <w:rPr>
          <w:rFonts w:ascii="Calibri" w:eastAsia="Times New Roman" w:hAnsi="Calibri" w:cs="Calibri"/>
        </w:rPr>
        <w:t xml:space="preserve"> — database only from this point forward. Supabase Auth still issues the login token the API verifies; Row-Level Security stays on as a safety net, not the primary gate.</w:t>
      </w:r>
    </w:p>
    <w:p w14:paraId="7384D183" w14:textId="77777777" w:rsidR="006D29EE" w:rsidRDefault="006D29EE">
      <w:pPr>
        <w:pStyle w:val="NormalWeb"/>
        <w:rPr>
          <w:rFonts w:ascii="Calibri" w:hAnsi="Calibri" w:cs="Calibri"/>
        </w:rPr>
      </w:pPr>
      <w:r>
        <w:rPr>
          <w:rFonts w:ascii="Calibri" w:hAnsi="Calibri" w:cs="Calibri"/>
          <w:b/>
          <w:bCs/>
        </w:rPr>
        <w:t>Key shift:</w:t>
      </w:r>
      <w:r>
        <w:rPr>
          <w:rFonts w:ascii="Calibri" w:hAnsi="Calibri" w:cs="Calibri"/>
        </w:rPr>
        <w:t xml:space="preserve"> today the browser is the client of Supabase, enforced by database security rules. After migration, the .NET API is the only client of Supabase, and the API becomes the enforcement point for all business and security rules.</w:t>
      </w:r>
    </w:p>
    <w:p w14:paraId="4966723F" w14:textId="77777777" w:rsidR="006D29EE" w:rsidRDefault="006D29EE">
      <w:pPr>
        <w:pStyle w:val="Heading2"/>
        <w:rPr>
          <w:rFonts w:ascii="Calibri" w:eastAsia="Times New Roman" w:hAnsi="Calibri" w:cs="Calibri"/>
        </w:rPr>
      </w:pPr>
      <w:r>
        <w:rPr>
          <w:rFonts w:ascii="Calibri" w:eastAsia="Times New Roman" w:hAnsi="Calibri" w:cs="Calibri"/>
        </w:rPr>
        <w:t>3. Solution / Folder Structure</w:t>
      </w:r>
    </w:p>
    <w:p w14:paraId="7A39A4D6" w14:textId="77777777" w:rsidR="006D29EE" w:rsidRDefault="006D29EE">
      <w:pPr>
        <w:pStyle w:val="HTMLPreformatted"/>
        <w:shd w:val="clear" w:color="auto" w:fill="F2F2F2"/>
        <w:rPr>
          <w:rFonts w:ascii="Consolas" w:hAnsi="Consolas"/>
        </w:rPr>
      </w:pPr>
    </w:p>
    <w:p w14:paraId="1075B0AA" w14:textId="77777777" w:rsidR="006D29EE" w:rsidRDefault="006D29EE">
      <w:pPr>
        <w:pStyle w:val="HTMLPreformatted"/>
        <w:shd w:val="clear" w:color="auto" w:fill="F2F2F2"/>
        <w:rPr>
          <w:rFonts w:ascii="Consolas" w:hAnsi="Consolas"/>
        </w:rPr>
      </w:pPr>
      <w:r>
        <w:rPr>
          <w:rFonts w:ascii="Consolas" w:hAnsi="Consolas"/>
        </w:rPr>
        <w:t>Thrivts.sln</w:t>
      </w:r>
    </w:p>
    <w:p w14:paraId="0E07143F" w14:textId="77777777" w:rsidR="006D29EE" w:rsidRDefault="006D29EE">
      <w:pPr>
        <w:pStyle w:val="HTMLPreformatted"/>
        <w:shd w:val="clear" w:color="auto" w:fill="F2F2F2"/>
        <w:rPr>
          <w:rFonts w:ascii="Consolas" w:hAnsi="Consolas"/>
        </w:rPr>
      </w:pPr>
      <w:r>
        <w:rPr>
          <w:rFonts w:ascii="Consolas" w:hAnsi="Consolas"/>
        </w:rPr>
        <w:t>src/</w:t>
      </w:r>
    </w:p>
    <w:p w14:paraId="40A067FD" w14:textId="77777777" w:rsidR="006D29EE" w:rsidRDefault="006D29EE">
      <w:pPr>
        <w:pStyle w:val="HTMLPreformatted"/>
        <w:shd w:val="clear" w:color="auto" w:fill="F2F2F2"/>
        <w:rPr>
          <w:rFonts w:ascii="Consolas" w:hAnsi="Consolas"/>
        </w:rPr>
      </w:pPr>
      <w:r>
        <w:rPr>
          <w:rFonts w:ascii="Consolas" w:hAnsi="Consolas"/>
        </w:rPr>
        <w:t xml:space="preserve">  Thrivts.Domain/          Entities, enums, deal state machine, commission rules</w:t>
      </w:r>
    </w:p>
    <w:p w14:paraId="64C22A1A" w14:textId="77777777" w:rsidR="006D29EE" w:rsidRDefault="006D29EE">
      <w:pPr>
        <w:pStyle w:val="HTMLPreformatted"/>
        <w:shd w:val="clear" w:color="auto" w:fill="F2F2F2"/>
        <w:rPr>
          <w:rFonts w:ascii="Consolas" w:hAnsi="Consolas"/>
        </w:rPr>
      </w:pPr>
      <w:r>
        <w:rPr>
          <w:rFonts w:ascii="Consolas" w:hAnsi="Consolas"/>
        </w:rPr>
        <w:t xml:space="preserve">  Thrivts.Application/     Use cases (Commands/Queries), DTOs, validation</w:t>
      </w:r>
    </w:p>
    <w:p w14:paraId="07D61572" w14:textId="77777777" w:rsidR="006D29EE" w:rsidRDefault="006D29EE">
      <w:pPr>
        <w:pStyle w:val="HTMLPreformatted"/>
        <w:shd w:val="clear" w:color="auto" w:fill="F2F2F2"/>
        <w:rPr>
          <w:rFonts w:ascii="Consolas" w:hAnsi="Consolas"/>
        </w:rPr>
      </w:pPr>
      <w:r>
        <w:rPr>
          <w:rFonts w:ascii="Consolas" w:hAnsi="Consolas"/>
        </w:rPr>
        <w:t xml:space="preserve">  Thrivts.Infrastructure/  EF Core + Npgsql, Supabase Auth token validation, email</w:t>
      </w:r>
    </w:p>
    <w:p w14:paraId="3B015C67" w14:textId="77777777" w:rsidR="006D29EE" w:rsidRDefault="006D29EE">
      <w:pPr>
        <w:pStyle w:val="HTMLPreformatted"/>
        <w:shd w:val="clear" w:color="auto" w:fill="F2F2F2"/>
        <w:rPr>
          <w:rFonts w:ascii="Consolas" w:hAnsi="Consolas"/>
        </w:rPr>
      </w:pPr>
      <w:r>
        <w:rPr>
          <w:rFonts w:ascii="Consolas" w:hAnsi="Consolas"/>
        </w:rPr>
        <w:t xml:space="preserve">  Thrivts.Api/              Controllers, middleware, Program.cs</w:t>
      </w:r>
    </w:p>
    <w:p w14:paraId="3E42B8C7" w14:textId="77777777" w:rsidR="006D29EE" w:rsidRDefault="006D29EE">
      <w:pPr>
        <w:pStyle w:val="HTMLPreformatted"/>
        <w:shd w:val="clear" w:color="auto" w:fill="F2F2F2"/>
        <w:rPr>
          <w:rFonts w:ascii="Consolas" w:hAnsi="Consolas"/>
        </w:rPr>
      </w:pPr>
    </w:p>
    <w:p w14:paraId="20B79093" w14:textId="77777777" w:rsidR="006D29EE" w:rsidRDefault="006D29EE">
      <w:pPr>
        <w:pStyle w:val="HTMLPreformatted"/>
        <w:shd w:val="clear" w:color="auto" w:fill="F2F2F2"/>
        <w:rPr>
          <w:rFonts w:ascii="Consolas" w:hAnsi="Consolas"/>
        </w:rPr>
      </w:pPr>
      <w:r>
        <w:rPr>
          <w:rFonts w:ascii="Consolas" w:hAnsi="Consolas"/>
        </w:rPr>
        <w:t>tests/</w:t>
      </w:r>
    </w:p>
    <w:p w14:paraId="3D32088E" w14:textId="77777777" w:rsidR="006D29EE" w:rsidRDefault="006D29EE">
      <w:pPr>
        <w:pStyle w:val="HTMLPreformatted"/>
        <w:shd w:val="clear" w:color="auto" w:fill="F2F2F2"/>
        <w:rPr>
          <w:rFonts w:ascii="Consolas" w:hAnsi="Consolas"/>
        </w:rPr>
      </w:pPr>
      <w:r>
        <w:rPr>
          <w:rFonts w:ascii="Consolas" w:hAnsi="Consolas"/>
        </w:rPr>
        <w:t xml:space="preserve">  Thrivts.Domain.Tests / Application.Tests / Infrastructure.Tests / Api.Tests</w:t>
      </w:r>
    </w:p>
    <w:p w14:paraId="437F0F6B" w14:textId="77777777" w:rsidR="006D29EE" w:rsidRDefault="006D29EE">
      <w:pPr>
        <w:pStyle w:val="HTMLPreformatted"/>
        <w:shd w:val="clear" w:color="auto" w:fill="F2F2F2"/>
        <w:rPr>
          <w:rFonts w:ascii="Consolas" w:hAnsi="Consolas"/>
        </w:rPr>
      </w:pPr>
    </w:p>
    <w:p w14:paraId="7C7F61EC" w14:textId="77777777" w:rsidR="006D29EE" w:rsidRDefault="006D29EE">
      <w:pPr>
        <w:pStyle w:val="HTMLPreformatted"/>
        <w:shd w:val="clear" w:color="auto" w:fill="F2F2F2"/>
        <w:rPr>
          <w:rFonts w:ascii="Consolas" w:hAnsi="Consolas"/>
        </w:rPr>
      </w:pPr>
      <w:r>
        <w:rPr>
          <w:rFonts w:ascii="Consolas" w:hAnsi="Consolas"/>
        </w:rPr>
        <w:t>frontend/</w:t>
      </w:r>
    </w:p>
    <w:p w14:paraId="3DDC83B6" w14:textId="77777777" w:rsidR="006D29EE" w:rsidRDefault="006D29EE">
      <w:pPr>
        <w:pStyle w:val="HTMLPreformatted"/>
        <w:shd w:val="clear" w:color="auto" w:fill="F2F2F2"/>
        <w:rPr>
          <w:rFonts w:ascii="Consolas" w:hAnsi="Consolas"/>
        </w:rPr>
      </w:pPr>
      <w:r>
        <w:rPr>
          <w:rFonts w:ascii="Consolas" w:hAnsi="Consolas"/>
        </w:rPr>
        <w:t xml:space="preserve">  apps/       admin / buyer / seller / agency / partners</w:t>
      </w:r>
    </w:p>
    <w:p w14:paraId="4FB5A306" w14:textId="77777777" w:rsidR="006D29EE" w:rsidRDefault="006D29EE">
      <w:pPr>
        <w:pStyle w:val="HTMLPreformatted"/>
        <w:shd w:val="clear" w:color="auto" w:fill="F2F2F2"/>
        <w:rPr>
          <w:rFonts w:ascii="Consolas" w:hAnsi="Consolas"/>
        </w:rPr>
      </w:pPr>
      <w:r>
        <w:rPr>
          <w:rFonts w:ascii="Consolas" w:hAnsi="Consolas"/>
        </w:rPr>
        <w:t xml:space="preserve">  packages/</w:t>
      </w:r>
    </w:p>
    <w:p w14:paraId="063C0915" w14:textId="77777777" w:rsidR="006D29EE" w:rsidRDefault="006D29EE">
      <w:pPr>
        <w:pStyle w:val="HTMLPreformatted"/>
        <w:shd w:val="clear" w:color="auto" w:fill="F2F2F2"/>
        <w:rPr>
          <w:rFonts w:ascii="Consolas" w:hAnsi="Consolas"/>
        </w:rPr>
      </w:pPr>
      <w:r>
        <w:rPr>
          <w:rFonts w:ascii="Consolas" w:hAnsi="Consolas"/>
        </w:rPr>
        <w:t xml:space="preserve">    api-client/   generated from the .NET API spec</w:t>
      </w:r>
    </w:p>
    <w:p w14:paraId="48350D52" w14:textId="77777777" w:rsidR="006D29EE" w:rsidRDefault="006D29EE">
      <w:pPr>
        <w:pStyle w:val="HTMLPreformatted"/>
        <w:shd w:val="clear" w:color="auto" w:fill="F2F2F2"/>
        <w:rPr>
          <w:rFonts w:ascii="Consolas" w:hAnsi="Consolas"/>
        </w:rPr>
      </w:pPr>
      <w:r>
        <w:rPr>
          <w:rFonts w:ascii="Consolas" w:hAnsi="Consolas"/>
        </w:rPr>
        <w:t xml:space="preserve">    ui/           </w:t>
      </w:r>
      <w:r>
        <w:rPr>
          <w:rFonts w:ascii="Consolas" w:hAnsi="Consolas"/>
        </w:rPr>
        <w:t>shared components (replaces code copy-pasted across 5 portals today)</w:t>
      </w:r>
    </w:p>
    <w:p w14:paraId="364CE073" w14:textId="77777777" w:rsidR="006D29EE" w:rsidRDefault="006D29EE">
      <w:pPr>
        <w:pStyle w:val="NormalWeb"/>
        <w:rPr>
          <w:rFonts w:ascii="Calibri" w:hAnsi="Calibri" w:cs="Calibri"/>
        </w:rPr>
      </w:pPr>
      <w:r>
        <w:rPr>
          <w:rFonts w:ascii="Calibri" w:hAnsi="Calibri" w:cs="Calibri"/>
          <w:b/>
          <w:bCs/>
        </w:rPr>
        <w:t>Dependency rule (non-negotiable):</w:t>
      </w:r>
      <w:r>
        <w:rPr>
          <w:rFonts w:ascii="Calibri" w:hAnsi="Calibri" w:cs="Calibri"/>
        </w:rPr>
        <w:t xml:space="preserve"> Domain depends on nothing. Application depends only on Domain. Infrastructure and Api depend on Application + Domain. This keeps business logic (deal transitions, commission math, the buyer/seller identity rule) testable without a live database.</w:t>
      </w:r>
    </w:p>
    <w:p w14:paraId="3E4B7791" w14:textId="77777777" w:rsidR="006D29EE" w:rsidRDefault="006D29EE">
      <w:pPr>
        <w:pStyle w:val="Heading2"/>
        <w:rPr>
          <w:rFonts w:ascii="Calibri" w:eastAsia="Times New Roman" w:hAnsi="Calibri" w:cs="Calibri"/>
        </w:rPr>
      </w:pPr>
      <w:r>
        <w:rPr>
          <w:rFonts w:ascii="Calibri" w:eastAsia="Times New Roman" w:hAnsi="Calibri" w:cs="Calibri"/>
        </w:rPr>
        <w:t>4. Domain Layer</w:t>
      </w:r>
    </w:p>
    <w:p w14:paraId="7036BCB5" w14:textId="77777777" w:rsidR="006D29EE" w:rsidRDefault="006D29EE">
      <w:pPr>
        <w:numPr>
          <w:ilvl w:val="0"/>
          <w:numId w:val="2"/>
        </w:numPr>
        <w:spacing w:before="100" w:beforeAutospacing="1" w:after="100" w:afterAutospacing="1"/>
        <w:rPr>
          <w:rFonts w:ascii="Calibri" w:eastAsia="Times New Roman" w:hAnsi="Calibri" w:cs="Calibri"/>
        </w:rPr>
      </w:pPr>
      <w:r>
        <w:rPr>
          <w:rFonts w:ascii="Calibri" w:eastAsia="Times New Roman" w:hAnsi="Calibri" w:cs="Calibri"/>
        </w:rPr>
        <w:t>Plain C# entities mirroring existing tables: profiles, buyers, sellers, agencies, influencers, requirements, deals, deal_allocations, commissions, influencer_commissions, disputes, seller_responses, requirement_seller_offers, offer_rounds, message_threads, categories, audit_log, exchange_rates, shipping_rates.</w:t>
      </w:r>
    </w:p>
    <w:p w14:paraId="7EF24D15" w14:textId="77777777" w:rsidR="006D29EE" w:rsidRDefault="006D29EE">
      <w:pPr>
        <w:numPr>
          <w:ilvl w:val="0"/>
          <w:numId w:val="2"/>
        </w:numPr>
        <w:spacing w:before="100" w:beforeAutospacing="1" w:after="100" w:afterAutospacing="1"/>
        <w:rPr>
          <w:rFonts w:ascii="Calibri" w:eastAsia="Times New Roman" w:hAnsi="Calibri" w:cs="Calibri"/>
        </w:rPr>
      </w:pPr>
      <w:r>
        <w:rPr>
          <w:rStyle w:val="HTMLCode"/>
        </w:rPr>
        <w:t>Deal</w:t>
      </w:r>
      <w:r>
        <w:rPr>
          <w:rFonts w:ascii="Calibri" w:eastAsia="Times New Roman" w:hAnsi="Calibri" w:cs="Calibri"/>
        </w:rPr>
        <w:t xml:space="preserve"> owns the state machine: match → confirmed → paid → in_fulfillment → dispatched → delivered → settled, with cancelled/disputed off-ramps. Invalid transitions throw an error rather than silently failing.</w:t>
      </w:r>
    </w:p>
    <w:p w14:paraId="30841D09" w14:textId="77777777" w:rsidR="006D29EE" w:rsidRDefault="006D29EE">
      <w:pPr>
        <w:numPr>
          <w:ilvl w:val="0"/>
          <w:numId w:val="2"/>
        </w:numPr>
        <w:spacing w:before="100" w:beforeAutospacing="1" w:after="100" w:afterAutospacing="1"/>
        <w:rPr>
          <w:rFonts w:ascii="Calibri" w:eastAsia="Times New Roman" w:hAnsi="Calibri" w:cs="Calibri"/>
        </w:rPr>
      </w:pPr>
      <w:r>
        <w:rPr>
          <w:rFonts w:ascii="Calibri" w:eastAsia="Times New Roman" w:hAnsi="Calibri" w:cs="Calibri"/>
        </w:rPr>
        <w:t>Commission rules (agency % of spread, influencer % for 12 months, accrue-on-delivery / release-on-settlement) live in a dedicated calculator class — exact percentages to be reconfirmed with the business owner before final implementation.</w:t>
      </w:r>
    </w:p>
    <w:p w14:paraId="575AA63A" w14:textId="77777777" w:rsidR="006D29EE" w:rsidRDefault="006D29EE">
      <w:pPr>
        <w:pStyle w:val="Heading2"/>
        <w:rPr>
          <w:rFonts w:ascii="Calibri" w:eastAsia="Times New Roman" w:hAnsi="Calibri" w:cs="Calibri"/>
        </w:rPr>
      </w:pPr>
      <w:r>
        <w:rPr>
          <w:rFonts w:ascii="Calibri" w:eastAsia="Times New Roman" w:hAnsi="Calibri" w:cs="Calibri"/>
        </w:rPr>
        <w:t>5. Application Layer — Business Logic</w:t>
      </w:r>
    </w:p>
    <w:p w14:paraId="4BA7F59B" w14:textId="77777777" w:rsidR="006D29EE" w:rsidRDefault="006D29EE">
      <w:pPr>
        <w:pStyle w:val="NormalWeb"/>
        <w:rPr>
          <w:rFonts w:ascii="Calibri" w:hAnsi="Calibri" w:cs="Calibri"/>
        </w:rPr>
      </w:pPr>
      <w:r>
        <w:rPr>
          <w:rFonts w:ascii="Calibri" w:hAnsi="Calibri" w:cs="Calibri"/>
        </w:rPr>
        <w:t>Every existing database function gets a new, testable home here:</w:t>
      </w:r>
    </w:p>
    <w:tbl>
      <w:tblPr>
        <w:tblW w:w="5000" w:type="pct"/>
        <w:tblBorders>
          <w:top w:val="outset" w:sz="6" w:space="0" w:color="auto"/>
          <w:left w:val="outset" w:sz="6" w:space="0" w:color="auto"/>
          <w:bottom w:val="outset" w:sz="6" w:space="0" w:color="auto"/>
          <w:right w:val="outset" w:sz="6" w:space="0" w:color="auto"/>
        </w:tblBorders>
        <w:tblCellMar>
          <w:top w:w="90" w:type="dxa"/>
          <w:left w:w="90" w:type="dxa"/>
          <w:bottom w:w="90" w:type="dxa"/>
          <w:right w:w="90" w:type="dxa"/>
        </w:tblCellMar>
        <w:tblLook w:val="04A0" w:firstRow="1" w:lastRow="0" w:firstColumn="1" w:lastColumn="0" w:noHBand="0" w:noVBand="1"/>
      </w:tblPr>
      <w:tblGrid>
        <w:gridCol w:w="4796"/>
        <w:gridCol w:w="4548"/>
      </w:tblGrid>
      <w:tr w:rsidR="00000000" w14:paraId="15217DD0" w14:textId="77777777">
        <w:tc>
          <w:tcPr>
            <w:tcW w:w="0" w:type="auto"/>
            <w:tcBorders>
              <w:top w:val="outset" w:sz="6" w:space="0" w:color="auto"/>
              <w:left w:val="outset" w:sz="6" w:space="0" w:color="auto"/>
              <w:bottom w:val="outset" w:sz="6" w:space="0" w:color="auto"/>
              <w:right w:val="outset" w:sz="6" w:space="0" w:color="auto"/>
            </w:tcBorders>
            <w:shd w:val="clear" w:color="auto" w:fill="1F4E78"/>
            <w:vAlign w:val="center"/>
            <w:hideMark/>
          </w:tcPr>
          <w:p w14:paraId="058622CA" w14:textId="77777777" w:rsidR="006D29EE" w:rsidRDefault="006D29EE">
            <w:pPr>
              <w:jc w:val="center"/>
              <w:rPr>
                <w:rFonts w:eastAsia="Times New Roman"/>
                <w:b/>
                <w:bCs/>
                <w:color w:val="FFFFFF"/>
              </w:rPr>
            </w:pPr>
            <w:r>
              <w:rPr>
                <w:rFonts w:eastAsia="Times New Roman"/>
                <w:b/>
                <w:bCs/>
                <w:color w:val="FFFFFF"/>
              </w:rPr>
              <w:t>Existing DB Function</w:t>
            </w:r>
          </w:p>
        </w:tc>
        <w:tc>
          <w:tcPr>
            <w:tcW w:w="0" w:type="auto"/>
            <w:tcBorders>
              <w:top w:val="outset" w:sz="6" w:space="0" w:color="auto"/>
              <w:left w:val="outset" w:sz="6" w:space="0" w:color="auto"/>
              <w:bottom w:val="outset" w:sz="6" w:space="0" w:color="auto"/>
              <w:right w:val="outset" w:sz="6" w:space="0" w:color="auto"/>
            </w:tcBorders>
            <w:shd w:val="clear" w:color="auto" w:fill="1F4E78"/>
            <w:vAlign w:val="center"/>
            <w:hideMark/>
          </w:tcPr>
          <w:p w14:paraId="05F14CF1" w14:textId="77777777" w:rsidR="006D29EE" w:rsidRDefault="006D29EE">
            <w:pPr>
              <w:jc w:val="center"/>
              <w:rPr>
                <w:rFonts w:eastAsia="Times New Roman"/>
                <w:b/>
                <w:bCs/>
                <w:color w:val="FFFFFF"/>
              </w:rPr>
            </w:pPr>
            <w:r>
              <w:rPr>
                <w:rFonts w:eastAsia="Times New Roman"/>
                <w:b/>
                <w:bCs/>
                <w:color w:val="FFFFFF"/>
              </w:rPr>
              <w:t>New Home</w:t>
            </w:r>
          </w:p>
        </w:tc>
      </w:tr>
      <w:tr w:rsidR="00000000" w14:paraId="708D022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0E45A3F" w14:textId="77777777" w:rsidR="006D29EE" w:rsidRDefault="006D29EE">
            <w:pPr>
              <w:rPr>
                <w:rFonts w:eastAsia="Times New Roman"/>
              </w:rPr>
            </w:pPr>
            <w:r>
              <w:rPr>
                <w:rFonts w:eastAsia="Times New Roman"/>
              </w:rPr>
              <w:t>get_public_activity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1366F9E2" w14:textId="77777777" w:rsidR="006D29EE" w:rsidRDefault="006D29EE">
            <w:pPr>
              <w:rPr>
                <w:rFonts w:eastAsia="Times New Roman"/>
              </w:rPr>
            </w:pPr>
            <w:r>
              <w:rPr>
                <w:rFonts w:eastAsia="Times New Roman"/>
              </w:rPr>
              <w:t>Public activity query — anonymous, rate-limited</w:t>
            </w:r>
          </w:p>
        </w:tc>
      </w:tr>
      <w:tr w:rsidR="00000000" w14:paraId="4F7A607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C989511" w14:textId="77777777" w:rsidR="006D29EE" w:rsidRDefault="006D29EE">
            <w:pPr>
              <w:rPr>
                <w:rFonts w:eastAsia="Times New Roman"/>
              </w:rPr>
            </w:pPr>
            <w:r>
              <w:rPr>
                <w:rFonts w:eastAsia="Times New Roman"/>
              </w:rPr>
              <w:t>submit_partner_application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349B939B" w14:textId="77777777" w:rsidR="006D29EE" w:rsidRDefault="006D29EE">
            <w:pPr>
              <w:rPr>
                <w:rFonts w:eastAsia="Times New Roman"/>
              </w:rPr>
            </w:pPr>
            <w:r>
              <w:rPr>
                <w:rFonts w:eastAsia="Times New Roman"/>
              </w:rPr>
              <w:t>Partner application command — anti-spam checks enforced server-side, not just in the UI</w:t>
            </w:r>
          </w:p>
        </w:tc>
      </w:tr>
      <w:tr w:rsidR="00000000" w14:paraId="45F9CB2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4D3E085" w14:textId="77777777" w:rsidR="006D29EE" w:rsidRDefault="006D29EE">
            <w:pPr>
              <w:rPr>
                <w:rFonts w:eastAsia="Times New Roman"/>
              </w:rPr>
            </w:pPr>
            <w:r>
              <w:rPr>
                <w:rFonts w:eastAsia="Times New Roman"/>
              </w:rPr>
              <w:t>apply_referral_code / apply_agency_ref</w:t>
            </w:r>
          </w:p>
        </w:tc>
        <w:tc>
          <w:tcPr>
            <w:tcW w:w="0" w:type="auto"/>
            <w:tcBorders>
              <w:top w:val="outset" w:sz="6" w:space="0" w:color="auto"/>
              <w:left w:val="outset" w:sz="6" w:space="0" w:color="auto"/>
              <w:bottom w:val="outset" w:sz="6" w:space="0" w:color="auto"/>
              <w:right w:val="outset" w:sz="6" w:space="0" w:color="auto"/>
            </w:tcBorders>
            <w:vAlign w:val="center"/>
            <w:hideMark/>
          </w:tcPr>
          <w:p w14:paraId="6F590AA2" w14:textId="77777777" w:rsidR="006D29EE" w:rsidRDefault="006D29EE">
            <w:pPr>
              <w:rPr>
                <w:rFonts w:eastAsia="Times New Roman"/>
              </w:rPr>
            </w:pPr>
            <w:r>
              <w:rPr>
                <w:rFonts w:eastAsia="Times New Roman"/>
              </w:rPr>
              <w:t>Referral attribution commands</w:t>
            </w:r>
          </w:p>
        </w:tc>
      </w:tr>
      <w:tr w:rsidR="00000000" w14:paraId="0CBAB7F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AF3A35D" w14:textId="77777777" w:rsidR="006D29EE" w:rsidRDefault="006D29EE">
            <w:pPr>
              <w:rPr>
                <w:rFonts w:eastAsia="Times New Roman"/>
              </w:rPr>
            </w:pPr>
            <w:r>
              <w:rPr>
                <w:rFonts w:eastAsia="Times New Roman"/>
              </w:rPr>
              <w:t>accept_seller_offer / accept_seller_quote</w:t>
            </w:r>
          </w:p>
        </w:tc>
        <w:tc>
          <w:tcPr>
            <w:tcW w:w="0" w:type="auto"/>
            <w:tcBorders>
              <w:top w:val="outset" w:sz="6" w:space="0" w:color="auto"/>
              <w:left w:val="outset" w:sz="6" w:space="0" w:color="auto"/>
              <w:bottom w:val="outset" w:sz="6" w:space="0" w:color="auto"/>
              <w:right w:val="outset" w:sz="6" w:space="0" w:color="auto"/>
            </w:tcBorders>
            <w:vAlign w:val="center"/>
            <w:hideMark/>
          </w:tcPr>
          <w:p w14:paraId="0FCED47F" w14:textId="77777777" w:rsidR="006D29EE" w:rsidRDefault="006D29EE">
            <w:pPr>
              <w:rPr>
                <w:rFonts w:eastAsia="Times New Roman"/>
              </w:rPr>
            </w:pPr>
            <w:r>
              <w:rPr>
                <w:rFonts w:eastAsia="Times New Roman"/>
              </w:rPr>
              <w:t>Seller offer commands</w:t>
            </w:r>
          </w:p>
        </w:tc>
      </w:tr>
      <w:tr w:rsidR="00000000" w14:paraId="7584AD0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23088E5" w14:textId="77777777" w:rsidR="006D29EE" w:rsidRDefault="006D29EE">
            <w:pPr>
              <w:rPr>
                <w:rFonts w:eastAsia="Times New Roman"/>
              </w:rPr>
            </w:pPr>
            <w:r>
              <w:rPr>
                <w:rFonts w:eastAsia="Times New Roman"/>
              </w:rPr>
              <w:t>post_offer_round</w:t>
            </w:r>
          </w:p>
        </w:tc>
        <w:tc>
          <w:tcPr>
            <w:tcW w:w="0" w:type="auto"/>
            <w:tcBorders>
              <w:top w:val="outset" w:sz="6" w:space="0" w:color="auto"/>
              <w:left w:val="outset" w:sz="6" w:space="0" w:color="auto"/>
              <w:bottom w:val="outset" w:sz="6" w:space="0" w:color="auto"/>
              <w:right w:val="outset" w:sz="6" w:space="0" w:color="auto"/>
            </w:tcBorders>
            <w:vAlign w:val="center"/>
            <w:hideMark/>
          </w:tcPr>
          <w:p w14:paraId="4B00B74C" w14:textId="77777777" w:rsidR="006D29EE" w:rsidRDefault="006D29EE">
            <w:pPr>
              <w:rPr>
                <w:rFonts w:eastAsia="Times New Roman"/>
              </w:rPr>
            </w:pPr>
            <w:r>
              <w:rPr>
                <w:rFonts w:eastAsia="Times New Roman"/>
              </w:rPr>
              <w:t>Negotiation round command</w:t>
            </w:r>
          </w:p>
        </w:tc>
      </w:tr>
      <w:tr w:rsidR="00000000" w14:paraId="475DCED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DEFF91A" w14:textId="77777777" w:rsidR="006D29EE" w:rsidRDefault="006D29EE">
            <w:pPr>
              <w:rPr>
                <w:rFonts w:eastAsia="Times New Roman"/>
              </w:rPr>
            </w:pPr>
            <w:r>
              <w:rPr>
                <w:rFonts w:eastAsia="Times New Roman"/>
              </w:rPr>
              <w:lastRenderedPageBreak/>
              <w:t>get_agency_dashboard / get_influencer_overview</w:t>
            </w:r>
          </w:p>
        </w:tc>
        <w:tc>
          <w:tcPr>
            <w:tcW w:w="0" w:type="auto"/>
            <w:tcBorders>
              <w:top w:val="outset" w:sz="6" w:space="0" w:color="auto"/>
              <w:left w:val="outset" w:sz="6" w:space="0" w:color="auto"/>
              <w:bottom w:val="outset" w:sz="6" w:space="0" w:color="auto"/>
              <w:right w:val="outset" w:sz="6" w:space="0" w:color="auto"/>
            </w:tcBorders>
            <w:vAlign w:val="center"/>
            <w:hideMark/>
          </w:tcPr>
          <w:p w14:paraId="7A3466EF" w14:textId="77777777" w:rsidR="006D29EE" w:rsidRDefault="006D29EE">
            <w:pPr>
              <w:rPr>
                <w:rFonts w:eastAsia="Times New Roman"/>
              </w:rPr>
            </w:pPr>
            <w:r>
              <w:rPr>
                <w:rFonts w:eastAsia="Times New Roman"/>
              </w:rPr>
              <w:t>Dashboard queries, always scoped to the logged-in user — never a client-supplied id</w:t>
            </w:r>
          </w:p>
        </w:tc>
      </w:tr>
      <w:tr w:rsidR="00000000" w14:paraId="5DE7CCF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4D4FD39" w14:textId="77777777" w:rsidR="006D29EE" w:rsidRDefault="006D29EE">
            <w:pPr>
              <w:rPr>
                <w:rFonts w:eastAsia="Times New Roman"/>
              </w:rPr>
            </w:pPr>
            <w:r>
              <w:rPr>
                <w:rFonts w:eastAsia="Times New Roman"/>
              </w:rPr>
              <w:t>approve_seller, verify_seller_kyc, block/unblock/delete_seller</w:t>
            </w:r>
          </w:p>
        </w:tc>
        <w:tc>
          <w:tcPr>
            <w:tcW w:w="0" w:type="auto"/>
            <w:tcBorders>
              <w:top w:val="outset" w:sz="6" w:space="0" w:color="auto"/>
              <w:left w:val="outset" w:sz="6" w:space="0" w:color="auto"/>
              <w:bottom w:val="outset" w:sz="6" w:space="0" w:color="auto"/>
              <w:right w:val="outset" w:sz="6" w:space="0" w:color="auto"/>
            </w:tcBorders>
            <w:vAlign w:val="center"/>
            <w:hideMark/>
          </w:tcPr>
          <w:p w14:paraId="2A035BDC" w14:textId="77777777" w:rsidR="006D29EE" w:rsidRDefault="006D29EE">
            <w:pPr>
              <w:rPr>
                <w:rFonts w:eastAsia="Times New Roman"/>
              </w:rPr>
            </w:pPr>
            <w:r>
              <w:rPr>
                <w:rFonts w:eastAsia="Times New Roman"/>
              </w:rPr>
              <w:t>Admin seller-lifecycle commands, role-checked at both the API gate and inside the handler</w:t>
            </w:r>
          </w:p>
        </w:tc>
      </w:tr>
      <w:tr w:rsidR="00000000" w14:paraId="515341E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0AF8CA8" w14:textId="77777777" w:rsidR="006D29EE" w:rsidRDefault="006D29EE">
            <w:pPr>
              <w:rPr>
                <w:rFonts w:eastAsia="Times New Roman"/>
              </w:rPr>
            </w:pPr>
            <w:r>
              <w:rPr>
                <w:rFonts w:eastAsia="Times New Roman"/>
              </w:rPr>
              <w:t>admin_block_buyer / unblock / delete</w:t>
            </w:r>
          </w:p>
        </w:tc>
        <w:tc>
          <w:tcPr>
            <w:tcW w:w="0" w:type="auto"/>
            <w:tcBorders>
              <w:top w:val="outset" w:sz="6" w:space="0" w:color="auto"/>
              <w:left w:val="outset" w:sz="6" w:space="0" w:color="auto"/>
              <w:bottom w:val="outset" w:sz="6" w:space="0" w:color="auto"/>
              <w:right w:val="outset" w:sz="6" w:space="0" w:color="auto"/>
            </w:tcBorders>
            <w:vAlign w:val="center"/>
            <w:hideMark/>
          </w:tcPr>
          <w:p w14:paraId="09B3C9D9" w14:textId="77777777" w:rsidR="006D29EE" w:rsidRDefault="006D29EE">
            <w:pPr>
              <w:rPr>
                <w:rFonts w:eastAsia="Times New Roman"/>
              </w:rPr>
            </w:pPr>
            <w:r>
              <w:rPr>
                <w:rFonts w:eastAsia="Times New Roman"/>
              </w:rPr>
              <w:t>Admin buyer-lifecycle commands</w:t>
            </w:r>
          </w:p>
        </w:tc>
      </w:tr>
      <w:tr w:rsidR="00000000" w14:paraId="79FF428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213297C" w14:textId="77777777" w:rsidR="006D29EE" w:rsidRDefault="006D29EE">
            <w:pPr>
              <w:rPr>
                <w:rFonts w:eastAsia="Times New Roman"/>
              </w:rPr>
            </w:pPr>
            <w:r>
              <w:rPr>
                <w:rFonts w:eastAsia="Times New Roman"/>
              </w:rPr>
              <w:t>create_deal_from_match, advance_deal_status, admin_accept/decline_offer</w:t>
            </w:r>
          </w:p>
        </w:tc>
        <w:tc>
          <w:tcPr>
            <w:tcW w:w="0" w:type="auto"/>
            <w:tcBorders>
              <w:top w:val="outset" w:sz="6" w:space="0" w:color="auto"/>
              <w:left w:val="outset" w:sz="6" w:space="0" w:color="auto"/>
              <w:bottom w:val="outset" w:sz="6" w:space="0" w:color="auto"/>
              <w:right w:val="outset" w:sz="6" w:space="0" w:color="auto"/>
            </w:tcBorders>
            <w:vAlign w:val="center"/>
            <w:hideMark/>
          </w:tcPr>
          <w:p w14:paraId="342B3E3C" w14:textId="77777777" w:rsidR="006D29EE" w:rsidRDefault="006D29EE">
            <w:pPr>
              <w:rPr>
                <w:rFonts w:eastAsia="Times New Roman"/>
              </w:rPr>
            </w:pPr>
            <w:r>
              <w:rPr>
                <w:rFonts w:eastAsia="Times New Roman"/>
              </w:rPr>
              <w:t>Admin deal commands, calling into the Deal state machine</w:t>
            </w:r>
          </w:p>
        </w:tc>
      </w:tr>
      <w:tr w:rsidR="00000000" w14:paraId="1F34DAB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0A78DB4" w14:textId="77777777" w:rsidR="006D29EE" w:rsidRDefault="006D29EE">
            <w:pPr>
              <w:rPr>
                <w:rFonts w:eastAsia="Times New Roman"/>
              </w:rPr>
            </w:pPr>
            <w:r>
              <w:rPr>
                <w:rFonts w:eastAsia="Times New Roman"/>
              </w:rPr>
              <w:t>admin_create_agency / admin_create_influencer</w:t>
            </w:r>
          </w:p>
        </w:tc>
        <w:tc>
          <w:tcPr>
            <w:tcW w:w="0" w:type="auto"/>
            <w:tcBorders>
              <w:top w:val="outset" w:sz="6" w:space="0" w:color="auto"/>
              <w:left w:val="outset" w:sz="6" w:space="0" w:color="auto"/>
              <w:bottom w:val="outset" w:sz="6" w:space="0" w:color="auto"/>
              <w:right w:val="outset" w:sz="6" w:space="0" w:color="auto"/>
            </w:tcBorders>
            <w:vAlign w:val="center"/>
            <w:hideMark/>
          </w:tcPr>
          <w:p w14:paraId="46F424CE" w14:textId="77777777" w:rsidR="006D29EE" w:rsidRDefault="006D29EE">
            <w:pPr>
              <w:rPr>
                <w:rFonts w:eastAsia="Times New Roman"/>
              </w:rPr>
            </w:pPr>
            <w:r>
              <w:rPr>
                <w:rFonts w:eastAsia="Times New Roman"/>
              </w:rPr>
              <w:t>Onboarding commands</w:t>
            </w:r>
          </w:p>
        </w:tc>
      </w:tr>
    </w:tbl>
    <w:p w14:paraId="49B66256" w14:textId="77777777" w:rsidR="006D29EE" w:rsidRDefault="006D29EE">
      <w:pPr>
        <w:pStyle w:val="NormalWeb"/>
        <w:rPr>
          <w:rFonts w:ascii="Calibri" w:hAnsi="Calibri" w:cs="Calibri"/>
        </w:rPr>
      </w:pPr>
      <w:r>
        <w:rPr>
          <w:rFonts w:ascii="Calibri" w:hAnsi="Calibri" w:cs="Calibri"/>
        </w:rPr>
        <w:t>All input validation (currently only enforced in the browser in places) moves into this layer, so a rule is enforced no matter which app or device calls the API.</w:t>
      </w:r>
    </w:p>
    <w:p w14:paraId="74E75342" w14:textId="77777777" w:rsidR="006D29EE" w:rsidRDefault="006D29EE">
      <w:pPr>
        <w:pStyle w:val="Heading2"/>
        <w:rPr>
          <w:rFonts w:ascii="Calibri" w:eastAsia="Times New Roman" w:hAnsi="Calibri" w:cs="Calibri"/>
        </w:rPr>
      </w:pPr>
      <w:r>
        <w:rPr>
          <w:rFonts w:ascii="Calibri" w:eastAsia="Times New Roman" w:hAnsi="Calibri" w:cs="Calibri"/>
        </w:rPr>
        <w:t>6. Security — The Most Important Part of This Migration</w:t>
      </w:r>
    </w:p>
    <w:p w14:paraId="6971F8E5" w14:textId="77777777" w:rsidR="006D29EE" w:rsidRDefault="006D29EE">
      <w:pPr>
        <w:pStyle w:val="Heading3"/>
        <w:rPr>
          <w:rFonts w:ascii="Calibri" w:eastAsia="Times New Roman" w:hAnsi="Calibri" w:cs="Calibri"/>
        </w:rPr>
      </w:pPr>
      <w:r>
        <w:rPr>
          <w:rFonts w:ascii="Calibri" w:eastAsia="Times New Roman" w:hAnsi="Calibri" w:cs="Calibri"/>
        </w:rPr>
        <w:t>6.1 Authentication</w:t>
      </w:r>
    </w:p>
    <w:p w14:paraId="54665503" w14:textId="77777777" w:rsidR="006D29EE" w:rsidRDefault="006D29EE">
      <w:pPr>
        <w:pStyle w:val="NormalWeb"/>
        <w:rPr>
          <w:rFonts w:ascii="Calibri" w:hAnsi="Calibri" w:cs="Calibri"/>
        </w:rPr>
      </w:pPr>
      <w:r>
        <w:rPr>
          <w:rFonts w:ascii="Calibri" w:hAnsi="Calibri" w:cs="Calibri"/>
        </w:rPr>
        <w:t>Supabase Auth remains the identity provider — no need to rebuild login, signup, or password reset. The React app signs in via Supabase and receives a token; that token is sent to the .NET API on every request; the API verifies it using standard, well-supported .NET security middleware.</w:t>
      </w:r>
    </w:p>
    <w:p w14:paraId="74D83C89" w14:textId="77777777" w:rsidR="006D29EE" w:rsidRDefault="006D29EE">
      <w:pPr>
        <w:pStyle w:val="Heading3"/>
        <w:rPr>
          <w:rFonts w:ascii="Calibri" w:eastAsia="Times New Roman" w:hAnsi="Calibri" w:cs="Calibri"/>
        </w:rPr>
      </w:pPr>
      <w:r>
        <w:rPr>
          <w:rFonts w:ascii="Calibri" w:eastAsia="Times New Roman" w:hAnsi="Calibri" w:cs="Calibri"/>
        </w:rPr>
        <w:t>6.2 Authorization — What Changes</w:t>
      </w:r>
    </w:p>
    <w:p w14:paraId="26975BEB" w14:textId="77777777" w:rsidR="006D29EE" w:rsidRDefault="006D29EE">
      <w:pPr>
        <w:pStyle w:val="NormalWeb"/>
        <w:rPr>
          <w:rFonts w:ascii="Calibri" w:hAnsi="Calibri" w:cs="Calibri"/>
        </w:rPr>
      </w:pPr>
      <w:r>
        <w:rPr>
          <w:rFonts w:ascii="Calibri" w:hAnsi="Calibri" w:cs="Calibri"/>
        </w:rPr>
        <w:t xml:space="preserve">Today, security is enforced by database rules because the browser talks to the database directly. After migration, the .NET API becomes a trusted middle layer — so </w:t>
      </w:r>
      <w:r>
        <w:rPr>
          <w:rFonts w:ascii="Calibri" w:hAnsi="Calibri" w:cs="Calibri"/>
          <w:b/>
          <w:bCs/>
        </w:rPr>
        <w:t>every authorization rule (who can see or change what) must be explicitly re-implemented and tested in the Application layer.</w:t>
      </w:r>
      <w:r>
        <w:rPr>
          <w:rFonts w:ascii="Calibri" w:hAnsi="Calibri" w:cs="Calibri"/>
        </w:rPr>
        <w:t xml:space="preserve"> Database-level rules remain switched on as a backup safety net, but are no longer the primary guard. This is the change that most directly protects Thrivts' core promise that buyers and sellers never see each other's identity.</w:t>
      </w:r>
    </w:p>
    <w:p w14:paraId="17ADFB7F" w14:textId="77777777" w:rsidR="006D29EE" w:rsidRDefault="006D29EE">
      <w:pPr>
        <w:pStyle w:val="Heading3"/>
        <w:rPr>
          <w:rFonts w:ascii="Calibri" w:eastAsia="Times New Roman" w:hAnsi="Calibri" w:cs="Calibri"/>
        </w:rPr>
      </w:pPr>
      <w:r>
        <w:rPr>
          <w:rFonts w:ascii="Calibri" w:eastAsia="Times New Roman" w:hAnsi="Calibri" w:cs="Calibri"/>
        </w:rPr>
        <w:t>6.3 DTOs Enforce the Identity-Hiding Rule</w:t>
      </w:r>
    </w:p>
    <w:p w14:paraId="089608AA" w14:textId="77777777" w:rsidR="006D29EE" w:rsidRDefault="006D29EE">
      <w:pPr>
        <w:pStyle w:val="NormalWeb"/>
        <w:rPr>
          <w:rFonts w:ascii="Calibri" w:hAnsi="Calibri" w:cs="Calibri"/>
        </w:rPr>
      </w:pPr>
      <w:r>
        <w:rPr>
          <w:rFonts w:ascii="Calibri" w:hAnsi="Calibri" w:cs="Calibri"/>
        </w:rPr>
        <w:t>The database views that currently hide buyer/seller identity from each other are replaced by role-specific response shapes in the API (e.g., a seller-facing deal response never includes buyer details, and vice versa). Every new field added to any response must be checked against "should this role be allowed to see this?" — this is treated as a security review step, not a style choice.</w:t>
      </w:r>
    </w:p>
    <w:p w14:paraId="7ED706D8" w14:textId="77777777" w:rsidR="006D29EE" w:rsidRDefault="006D29EE">
      <w:pPr>
        <w:pStyle w:val="Heading3"/>
        <w:rPr>
          <w:rFonts w:ascii="Calibri" w:eastAsia="Times New Roman" w:hAnsi="Calibri" w:cs="Calibri"/>
        </w:rPr>
      </w:pPr>
      <w:r>
        <w:rPr>
          <w:rFonts w:ascii="Calibri" w:eastAsia="Times New Roman" w:hAnsi="Calibri" w:cs="Calibri"/>
        </w:rPr>
        <w:t>6.4 Other Security Measures</w:t>
      </w:r>
    </w:p>
    <w:p w14:paraId="1A2E894D" w14:textId="77777777" w:rsidR="006D29EE" w:rsidRDefault="006D29EE">
      <w:pPr>
        <w:numPr>
          <w:ilvl w:val="0"/>
          <w:numId w:val="3"/>
        </w:numPr>
        <w:spacing w:before="100" w:beforeAutospacing="1" w:after="100" w:afterAutospacing="1"/>
        <w:rPr>
          <w:rFonts w:ascii="Calibri" w:eastAsia="Times New Roman" w:hAnsi="Calibri" w:cs="Calibri"/>
        </w:rPr>
      </w:pPr>
      <w:r>
        <w:rPr>
          <w:rFonts w:ascii="Calibri" w:eastAsia="Times New Roman" w:hAnsi="Calibri" w:cs="Calibri"/>
        </w:rPr>
        <w:lastRenderedPageBreak/>
        <w:t>Secrets (API keys, database credentials) stored in a secure secrets manager — never committed to code or shipped to the browser.</w:t>
      </w:r>
    </w:p>
    <w:p w14:paraId="06561A21" w14:textId="77777777" w:rsidR="006D29EE" w:rsidRDefault="006D29EE">
      <w:pPr>
        <w:numPr>
          <w:ilvl w:val="0"/>
          <w:numId w:val="3"/>
        </w:numPr>
        <w:spacing w:before="100" w:beforeAutospacing="1" w:after="100" w:afterAutospacing="1"/>
        <w:rPr>
          <w:rFonts w:ascii="Calibri" w:eastAsia="Times New Roman" w:hAnsi="Calibri" w:cs="Calibri"/>
        </w:rPr>
      </w:pPr>
      <w:r>
        <w:rPr>
          <w:rFonts w:ascii="Calibri" w:eastAsia="Times New Roman" w:hAnsi="Calibri" w:cs="Calibri"/>
        </w:rPr>
        <w:t>All database queries parameterized by the framework by default — protects against injection attacks.</w:t>
      </w:r>
    </w:p>
    <w:p w14:paraId="30351E95" w14:textId="77777777" w:rsidR="006D29EE" w:rsidRDefault="006D29EE">
      <w:pPr>
        <w:numPr>
          <w:ilvl w:val="0"/>
          <w:numId w:val="3"/>
        </w:numPr>
        <w:spacing w:before="100" w:beforeAutospacing="1" w:after="100" w:afterAutospacing="1"/>
        <w:rPr>
          <w:rFonts w:ascii="Calibri" w:eastAsia="Times New Roman" w:hAnsi="Calibri" w:cs="Calibri"/>
        </w:rPr>
      </w:pPr>
      <w:r>
        <w:rPr>
          <w:rFonts w:ascii="Calibri" w:eastAsia="Times New Roman" w:hAnsi="Calibri" w:cs="Calibri"/>
        </w:rPr>
        <w:t>Rate limiting on public-facing endpoints (activity feed, partner applications) to prevent abuse.</w:t>
      </w:r>
    </w:p>
    <w:p w14:paraId="00E3159F" w14:textId="77777777" w:rsidR="006D29EE" w:rsidRDefault="006D29EE">
      <w:pPr>
        <w:numPr>
          <w:ilvl w:val="0"/>
          <w:numId w:val="3"/>
        </w:numPr>
        <w:spacing w:before="100" w:beforeAutospacing="1" w:after="100" w:afterAutospacing="1"/>
        <w:rPr>
          <w:rFonts w:ascii="Calibri" w:eastAsia="Times New Roman" w:hAnsi="Calibri" w:cs="Calibri"/>
        </w:rPr>
      </w:pPr>
      <w:r>
        <w:rPr>
          <w:rFonts w:ascii="Calibri" w:eastAsia="Times New Roman" w:hAnsi="Calibri" w:cs="Calibri"/>
        </w:rPr>
        <w:t>HTTPS enforced everywhere; CORS restricted to Thrivts' own apps only.</w:t>
      </w:r>
    </w:p>
    <w:p w14:paraId="22C11FEC" w14:textId="77777777" w:rsidR="006D29EE" w:rsidRDefault="006D29EE">
      <w:pPr>
        <w:numPr>
          <w:ilvl w:val="0"/>
          <w:numId w:val="3"/>
        </w:numPr>
        <w:spacing w:before="100" w:beforeAutospacing="1" w:after="100" w:afterAutospacing="1"/>
        <w:rPr>
          <w:rFonts w:ascii="Calibri" w:eastAsia="Times New Roman" w:hAnsi="Calibri" w:cs="Calibri"/>
        </w:rPr>
      </w:pPr>
      <w:r>
        <w:rPr>
          <w:rFonts w:ascii="Calibri" w:eastAsia="Times New Roman" w:hAnsi="Calibri" w:cs="Calibri"/>
        </w:rPr>
        <w:t>Every admin action continues to be written to the audit log, automatically.</w:t>
      </w:r>
    </w:p>
    <w:p w14:paraId="65F26C30" w14:textId="77777777" w:rsidR="006D29EE" w:rsidRDefault="006D29EE">
      <w:pPr>
        <w:pStyle w:val="Heading2"/>
        <w:rPr>
          <w:rFonts w:ascii="Calibri" w:eastAsia="Times New Roman" w:hAnsi="Calibri" w:cs="Calibri"/>
        </w:rPr>
      </w:pPr>
      <w:r>
        <w:rPr>
          <w:rFonts w:ascii="Calibri" w:eastAsia="Times New Roman" w:hAnsi="Calibri" w:cs="Calibri"/>
        </w:rPr>
        <w:t>7. Database Access — EF Core + Supabase Postgres</w:t>
      </w:r>
    </w:p>
    <w:p w14:paraId="202D4F69" w14:textId="77777777" w:rsidR="006D29EE" w:rsidRDefault="006D29EE">
      <w:pPr>
        <w:numPr>
          <w:ilvl w:val="0"/>
          <w:numId w:val="4"/>
        </w:numPr>
        <w:spacing w:before="100" w:beforeAutospacing="1" w:after="100" w:afterAutospacing="1"/>
        <w:rPr>
          <w:rFonts w:ascii="Calibri" w:eastAsia="Times New Roman" w:hAnsi="Calibri" w:cs="Calibri"/>
        </w:rPr>
      </w:pPr>
      <w:r>
        <w:rPr>
          <w:rFonts w:ascii="Calibri" w:eastAsia="Times New Roman" w:hAnsi="Calibri" w:cs="Calibri"/>
        </w:rPr>
        <w:t>Connections go through Supabase's built-in connection pooler for efficient, high-concurrency access.</w:t>
      </w:r>
    </w:p>
    <w:p w14:paraId="054C2266" w14:textId="77777777" w:rsidR="006D29EE" w:rsidRDefault="006D29EE">
      <w:pPr>
        <w:numPr>
          <w:ilvl w:val="0"/>
          <w:numId w:val="4"/>
        </w:numPr>
        <w:spacing w:before="100" w:beforeAutospacing="1" w:after="100" w:afterAutospacing="1"/>
        <w:rPr>
          <w:rFonts w:ascii="Calibri" w:eastAsia="Times New Roman" w:hAnsi="Calibri" w:cs="Calibri"/>
        </w:rPr>
      </w:pPr>
      <w:r>
        <w:rPr>
          <w:rFonts w:ascii="Calibri" w:eastAsia="Times New Roman" w:hAnsi="Calibri" w:cs="Calibri"/>
        </w:rPr>
        <w:t>The full database schema will be exported and placed under version control as the very first step of this project — today it exists only inside the live Supabase project, which is a risk if anything were ever lost or misconfigured.</w:t>
      </w:r>
    </w:p>
    <w:p w14:paraId="54D05FD2" w14:textId="77777777" w:rsidR="006D29EE" w:rsidRDefault="006D29EE">
      <w:pPr>
        <w:numPr>
          <w:ilvl w:val="0"/>
          <w:numId w:val="4"/>
        </w:numPr>
        <w:spacing w:before="100" w:beforeAutospacing="1" w:after="100" w:afterAutospacing="1"/>
        <w:rPr>
          <w:rFonts w:ascii="Calibri" w:eastAsia="Times New Roman" w:hAnsi="Calibri" w:cs="Calibri"/>
        </w:rPr>
      </w:pPr>
      <w:r>
        <w:rPr>
          <w:rFonts w:ascii="Calibri" w:eastAsia="Times New Roman" w:hAnsi="Calibri" w:cs="Calibri"/>
        </w:rPr>
        <w:t>Going forward, schema changes are made through tracked, reviewable migrations rather than ad-hoc edits in the Supabase dashboard — giving full history and repeatability.</w:t>
      </w:r>
    </w:p>
    <w:p w14:paraId="58F8E10A" w14:textId="77777777" w:rsidR="006D29EE" w:rsidRDefault="006D29EE">
      <w:pPr>
        <w:numPr>
          <w:ilvl w:val="0"/>
          <w:numId w:val="4"/>
        </w:numPr>
        <w:spacing w:before="100" w:beforeAutospacing="1" w:after="100" w:afterAutospacing="1"/>
        <w:rPr>
          <w:rFonts w:ascii="Calibri" w:eastAsia="Times New Roman" w:hAnsi="Calibri" w:cs="Calibri"/>
        </w:rPr>
      </w:pPr>
      <w:r>
        <w:rPr>
          <w:rFonts w:ascii="Calibri" w:eastAsia="Times New Roman" w:hAnsi="Calibri" w:cs="Calibri"/>
        </w:rPr>
        <w:t>Queries are written to fetch only the columns actually needed (rather than "everything"), improving performance and reducing data transfer costs.</w:t>
      </w:r>
    </w:p>
    <w:p w14:paraId="5EDE3019" w14:textId="77777777" w:rsidR="006D29EE" w:rsidRDefault="006D29EE">
      <w:pPr>
        <w:pStyle w:val="Heading2"/>
        <w:rPr>
          <w:rFonts w:ascii="Calibri" w:eastAsia="Times New Roman" w:hAnsi="Calibri" w:cs="Calibri"/>
        </w:rPr>
      </w:pPr>
      <w:r>
        <w:rPr>
          <w:rFonts w:ascii="Calibri" w:eastAsia="Times New Roman" w:hAnsi="Calibri" w:cs="Calibri"/>
        </w:rPr>
        <w:t>8. API Layer</w:t>
      </w:r>
    </w:p>
    <w:p w14:paraId="0CE80567" w14:textId="77777777" w:rsidR="006D29EE" w:rsidRDefault="006D29EE">
      <w:pPr>
        <w:pStyle w:val="NormalWeb"/>
        <w:rPr>
          <w:rFonts w:ascii="Calibri" w:hAnsi="Calibri" w:cs="Calibri"/>
        </w:rPr>
      </w:pPr>
      <w:r>
        <w:rPr>
          <w:rFonts w:ascii="Calibri" w:hAnsi="Calibri" w:cs="Calibri"/>
        </w:rPr>
        <w:t>One set of endpoints per portal (Buyers, Sellers, Agencies, Influencers, Admin, Public). Controllers stay thin — they receive a request, hand it to the Application layer, and return a response; no business logic lives in this layer. A machine-readable API specification is generated automatically, which is also used to keep the React apps' data types in sync with the backend at all times, eliminating a whole class of bugs caused by frontend and backend drifting apart.</w:t>
      </w:r>
    </w:p>
    <w:p w14:paraId="3C23FD7C" w14:textId="77777777" w:rsidR="006D29EE" w:rsidRDefault="006D29EE">
      <w:pPr>
        <w:pStyle w:val="Heading2"/>
        <w:rPr>
          <w:rFonts w:ascii="Calibri" w:eastAsia="Times New Roman" w:hAnsi="Calibri" w:cs="Calibri"/>
        </w:rPr>
      </w:pPr>
      <w:r>
        <w:rPr>
          <w:rFonts w:ascii="Calibri" w:eastAsia="Times New Roman" w:hAnsi="Calibri" w:cs="Calibri"/>
        </w:rPr>
        <w:t>9. DTO (Data Shape) Conventions</w:t>
      </w:r>
    </w:p>
    <w:p w14:paraId="4BC0594F" w14:textId="77777777" w:rsidR="006D29EE" w:rsidRDefault="006D29EE">
      <w:pPr>
        <w:numPr>
          <w:ilvl w:val="0"/>
          <w:numId w:val="5"/>
        </w:numPr>
        <w:spacing w:before="100" w:beforeAutospacing="1" w:after="100" w:afterAutospacing="1"/>
        <w:rPr>
          <w:rFonts w:ascii="Calibri" w:eastAsia="Times New Roman" w:hAnsi="Calibri" w:cs="Calibri"/>
        </w:rPr>
      </w:pPr>
      <w:r>
        <w:rPr>
          <w:rFonts w:ascii="Calibri" w:eastAsia="Times New Roman" w:hAnsi="Calibri" w:cs="Calibri"/>
        </w:rPr>
        <w:t>Internal data structures are never exposed directly to the outside world — every API response is an explicit, purpose-built shape.</w:t>
      </w:r>
    </w:p>
    <w:p w14:paraId="2D2F0EAE" w14:textId="77777777" w:rsidR="006D29EE" w:rsidRDefault="006D29EE">
      <w:pPr>
        <w:numPr>
          <w:ilvl w:val="0"/>
          <w:numId w:val="5"/>
        </w:numPr>
        <w:spacing w:before="100" w:beforeAutospacing="1" w:after="100" w:afterAutospacing="1"/>
        <w:rPr>
          <w:rFonts w:ascii="Calibri" w:eastAsia="Times New Roman" w:hAnsi="Calibri" w:cs="Calibri"/>
        </w:rPr>
      </w:pPr>
      <w:r>
        <w:rPr>
          <w:rFonts w:ascii="Calibri" w:eastAsia="Times New Roman" w:hAnsi="Calibri" w:cs="Calibri"/>
        </w:rPr>
        <w:t>Response shapes are role-specific, not just entity-specific — this is what enforces the buyer/seller identity-hiding rule going forward.</w:t>
      </w:r>
    </w:p>
    <w:p w14:paraId="01530108" w14:textId="77777777" w:rsidR="006D29EE" w:rsidRDefault="006D29EE">
      <w:pPr>
        <w:numPr>
          <w:ilvl w:val="0"/>
          <w:numId w:val="5"/>
        </w:numPr>
        <w:spacing w:before="100" w:beforeAutospacing="1" w:after="100" w:afterAutospacing="1"/>
        <w:rPr>
          <w:rFonts w:ascii="Calibri" w:eastAsia="Times New Roman" w:hAnsi="Calibri" w:cs="Calibri"/>
        </w:rPr>
      </w:pPr>
      <w:r>
        <w:rPr>
          <w:rFonts w:ascii="Calibri" w:eastAsia="Times New Roman" w:hAnsi="Calibri" w:cs="Calibri"/>
        </w:rPr>
        <w:t>Money fields always carry their currency explicitly (e.g. "AmountUsd") to prevent the kind of currency mismatch bug found during the last audit.</w:t>
      </w:r>
    </w:p>
    <w:p w14:paraId="685B3EE2" w14:textId="77777777" w:rsidR="006D29EE" w:rsidRDefault="006D29EE">
      <w:pPr>
        <w:pStyle w:val="Heading2"/>
        <w:rPr>
          <w:rFonts w:ascii="Calibri" w:eastAsia="Times New Roman" w:hAnsi="Calibri" w:cs="Calibri"/>
        </w:rPr>
      </w:pPr>
      <w:r>
        <w:rPr>
          <w:rFonts w:ascii="Calibri" w:eastAsia="Times New Roman" w:hAnsi="Calibri" w:cs="Calibri"/>
        </w:rPr>
        <w:t>10. Frontend — React + TypeScript</w:t>
      </w:r>
    </w:p>
    <w:p w14:paraId="0F88600A" w14:textId="77777777" w:rsidR="006D29EE" w:rsidRDefault="006D29EE">
      <w:pPr>
        <w:numPr>
          <w:ilvl w:val="0"/>
          <w:numId w:val="6"/>
        </w:numPr>
        <w:spacing w:before="100" w:beforeAutospacing="1" w:after="100" w:afterAutospacing="1"/>
        <w:rPr>
          <w:rFonts w:ascii="Calibri" w:eastAsia="Times New Roman" w:hAnsi="Calibri" w:cs="Calibri"/>
        </w:rPr>
      </w:pPr>
      <w:r>
        <w:rPr>
          <w:rFonts w:ascii="Calibri" w:eastAsia="Times New Roman" w:hAnsi="Calibri" w:cs="Calibri"/>
        </w:rPr>
        <w:t>A typed API client is generated directly from the backend's specification, so the frontend and backend can never silently drift out of sync.</w:t>
      </w:r>
    </w:p>
    <w:p w14:paraId="7DD908D7" w14:textId="77777777" w:rsidR="006D29EE" w:rsidRDefault="006D29EE">
      <w:pPr>
        <w:numPr>
          <w:ilvl w:val="0"/>
          <w:numId w:val="6"/>
        </w:numPr>
        <w:spacing w:before="100" w:beforeAutospacing="1" w:after="100" w:afterAutospacing="1"/>
        <w:rPr>
          <w:rFonts w:ascii="Calibri" w:eastAsia="Times New Roman" w:hAnsi="Calibri" w:cs="Calibri"/>
        </w:rPr>
      </w:pPr>
      <w:r>
        <w:rPr>
          <w:rFonts w:ascii="Calibri" w:eastAsia="Times New Roman" w:hAnsi="Calibri" w:cs="Calibri"/>
        </w:rPr>
        <w:t>Shared components (currency formatting, dates, tables, export tools) are built once and reused across all five portals, instead of being copy-pasted five times as they are today.</w:t>
      </w:r>
    </w:p>
    <w:p w14:paraId="0A351C91" w14:textId="77777777" w:rsidR="006D29EE" w:rsidRDefault="006D29EE">
      <w:pPr>
        <w:numPr>
          <w:ilvl w:val="0"/>
          <w:numId w:val="6"/>
        </w:numPr>
        <w:spacing w:before="100" w:beforeAutospacing="1" w:after="100" w:afterAutospacing="1"/>
        <w:rPr>
          <w:rFonts w:ascii="Calibri" w:eastAsia="Times New Roman" w:hAnsi="Calibri" w:cs="Calibri"/>
        </w:rPr>
      </w:pPr>
      <w:r>
        <w:rPr>
          <w:rFonts w:ascii="Calibri" w:eastAsia="Times New Roman" w:hAnsi="Calibri" w:cs="Calibri"/>
        </w:rPr>
        <w:t>Structure can be five focused apps (mirroring today's five-portal deployment) or one app with role-based sections — a team preference, not a correctness issue.</w:t>
      </w:r>
    </w:p>
    <w:p w14:paraId="32958EEA" w14:textId="77777777" w:rsidR="006D29EE" w:rsidRDefault="006D29EE">
      <w:pPr>
        <w:pStyle w:val="Heading2"/>
        <w:rPr>
          <w:rFonts w:ascii="Calibri" w:eastAsia="Times New Roman" w:hAnsi="Calibri" w:cs="Calibri"/>
        </w:rPr>
      </w:pPr>
      <w:r>
        <w:rPr>
          <w:rFonts w:ascii="Calibri" w:eastAsia="Times New Roman" w:hAnsi="Calibri" w:cs="Calibri"/>
        </w:rPr>
        <w:t>11. Migration Roadmap (Phased Rollout)</w:t>
      </w:r>
    </w:p>
    <w:p w14:paraId="2E986F3D" w14:textId="77777777" w:rsidR="006D29EE" w:rsidRDefault="006D29EE">
      <w:pPr>
        <w:numPr>
          <w:ilvl w:val="0"/>
          <w:numId w:val="7"/>
        </w:numPr>
        <w:spacing w:before="100" w:beforeAutospacing="1" w:after="100" w:afterAutospacing="1"/>
        <w:rPr>
          <w:rFonts w:ascii="Calibri" w:eastAsia="Times New Roman" w:hAnsi="Calibri" w:cs="Calibri"/>
        </w:rPr>
      </w:pPr>
      <w:r>
        <w:rPr>
          <w:rFonts w:ascii="Calibri" w:eastAsia="Times New Roman" w:hAnsi="Calibri" w:cs="Calibri"/>
        </w:rPr>
        <w:t>Export and version-control the full database schema.</w:t>
      </w:r>
    </w:p>
    <w:p w14:paraId="28F054E6" w14:textId="77777777" w:rsidR="006D29EE" w:rsidRDefault="006D29EE">
      <w:pPr>
        <w:numPr>
          <w:ilvl w:val="0"/>
          <w:numId w:val="7"/>
        </w:numPr>
        <w:spacing w:before="100" w:beforeAutospacing="1" w:after="100" w:afterAutospacing="1"/>
        <w:rPr>
          <w:rFonts w:ascii="Calibri" w:eastAsia="Times New Roman" w:hAnsi="Calibri" w:cs="Calibri"/>
        </w:rPr>
      </w:pPr>
      <w:r>
        <w:rPr>
          <w:rFonts w:ascii="Calibri" w:eastAsia="Times New Roman" w:hAnsi="Calibri" w:cs="Calibri"/>
        </w:rPr>
        <w:t xml:space="preserve">Audit existing database security rules to document the </w:t>
      </w:r>
      <w:r>
        <w:rPr>
          <w:rFonts w:ascii="Calibri" w:eastAsia="Times New Roman" w:hAnsi="Calibri" w:cs="Calibri"/>
          <w:i/>
          <w:iCs/>
        </w:rPr>
        <w:t>intended</w:t>
      </w:r>
      <w:r>
        <w:rPr>
          <w:rFonts w:ascii="Calibri" w:eastAsia="Times New Roman" w:hAnsi="Calibri" w:cs="Calibri"/>
        </w:rPr>
        <w:t xml:space="preserve"> access rules — this becomes the specification for the new authorization logic.</w:t>
      </w:r>
    </w:p>
    <w:p w14:paraId="26F5B7F3" w14:textId="77777777" w:rsidR="006D29EE" w:rsidRDefault="006D29EE">
      <w:pPr>
        <w:numPr>
          <w:ilvl w:val="0"/>
          <w:numId w:val="7"/>
        </w:numPr>
        <w:spacing w:before="100" w:beforeAutospacing="1" w:after="100" w:afterAutospacing="1"/>
        <w:rPr>
          <w:rFonts w:ascii="Calibri" w:eastAsia="Times New Roman" w:hAnsi="Calibri" w:cs="Calibri"/>
        </w:rPr>
      </w:pPr>
      <w:r>
        <w:rPr>
          <w:rFonts w:ascii="Calibri" w:eastAsia="Times New Roman" w:hAnsi="Calibri" w:cs="Calibri"/>
        </w:rPr>
        <w:t>Build the Domain and Infrastructure layers against the exported schema.</w:t>
      </w:r>
    </w:p>
    <w:p w14:paraId="3B9EA830" w14:textId="77777777" w:rsidR="006D29EE" w:rsidRDefault="006D29EE">
      <w:pPr>
        <w:numPr>
          <w:ilvl w:val="0"/>
          <w:numId w:val="7"/>
        </w:numPr>
        <w:spacing w:before="100" w:beforeAutospacing="1" w:after="100" w:afterAutospacing="1"/>
        <w:rPr>
          <w:rFonts w:ascii="Calibri" w:eastAsia="Times New Roman" w:hAnsi="Calibri" w:cs="Calibri"/>
        </w:rPr>
      </w:pPr>
      <w:r>
        <w:rPr>
          <w:rFonts w:ascii="Calibri" w:eastAsia="Times New Roman" w:hAnsi="Calibri" w:cs="Calibri"/>
        </w:rPr>
        <w:t>Stand up authentication end-to-end (login → verified token → protected endpoint) before building features.</w:t>
      </w:r>
    </w:p>
    <w:p w14:paraId="50A71B25" w14:textId="77777777" w:rsidR="006D29EE" w:rsidRDefault="006D29EE">
      <w:pPr>
        <w:numPr>
          <w:ilvl w:val="0"/>
          <w:numId w:val="7"/>
        </w:numPr>
        <w:spacing w:before="100" w:beforeAutospacing="1" w:after="100" w:afterAutospacing="1"/>
        <w:rPr>
          <w:rFonts w:ascii="Calibri" w:eastAsia="Times New Roman" w:hAnsi="Calibri" w:cs="Calibri"/>
        </w:rPr>
      </w:pPr>
      <w:r>
        <w:rPr>
          <w:rFonts w:ascii="Calibri" w:eastAsia="Times New Roman" w:hAnsi="Calibri" w:cs="Calibri"/>
        </w:rPr>
        <w:t>Migrate business logic one portal at a time, starting with Admin (highest security stakes, smallest user group to coordinate with).</w:t>
      </w:r>
    </w:p>
    <w:p w14:paraId="35C92EE3" w14:textId="77777777" w:rsidR="006D29EE" w:rsidRDefault="006D29EE">
      <w:pPr>
        <w:numPr>
          <w:ilvl w:val="0"/>
          <w:numId w:val="7"/>
        </w:numPr>
        <w:spacing w:before="100" w:beforeAutospacing="1" w:after="100" w:afterAutospacing="1"/>
        <w:rPr>
          <w:rFonts w:ascii="Calibri" w:eastAsia="Times New Roman" w:hAnsi="Calibri" w:cs="Calibri"/>
        </w:rPr>
      </w:pPr>
      <w:r>
        <w:rPr>
          <w:rFonts w:ascii="Calibri" w:eastAsia="Times New Roman" w:hAnsi="Calibri" w:cs="Calibri"/>
        </w:rPr>
        <w:t>Build matching API endpoints and React screens per portal — Admin first, then Seller/Agency, then Buyer and Partners (highest traffic, most public-facing).</w:t>
      </w:r>
    </w:p>
    <w:p w14:paraId="02188925" w14:textId="77777777" w:rsidR="006D29EE" w:rsidRDefault="006D29EE">
      <w:pPr>
        <w:numPr>
          <w:ilvl w:val="0"/>
          <w:numId w:val="7"/>
        </w:numPr>
        <w:spacing w:before="100" w:beforeAutospacing="1" w:after="100" w:afterAutospacing="1"/>
        <w:rPr>
          <w:rFonts w:ascii="Calibri" w:eastAsia="Times New Roman" w:hAnsi="Calibri" w:cs="Calibri"/>
        </w:rPr>
      </w:pPr>
      <w:r>
        <w:rPr>
          <w:rFonts w:ascii="Calibri" w:eastAsia="Times New Roman" w:hAnsi="Calibri" w:cs="Calibri"/>
        </w:rPr>
        <w:t>Run the old and new versions of each portal in parallel during cutover until verified, then switch over.</w:t>
      </w:r>
    </w:p>
    <w:p w14:paraId="0251F948" w14:textId="77777777" w:rsidR="006D29EE" w:rsidRDefault="006D29EE">
      <w:pPr>
        <w:numPr>
          <w:ilvl w:val="0"/>
          <w:numId w:val="7"/>
        </w:numPr>
        <w:spacing w:before="100" w:beforeAutospacing="1" w:after="100" w:afterAutospacing="1"/>
        <w:rPr>
          <w:rFonts w:ascii="Calibri" w:eastAsia="Times New Roman" w:hAnsi="Calibri" w:cs="Calibri"/>
        </w:rPr>
      </w:pPr>
      <w:r>
        <w:rPr>
          <w:rFonts w:ascii="Calibri" w:eastAsia="Times New Roman" w:hAnsi="Calibri" w:cs="Calibri"/>
        </w:rPr>
        <w:t>Once every portal is migrated, lock down direct database access from any remaining old code.</w:t>
      </w:r>
    </w:p>
    <w:p w14:paraId="1DD4F269" w14:textId="77777777" w:rsidR="006D29EE" w:rsidRDefault="006D29EE">
      <w:pPr>
        <w:pStyle w:val="Heading2"/>
        <w:rPr>
          <w:rFonts w:ascii="Calibri" w:eastAsia="Times New Roman" w:hAnsi="Calibri" w:cs="Calibri"/>
        </w:rPr>
      </w:pPr>
      <w:r>
        <w:rPr>
          <w:rFonts w:ascii="Calibri" w:eastAsia="Times New Roman" w:hAnsi="Calibri" w:cs="Calibri"/>
        </w:rPr>
        <w:t>12. Testing Strategy</w:t>
      </w:r>
    </w:p>
    <w:tbl>
      <w:tblPr>
        <w:tblW w:w="5000" w:type="pct"/>
        <w:tblBorders>
          <w:top w:val="outset" w:sz="6" w:space="0" w:color="auto"/>
          <w:left w:val="outset" w:sz="6" w:space="0" w:color="auto"/>
          <w:bottom w:val="outset" w:sz="6" w:space="0" w:color="auto"/>
          <w:right w:val="outset" w:sz="6" w:space="0" w:color="auto"/>
        </w:tblBorders>
        <w:tblCellMar>
          <w:top w:w="90" w:type="dxa"/>
          <w:left w:w="90" w:type="dxa"/>
          <w:bottom w:w="90" w:type="dxa"/>
          <w:right w:w="90" w:type="dxa"/>
        </w:tblCellMar>
        <w:tblLook w:val="04A0" w:firstRow="1" w:lastRow="0" w:firstColumn="1" w:lastColumn="0" w:noHBand="0" w:noVBand="1"/>
      </w:tblPr>
      <w:tblGrid>
        <w:gridCol w:w="1806"/>
        <w:gridCol w:w="7538"/>
      </w:tblGrid>
      <w:tr w:rsidR="00000000" w14:paraId="0A11A400" w14:textId="77777777">
        <w:tc>
          <w:tcPr>
            <w:tcW w:w="0" w:type="auto"/>
            <w:tcBorders>
              <w:top w:val="outset" w:sz="6" w:space="0" w:color="auto"/>
              <w:left w:val="outset" w:sz="6" w:space="0" w:color="auto"/>
              <w:bottom w:val="outset" w:sz="6" w:space="0" w:color="auto"/>
              <w:right w:val="outset" w:sz="6" w:space="0" w:color="auto"/>
            </w:tcBorders>
            <w:shd w:val="clear" w:color="auto" w:fill="1F4E78"/>
            <w:vAlign w:val="center"/>
            <w:hideMark/>
          </w:tcPr>
          <w:p w14:paraId="0D6479EA" w14:textId="77777777" w:rsidR="006D29EE" w:rsidRDefault="006D29EE">
            <w:pPr>
              <w:jc w:val="center"/>
              <w:rPr>
                <w:rFonts w:eastAsia="Times New Roman"/>
                <w:b/>
                <w:bCs/>
                <w:color w:val="FFFFFF"/>
              </w:rPr>
            </w:pPr>
            <w:r>
              <w:rPr>
                <w:rFonts w:eastAsia="Times New Roman"/>
                <w:b/>
                <w:bCs/>
                <w:color w:val="FFFFFF"/>
              </w:rPr>
              <w:t>Layer</w:t>
            </w:r>
          </w:p>
        </w:tc>
        <w:tc>
          <w:tcPr>
            <w:tcW w:w="0" w:type="auto"/>
            <w:tcBorders>
              <w:top w:val="outset" w:sz="6" w:space="0" w:color="auto"/>
              <w:left w:val="outset" w:sz="6" w:space="0" w:color="auto"/>
              <w:bottom w:val="outset" w:sz="6" w:space="0" w:color="auto"/>
              <w:right w:val="outset" w:sz="6" w:space="0" w:color="auto"/>
            </w:tcBorders>
            <w:shd w:val="clear" w:color="auto" w:fill="1F4E78"/>
            <w:vAlign w:val="center"/>
            <w:hideMark/>
          </w:tcPr>
          <w:p w14:paraId="62A5B4B0" w14:textId="77777777" w:rsidR="006D29EE" w:rsidRDefault="006D29EE">
            <w:pPr>
              <w:jc w:val="center"/>
              <w:rPr>
                <w:rFonts w:eastAsia="Times New Roman"/>
                <w:b/>
                <w:bCs/>
                <w:color w:val="FFFFFF"/>
              </w:rPr>
            </w:pPr>
            <w:r>
              <w:rPr>
                <w:rFonts w:eastAsia="Times New Roman"/>
                <w:b/>
                <w:bCs/>
                <w:color w:val="FFFFFF"/>
              </w:rPr>
              <w:t>Approach</w:t>
            </w:r>
          </w:p>
        </w:tc>
      </w:tr>
      <w:tr w:rsidR="00000000" w14:paraId="3C8BC95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1CD423B" w14:textId="77777777" w:rsidR="006D29EE" w:rsidRDefault="006D29EE">
            <w:pPr>
              <w:rPr>
                <w:rFonts w:eastAsia="Times New Roman"/>
              </w:rPr>
            </w:pPr>
            <w:r>
              <w:rPr>
                <w:rFonts w:eastAsia="Times New Roman"/>
              </w:rPr>
              <w:t>Business rules</w:t>
            </w:r>
          </w:p>
        </w:tc>
        <w:tc>
          <w:tcPr>
            <w:tcW w:w="0" w:type="auto"/>
            <w:tcBorders>
              <w:top w:val="outset" w:sz="6" w:space="0" w:color="auto"/>
              <w:left w:val="outset" w:sz="6" w:space="0" w:color="auto"/>
              <w:bottom w:val="outset" w:sz="6" w:space="0" w:color="auto"/>
              <w:right w:val="outset" w:sz="6" w:space="0" w:color="auto"/>
            </w:tcBorders>
            <w:vAlign w:val="center"/>
            <w:hideMark/>
          </w:tcPr>
          <w:p w14:paraId="1A72AE0C" w14:textId="77777777" w:rsidR="006D29EE" w:rsidRDefault="006D29EE">
            <w:pPr>
              <w:rPr>
                <w:rFonts w:eastAsia="Times New Roman"/>
              </w:rPr>
            </w:pPr>
            <w:r>
              <w:rPr>
                <w:rFonts w:eastAsia="Times New Roman"/>
              </w:rPr>
              <w:t>Automated unit tests — deal transitions, commission calculations</w:t>
            </w:r>
          </w:p>
        </w:tc>
      </w:tr>
      <w:tr w:rsidR="00000000" w14:paraId="6BDA6D7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9B702CA" w14:textId="77777777" w:rsidR="006D29EE" w:rsidRDefault="006D29EE">
            <w:pPr>
              <w:rPr>
                <w:rFonts w:eastAsia="Times New Roman"/>
              </w:rPr>
            </w:pPr>
            <w:r>
              <w:rPr>
                <w:rFonts w:eastAsia="Times New Roman"/>
              </w:rPr>
              <w:t>Application logic</w:t>
            </w:r>
          </w:p>
        </w:tc>
        <w:tc>
          <w:tcPr>
            <w:tcW w:w="0" w:type="auto"/>
            <w:tcBorders>
              <w:top w:val="outset" w:sz="6" w:space="0" w:color="auto"/>
              <w:left w:val="outset" w:sz="6" w:space="0" w:color="auto"/>
              <w:bottom w:val="outset" w:sz="6" w:space="0" w:color="auto"/>
              <w:right w:val="outset" w:sz="6" w:space="0" w:color="auto"/>
            </w:tcBorders>
            <w:vAlign w:val="center"/>
            <w:hideMark/>
          </w:tcPr>
          <w:p w14:paraId="5CF2DB78" w14:textId="77777777" w:rsidR="006D29EE" w:rsidRDefault="006D29EE">
            <w:pPr>
              <w:rPr>
                <w:rFonts w:eastAsia="Times New Roman"/>
              </w:rPr>
            </w:pPr>
            <w:r>
              <w:rPr>
                <w:rFonts w:eastAsia="Times New Roman"/>
              </w:rPr>
              <w:t>Automated tests confirming a user can only ever see their own data (explicit test cases per role)</w:t>
            </w:r>
          </w:p>
        </w:tc>
      </w:tr>
      <w:tr w:rsidR="00000000" w14:paraId="1A79B22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5A79859" w14:textId="77777777" w:rsidR="006D29EE" w:rsidRDefault="006D29EE">
            <w:pPr>
              <w:rPr>
                <w:rFonts w:eastAsia="Times New Roman"/>
              </w:rPr>
            </w:pPr>
            <w:r>
              <w:rPr>
                <w:rFonts w:eastAsia="Times New Roman"/>
              </w:rPr>
              <w:t>Database layer</w:t>
            </w:r>
          </w:p>
        </w:tc>
        <w:tc>
          <w:tcPr>
            <w:tcW w:w="0" w:type="auto"/>
            <w:tcBorders>
              <w:top w:val="outset" w:sz="6" w:space="0" w:color="auto"/>
              <w:left w:val="outset" w:sz="6" w:space="0" w:color="auto"/>
              <w:bottom w:val="outset" w:sz="6" w:space="0" w:color="auto"/>
              <w:right w:val="outset" w:sz="6" w:space="0" w:color="auto"/>
            </w:tcBorders>
            <w:vAlign w:val="center"/>
            <w:hideMark/>
          </w:tcPr>
          <w:p w14:paraId="798C67DE" w14:textId="77777777" w:rsidR="006D29EE" w:rsidRDefault="006D29EE">
            <w:pPr>
              <w:rPr>
                <w:rFonts w:eastAsia="Times New Roman"/>
              </w:rPr>
            </w:pPr>
            <w:r>
              <w:rPr>
                <w:rFonts w:eastAsia="Times New Roman"/>
              </w:rPr>
              <w:t>Integration tests against a real Postgres instance</w:t>
            </w:r>
          </w:p>
        </w:tc>
      </w:tr>
      <w:tr w:rsidR="00000000" w14:paraId="576884E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9B52C02" w14:textId="77777777" w:rsidR="006D29EE" w:rsidRDefault="006D29EE">
            <w:pPr>
              <w:rPr>
                <w:rFonts w:eastAsia="Times New Roman"/>
              </w:rPr>
            </w:pPr>
            <w:r>
              <w:rPr>
                <w:rFonts w:eastAsia="Times New Roman"/>
              </w:rPr>
              <w:t>API</w:t>
            </w:r>
          </w:p>
        </w:tc>
        <w:tc>
          <w:tcPr>
            <w:tcW w:w="0" w:type="auto"/>
            <w:tcBorders>
              <w:top w:val="outset" w:sz="6" w:space="0" w:color="auto"/>
              <w:left w:val="outset" w:sz="6" w:space="0" w:color="auto"/>
              <w:bottom w:val="outset" w:sz="6" w:space="0" w:color="auto"/>
              <w:right w:val="outset" w:sz="6" w:space="0" w:color="auto"/>
            </w:tcBorders>
            <w:vAlign w:val="center"/>
            <w:hideMark/>
          </w:tcPr>
          <w:p w14:paraId="46662364" w14:textId="77777777" w:rsidR="006D29EE" w:rsidRDefault="006D29EE">
            <w:pPr>
              <w:rPr>
                <w:rFonts w:eastAsia="Times New Roman"/>
              </w:rPr>
            </w:pPr>
            <w:r>
              <w:rPr>
                <w:rFonts w:eastAsia="Times New Roman"/>
              </w:rPr>
              <w:t>End-to-end tests — authentication required/rejected correctly, correct data shapes returned</w:t>
            </w:r>
          </w:p>
        </w:tc>
      </w:tr>
      <w:tr w:rsidR="00000000" w14:paraId="2D281F2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FC04A84" w14:textId="77777777" w:rsidR="006D29EE" w:rsidRDefault="006D29EE">
            <w:pPr>
              <w:rPr>
                <w:rFonts w:eastAsia="Times New Roman"/>
              </w:rPr>
            </w:pPr>
            <w:r>
              <w:rPr>
                <w:rFonts w:eastAsia="Times New Roman"/>
              </w:rPr>
              <w:t>Identity protection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6EF7A2A9" w14:textId="77777777" w:rsidR="006D29EE" w:rsidRDefault="006D29EE">
            <w:pPr>
              <w:rPr>
                <w:rFonts w:eastAsia="Times New Roman"/>
              </w:rPr>
            </w:pPr>
            <w:r>
              <w:rPr>
                <w:rFonts w:eastAsia="Times New Roman"/>
              </w:rPr>
              <w:t>Dedicated tests asserting seller-facing data never contains buyer details and vice versa</w:t>
            </w:r>
          </w:p>
        </w:tc>
      </w:tr>
    </w:tbl>
    <w:p w14:paraId="773F515C" w14:textId="77777777" w:rsidR="006D29EE" w:rsidRDefault="006D29EE">
      <w:pPr>
        <w:pStyle w:val="Heading2"/>
        <w:rPr>
          <w:rFonts w:ascii="Calibri" w:eastAsia="Times New Roman" w:hAnsi="Calibri" w:cs="Calibri"/>
        </w:rPr>
      </w:pPr>
      <w:r>
        <w:rPr>
          <w:rFonts w:ascii="Calibri" w:eastAsia="Times New Roman" w:hAnsi="Calibri" w:cs="Calibri"/>
        </w:rPr>
        <w:t>13. Deployment &amp; Ongoing Operations</w:t>
      </w:r>
    </w:p>
    <w:p w14:paraId="532139D8" w14:textId="77777777" w:rsidR="006D29EE" w:rsidRDefault="006D29EE">
      <w:pPr>
        <w:numPr>
          <w:ilvl w:val="0"/>
          <w:numId w:val="8"/>
        </w:numPr>
        <w:spacing w:before="100" w:beforeAutospacing="1" w:after="100" w:afterAutospacing="1"/>
        <w:rPr>
          <w:rFonts w:ascii="Calibri" w:eastAsia="Times New Roman" w:hAnsi="Calibri" w:cs="Calibri"/>
        </w:rPr>
      </w:pPr>
      <w:r>
        <w:rPr>
          <w:rFonts w:ascii="Calibri" w:eastAsia="Times New Roman" w:hAnsi="Calibri" w:cs="Calibri"/>
        </w:rPr>
        <w:t>A staging environment (separate database and app instance) is used for all testing — production data and the live platform are never used for testing changes.</w:t>
      </w:r>
    </w:p>
    <w:p w14:paraId="3CB50463" w14:textId="77777777" w:rsidR="006D29EE" w:rsidRDefault="006D29EE">
      <w:pPr>
        <w:numPr>
          <w:ilvl w:val="0"/>
          <w:numId w:val="8"/>
        </w:numPr>
        <w:spacing w:before="100" w:beforeAutospacing="1" w:after="100" w:afterAutospacing="1"/>
        <w:rPr>
          <w:rFonts w:ascii="Calibri" w:eastAsia="Times New Roman" w:hAnsi="Calibri" w:cs="Calibri"/>
        </w:rPr>
      </w:pPr>
      <w:r>
        <w:rPr>
          <w:rFonts w:ascii="Calibri" w:eastAsia="Times New Roman" w:hAnsi="Calibri" w:cs="Calibri"/>
        </w:rPr>
        <w:t>Error monitoring and structured logging are added on both backend and frontend, so issues are caught and diagnosed quickly.</w:t>
      </w:r>
    </w:p>
    <w:p w14:paraId="0776198B" w14:textId="77777777" w:rsidR="006D29EE" w:rsidRDefault="006D29EE">
      <w:pPr>
        <w:numPr>
          <w:ilvl w:val="0"/>
          <w:numId w:val="8"/>
        </w:numPr>
        <w:spacing w:before="100" w:beforeAutospacing="1" w:after="100" w:afterAutospacing="1"/>
        <w:rPr>
          <w:rFonts w:ascii="Calibri" w:eastAsia="Times New Roman" w:hAnsi="Calibri" w:cs="Calibri"/>
        </w:rPr>
      </w:pPr>
      <w:r>
        <w:rPr>
          <w:rFonts w:ascii="Calibri" w:eastAsia="Times New Roman" w:hAnsi="Calibri" w:cs="Calibri"/>
        </w:rPr>
        <w:t>Automated deployment pipelines ensure every release is tested consistently before reaching production.</w:t>
      </w:r>
    </w:p>
    <w:p w14:paraId="58BE9939" w14:textId="77777777" w:rsidR="006D29EE" w:rsidRDefault="006D29EE">
      <w:pPr>
        <w:pStyle w:val="Heading2"/>
        <w:rPr>
          <w:rFonts w:ascii="Calibri" w:eastAsia="Times New Roman" w:hAnsi="Calibri" w:cs="Calibri"/>
        </w:rPr>
      </w:pPr>
      <w:r>
        <w:rPr>
          <w:rFonts w:ascii="Calibri" w:eastAsia="Times New Roman" w:hAnsi="Calibri" w:cs="Calibri"/>
        </w:rPr>
        <w:t>14. Checklist for Every New Feature Going Forward</w:t>
      </w:r>
    </w:p>
    <w:p w14:paraId="23091499" w14:textId="77777777" w:rsidR="006D29EE" w:rsidRDefault="006D29EE">
      <w:pPr>
        <w:numPr>
          <w:ilvl w:val="0"/>
          <w:numId w:val="9"/>
        </w:numPr>
        <w:spacing w:before="100" w:beforeAutospacing="1" w:after="100" w:afterAutospacing="1"/>
        <w:rPr>
          <w:rFonts w:ascii="Calibri" w:eastAsia="Times New Roman" w:hAnsi="Calibri" w:cs="Calibri"/>
        </w:rPr>
      </w:pPr>
      <w:r>
        <w:rPr>
          <w:rFonts w:ascii="Calibri" w:eastAsia="Times New Roman" w:hAnsi="Calibri" w:cs="Calibri"/>
        </w:rPr>
        <w:t>Does this need a new business rule, or a change to the deal lifecycle / commission logic?</w:t>
      </w:r>
    </w:p>
    <w:p w14:paraId="2E67F2D9" w14:textId="77777777" w:rsidR="006D29EE" w:rsidRDefault="006D29EE">
      <w:pPr>
        <w:numPr>
          <w:ilvl w:val="0"/>
          <w:numId w:val="9"/>
        </w:numPr>
        <w:spacing w:before="100" w:beforeAutospacing="1" w:after="100" w:afterAutospacing="1"/>
        <w:rPr>
          <w:rFonts w:ascii="Calibri" w:eastAsia="Times New Roman" w:hAnsi="Calibri" w:cs="Calibri"/>
        </w:rPr>
      </w:pPr>
      <w:r>
        <w:rPr>
          <w:rFonts w:ascii="Calibri" w:eastAsia="Times New Roman" w:hAnsi="Calibri" w:cs="Calibri"/>
        </w:rPr>
        <w:t>Which user roles are allowed to use this feature, and is that enforced and tested?</w:t>
      </w:r>
    </w:p>
    <w:p w14:paraId="64DC2A53" w14:textId="77777777" w:rsidR="006D29EE" w:rsidRDefault="006D29EE">
      <w:pPr>
        <w:numPr>
          <w:ilvl w:val="0"/>
          <w:numId w:val="9"/>
        </w:numPr>
        <w:spacing w:before="100" w:beforeAutospacing="1" w:after="100" w:afterAutospacing="1"/>
        <w:rPr>
          <w:rFonts w:ascii="Calibri" w:eastAsia="Times New Roman" w:hAnsi="Calibri" w:cs="Calibri"/>
        </w:rPr>
      </w:pPr>
      <w:r>
        <w:rPr>
          <w:rFonts w:ascii="Calibri" w:eastAsia="Times New Roman" w:hAnsi="Calibri" w:cs="Calibri"/>
        </w:rPr>
        <w:t>Which roles can see the resulting data — does an existing response shape need a new, separate variant instead of just adding a field?</w:t>
      </w:r>
    </w:p>
    <w:p w14:paraId="6D509488" w14:textId="77777777" w:rsidR="006D29EE" w:rsidRDefault="006D29EE">
      <w:pPr>
        <w:numPr>
          <w:ilvl w:val="0"/>
          <w:numId w:val="9"/>
        </w:numPr>
        <w:spacing w:before="100" w:beforeAutospacing="1" w:after="100" w:afterAutospacing="1"/>
        <w:rPr>
          <w:rFonts w:ascii="Calibri" w:eastAsia="Times New Roman" w:hAnsi="Calibri" w:cs="Calibri"/>
        </w:rPr>
      </w:pPr>
      <w:r>
        <w:rPr>
          <w:rFonts w:ascii="Calibri" w:eastAsia="Times New Roman" w:hAnsi="Calibri" w:cs="Calibri"/>
        </w:rPr>
        <w:t>Is the API specification and the frontend's typed client regenerated and in sync?</w:t>
      </w:r>
    </w:p>
    <w:p w14:paraId="475F1234" w14:textId="77777777" w:rsidR="006D29EE" w:rsidRDefault="006D29EE">
      <w:pPr>
        <w:numPr>
          <w:ilvl w:val="0"/>
          <w:numId w:val="9"/>
        </w:numPr>
        <w:spacing w:before="100" w:beforeAutospacing="1" w:after="100" w:afterAutospacing="1"/>
        <w:rPr>
          <w:rFonts w:ascii="Calibri" w:eastAsia="Times New Roman" w:hAnsi="Calibri" w:cs="Calibri"/>
        </w:rPr>
      </w:pPr>
      <w:r>
        <w:rPr>
          <w:rFonts w:ascii="Calibri" w:eastAsia="Times New Roman" w:hAnsi="Calibri" w:cs="Calibri"/>
        </w:rPr>
        <w:t>If this touches buyer/seller identity, disputes, commissions, or admin actions — is there an explicit authorization test before this ships?</w:t>
      </w:r>
    </w:p>
    <w:p w14:paraId="254A24D7" w14:textId="77777777" w:rsidR="006D29EE" w:rsidRDefault="006D29EE">
      <w:pPr>
        <w:rPr>
          <w:rFonts w:ascii="Calibri" w:eastAsia="Times New Roman" w:hAnsi="Calibri" w:cs="Calibri"/>
        </w:rPr>
      </w:pPr>
      <w:r>
        <w:rPr>
          <w:rFonts w:ascii="Calibri" w:eastAsia="Times New Roman" w:hAnsi="Calibri" w:cs="Calibri"/>
        </w:rPr>
        <w:pict w14:anchorId="3CA2A5A9">
          <v:rect id="_x0000_i1027" style="width:0;height:1.5pt" o:hralign="center" o:hrstd="t" o:hr="t" fillcolor="#a0a0a0" stroked="f"/>
        </w:pict>
      </w:r>
    </w:p>
    <w:p w14:paraId="28741EAE" w14:textId="77777777" w:rsidR="006D29EE" w:rsidRDefault="006D29EE">
      <w:pPr>
        <w:pStyle w:val="NormalWeb"/>
        <w:rPr>
          <w:rFonts w:ascii="Calibri" w:hAnsi="Calibri" w:cs="Calibri"/>
          <w:color w:val="666666"/>
          <w:sz w:val="18"/>
          <w:szCs w:val="18"/>
        </w:rPr>
      </w:pPr>
      <w:r>
        <w:rPr>
          <w:rFonts w:ascii="Calibri" w:hAnsi="Calibri" w:cs="Calibri"/>
          <w:color w:val="666666"/>
          <w:sz w:val="18"/>
          <w:szCs w:val="18"/>
        </w:rPr>
        <w:t>Prepared as part of the Thrivts platform re-architecture planning. See accompanying technical documents (schema, audit report, known gaps) for full detail on the current system.</w:t>
      </w:r>
    </w:p>
    <w:sectPr w:rsidR="000000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6442D"/>
    <w:multiLevelType w:val="multilevel"/>
    <w:tmpl w:val="8B386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99264D"/>
    <w:multiLevelType w:val="multilevel"/>
    <w:tmpl w:val="3EB86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8E7022"/>
    <w:multiLevelType w:val="multilevel"/>
    <w:tmpl w:val="41C48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771C15"/>
    <w:multiLevelType w:val="multilevel"/>
    <w:tmpl w:val="1F1E0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0A1444"/>
    <w:multiLevelType w:val="multilevel"/>
    <w:tmpl w:val="3AAC2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69B689B"/>
    <w:multiLevelType w:val="multilevel"/>
    <w:tmpl w:val="B532E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C603782"/>
    <w:multiLevelType w:val="multilevel"/>
    <w:tmpl w:val="66541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C666F5"/>
    <w:multiLevelType w:val="multilevel"/>
    <w:tmpl w:val="03C84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8E5068"/>
    <w:multiLevelType w:val="multilevel"/>
    <w:tmpl w:val="DD56A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4260026">
    <w:abstractNumId w:val="4"/>
  </w:num>
  <w:num w:numId="2" w16cid:durableId="280958760">
    <w:abstractNumId w:val="7"/>
  </w:num>
  <w:num w:numId="3" w16cid:durableId="1252006683">
    <w:abstractNumId w:val="3"/>
  </w:num>
  <w:num w:numId="4" w16cid:durableId="2101681147">
    <w:abstractNumId w:val="0"/>
  </w:num>
  <w:num w:numId="5" w16cid:durableId="1224679707">
    <w:abstractNumId w:val="2"/>
  </w:num>
  <w:num w:numId="6" w16cid:durableId="981957178">
    <w:abstractNumId w:val="6"/>
  </w:num>
  <w:num w:numId="7" w16cid:durableId="2087024816">
    <w:abstractNumId w:val="5"/>
  </w:num>
  <w:num w:numId="8" w16cid:durableId="790443421">
    <w:abstractNumId w:val="1"/>
  </w:num>
  <w:num w:numId="9" w16cid:durableId="104058817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D29EE"/>
    <w:rsid w:val="006D29EE"/>
    <w:rsid w:val="00C41D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3C72B7"/>
  <w15:chartTrackingRefBased/>
  <w15:docId w15:val="{61D43EAD-E9CE-4D52-9183-BB60A663B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paragraph" w:styleId="NormalWeb">
    <w:name w:val="Normal (Web)"/>
    <w:basedOn w:val="Normal"/>
    <w:uiPriority w:val="99"/>
    <w:semiHidden/>
    <w:unhideWhenUsed/>
    <w:pPr>
      <w:spacing w:before="100" w:beforeAutospacing="1" w:after="100" w:afterAutospacing="1"/>
    </w:p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2207</Words>
  <Characters>12581</Characters>
  <Application>Microsoft Office Word</Application>
  <DocSecurity>0</DocSecurity>
  <Lines>104</Lines>
  <Paragraphs>29</Paragraphs>
  <ScaleCrop>false</ScaleCrop>
  <Company/>
  <LinksUpToDate>false</LinksUpToDate>
  <CharactersWithSpaces>14759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Thrivts — .NET 10 + React Migration Plan</dc:title>
  <dc:subject/>
  <dc:creator>Anwar Ul Islam</dc:creator>
  <cp:keywords/>
  <dc:description/>
  <cp:lastModifiedBy>Anwar Ul Islam</cp:lastModifiedBy>
  <cp:revision>2</cp:revision>
  <dcterms:created xsi:type="dcterms:W3CDTF">2026-08-03T06:59:00Z</dcterms:created>
  <dcterms:modified xsi:type="dcterms:W3CDTF">2026-08-03T06:59:00Z</dcterms:modified>
</cp:coreProperties>
</file>