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700"/>
        <w:jc w:val="center"/>
      </w:pPr>
      <w:r>
        <w:rPr>
          <w:rFonts w:ascii="Arial" w:cs="Arial" w:eastAsia="Arial" w:hAnsi="Arial"/>
          <w:b/>
          <w:bCs/>
          <w:color w:val="222825"/>
          <w:sz w:val="62"/>
          <w:szCs w:val="62"/>
        </w:rPr>
        <w:t xml:space="preserve">THRIVTS</w:t>
      </w:r>
      <w:r>
        <w:rPr>
          <w:rFonts w:ascii="Arial" w:cs="Arial" w:eastAsia="Arial" w:hAnsi="Arial"/>
          <w:b/>
          <w:bCs/>
          <w:color w:val="73837A"/>
          <w:sz w:val="62"/>
          <w:szCs w:val="62"/>
        </w:rPr>
        <w:t xml:space="preserve"> ✦</w:t>
      </w:r>
    </w:p>
    <w:p>
      <w:pPr>
        <w:spacing w:after="110"/>
        <w:jc w:val="center"/>
      </w:pPr>
      <w:r>
        <w:rPr>
          <w:rFonts w:ascii="Arial" w:cs="Arial" w:eastAsia="Arial" w:hAnsi="Arial"/>
          <w:b/>
          <w:bCs/>
          <w:color w:val="3A443E"/>
          <w:sz w:val="28"/>
          <w:szCs w:val="28"/>
        </w:rPr>
        <w:t xml:space="preserve">PLATFORM ARCHITECTURE — DEVELOPER BRIEF</w:t>
      </w:r>
    </w:p>
    <w:p>
      <w:pPr>
        <w:spacing w:after="60"/>
        <w:jc w:val="center"/>
      </w:pPr>
      <w:r>
        <w:rPr>
          <w:rFonts w:ascii="Arial" w:cs="Arial" w:eastAsia="Arial" w:hAnsi="Arial"/>
          <w:color w:val="73837A"/>
          <w:sz w:val="21"/>
          <w:szCs w:val="21"/>
        </w:rPr>
        <w:t xml:space="preserve">How the open-bidding marketplace works, end to end</w:t>
      </w:r>
    </w:p>
    <w:p>
      <w:pPr>
        <w:jc w:val="center"/>
      </w:pPr>
      <w:r>
        <w:rPr>
          <w:rFonts w:ascii="Arial" w:cs="Arial" w:eastAsia="Arial" w:hAnsi="Arial"/>
          <w:color w:val="73837A"/>
          <w:sz w:val="19"/>
          <w:szCs w:val="19"/>
        </w:rPr>
        <w:t xml:space="preserve">Prepared 23 July 2026 · for the development team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22825"/>
        </w:rPr>
        <w:t xml:space="preserve">1. What Thrivts is, in one paragraph</w:t>
      </w:r>
    </w:p>
    <w:p>
      <w:pPr>
        <w:spacing w:after="110" w:line="27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825"/>
          <w:sz w:val="20"/>
          <w:szCs w:val="20"/>
        </w:rPr>
        <w:t xml:space="preserve">Thrivts is a B2B marketplace for vintage / secondhand clothing wholesale. A BUYER (an overseas vintage store) posts a requirement — category, grade, quantity, destination, and their own starting price. Admin reviews it and pushes it live. Vetted SELLERS then bid on it: each seller offers a quantity (all or part of the order) at their own price. The buyer sees all bids on a LIVE BOARD, can counter-offer back and forth with sellers, and accepts one or several bids until the quantity is filled. Accepting creates a DEAL. Thrivts earns a flat platform fee per piece.</w:t>
      </w:r>
    </w:p>
    <w:p>
      <w:pPr>
        <w:pStyle w:val="Heading2"/>
        <w:spacing w:after="100" w:before="250"/>
      </w:pPr>
      <w:r>
        <w:rPr>
          <w:rFonts w:ascii="Arial" w:cs="Arial" w:eastAsia="Arial" w:hAnsi="Arial"/>
          <w:b/>
          <w:bCs/>
          <w:color w:val="3A443E"/>
        </w:rPr>
        <w:t xml:space="preserve">The two rules that shape everything</w:t>
      </w:r>
    </w:p>
    <w:p>
      <w:pPr>
        <w:shd w:fill="FBF3E9" w:val="clear"/>
        <w:spacing w:after="110" w:line="272"/>
      </w:pPr>
      <w:r>
        <w:rPr>
          <w:rFonts w:ascii="Arial" w:cs="Arial" w:eastAsia="Arial" w:hAnsi="Arial"/>
          <w:b/>
          <w:bCs/>
          <w:color w:val="8A5A22"/>
          <w:sz w:val="20"/>
          <w:szCs w:val="20"/>
        </w:rPr>
        <w:t xml:space="preserve">RULE 1 — THE BUYER MUST NEVER SEE WHO THE SELLER IS. If a buyer can identify a seller, they can go direct and cut Thrivts out. This is enforced at the DATABASE level, not in the UI.</w:t>
      </w:r>
    </w:p>
    <w:p>
      <w:pPr>
        <w:shd w:fill="FBF3E9" w:val="clear"/>
        <w:spacing w:after="110" w:line="272"/>
      </w:pPr>
      <w:r>
        <w:rPr>
          <w:rFonts w:ascii="Arial" w:cs="Arial" w:eastAsia="Arial" w:hAnsi="Arial"/>
          <w:b/>
          <w:bCs/>
          <w:color w:val="8A5A22"/>
          <w:sz w:val="20"/>
          <w:szCs w:val="20"/>
        </w:rPr>
        <w:t xml:space="preserve">RULE 2 — THE BUYER MUST NEVER SEE THE FEE SPLIT. Buyers see ONE all-in price. They never see the seller’s raw price or the $0.70 fee separately.</w:t>
      </w:r>
    </w:p>
    <w:p>
      <w:pPr>
        <w:spacing w:after="110" w:line="27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825"/>
          <w:sz w:val="20"/>
          <w:szCs w:val="20"/>
        </w:rPr>
        <w:t xml:space="preserve">Every design decision below follows from these two rules. If you change a query, a view, or an API call, check it against them first.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22825"/>
        </w:rPr>
        <w:t xml:space="preserve">2. Stack &amp; repositories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shd w:fill="EFEDE7" w:val="clear"/>
          </w:tcPr>
          <w:p>
            <w:pPr>
              <w:spacing w:after="30" w:line="27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825"/>
                <w:sz w:val="20"/>
                <w:szCs w:val="20"/>
              </w:rPr>
              <w:t xml:space="preserve">Layer</w:t>
            </w:r>
          </w:p>
        </w:tc>
        <w:tc>
          <w:tcPr>
            <w:tcW w:type="dxa" w:w="6860"/>
            <w:shd w:fill="EFEDE7" w:val="clear"/>
          </w:tcPr>
          <w:p>
            <w:pPr>
              <w:spacing w:after="30" w:line="27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825"/>
                <w:sz w:val="20"/>
                <w:szCs w:val="20"/>
              </w:rPr>
              <w:t xml:space="preserve">What it is</w:t>
            </w:r>
          </w:p>
        </w:tc>
      </w:tr>
      <w:tr>
        <w:tc>
          <w:tcPr>
            <w:tcW w:type="dxa" w:w="2500"/>
          </w:tcPr>
          <w:p>
            <w:pPr>
              <w:spacing w:after="30" w:line="27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825"/>
                <w:sz w:val="20"/>
                <w:szCs w:val="20"/>
              </w:rPr>
              <w:t xml:space="preserve">Frontend</w:t>
            </w:r>
          </w:p>
        </w:tc>
        <w:tc>
          <w:tcPr>
            <w:tcW w:type="dxa" w:w="6860"/>
          </w:tcPr>
          <w:p>
            <w:pPr>
              <w:spacing w:after="30" w:line="27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825"/>
                <w:sz w:val="20"/>
                <w:szCs w:val="20"/>
              </w:rPr>
              <w:t xml:space="preserve">Five standalone single-file HTML apps (buyer, seller, admin, agency, partners). No build step, no framework. Vanilla JS + Supabase JS client loaded from CDN. Each deploys to its own Netlify site as index.html.</w:t>
            </w:r>
          </w:p>
        </w:tc>
      </w:tr>
      <w:tr>
        <w:tc>
          <w:tcPr>
            <w:tcW w:type="dxa" w:w="2500"/>
          </w:tcPr>
          <w:p>
            <w:pPr>
              <w:spacing w:after="30" w:line="27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825"/>
                <w:sz w:val="20"/>
                <w:szCs w:val="20"/>
              </w:rPr>
              <w:t xml:space="preserve">Backend</w:t>
            </w:r>
          </w:p>
        </w:tc>
        <w:tc>
          <w:tcPr>
            <w:tcW w:type="dxa" w:w="6860"/>
          </w:tcPr>
          <w:p>
            <w:pPr>
              <w:spacing w:after="30" w:line="27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825"/>
                <w:sz w:val="20"/>
                <w:szCs w:val="20"/>
              </w:rPr>
              <w:t xml:space="preserve">Supabase (Postgres). Project: thrivts-prod. All business logic that must be trusted lives in Postgres functions (RPCs), not in the browser.</w:t>
            </w:r>
          </w:p>
        </w:tc>
      </w:tr>
      <w:tr>
        <w:tc>
          <w:tcPr>
            <w:tcW w:type="dxa" w:w="2500"/>
          </w:tcPr>
          <w:p>
            <w:pPr>
              <w:spacing w:after="30" w:line="27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825"/>
                <w:sz w:val="20"/>
                <w:szCs w:val="20"/>
              </w:rPr>
              <w:t xml:space="preserve">Auth</w:t>
            </w:r>
          </w:p>
        </w:tc>
        <w:tc>
          <w:tcPr>
            <w:tcW w:type="dxa" w:w="6860"/>
          </w:tcPr>
          <w:p>
            <w:pPr>
              <w:spacing w:after="30" w:line="27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825"/>
                <w:sz w:val="20"/>
                <w:szCs w:val="20"/>
              </w:rPr>
              <w:t xml:space="preserve">Supabase Auth. IMPORTANT: buyers.id, sellers.id and requirements.buyer_id ARE the auth user id. There is no separate user_id column on buyers/sellers.</w:t>
            </w:r>
          </w:p>
        </w:tc>
      </w:tr>
      <w:tr>
        <w:tc>
          <w:tcPr>
            <w:tcW w:type="dxa" w:w="2500"/>
          </w:tcPr>
          <w:p>
            <w:pPr>
              <w:spacing w:after="30" w:line="27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825"/>
                <w:sz w:val="20"/>
                <w:szCs w:val="20"/>
              </w:rPr>
              <w:t xml:space="preserve">Realtime</w:t>
            </w:r>
          </w:p>
        </w:tc>
        <w:tc>
          <w:tcPr>
            <w:tcW w:type="dxa" w:w="6860"/>
          </w:tcPr>
          <w:p>
            <w:pPr>
              <w:spacing w:after="30" w:line="27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825"/>
                <w:sz w:val="20"/>
                <w:szCs w:val="20"/>
              </w:rPr>
              <w:t xml:space="preserve">Supabase Realtime on seller_responses and notifications. The UI also polls every 15s as a backstop so it stays correct if realtime is off.</w:t>
            </w:r>
          </w:p>
        </w:tc>
      </w:tr>
      <w:tr>
        <w:tc>
          <w:tcPr>
            <w:tcW w:type="dxa" w:w="2500"/>
          </w:tcPr>
          <w:p>
            <w:pPr>
              <w:spacing w:after="30" w:line="27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825"/>
                <w:sz w:val="20"/>
                <w:szCs w:val="20"/>
              </w:rPr>
              <w:t xml:space="preserve">Currency</w:t>
            </w:r>
          </w:p>
        </w:tc>
        <w:tc>
          <w:tcPr>
            <w:tcW w:type="dxa" w:w="6860"/>
          </w:tcPr>
          <w:p>
            <w:pPr>
              <w:spacing w:after="30" w:line="27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825"/>
                <w:sz w:val="20"/>
                <w:szCs w:val="20"/>
              </w:rPr>
              <w:t xml:space="preserve">USD is the source of truth everywhere. Buyers may enter a target price in their own currency; it is converted and stored in USD.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22825"/>
        </w:rPr>
        <w:t xml:space="preserve">3. The end-to-end flow</w:t>
      </w:r>
    </w:p>
    <w:p>
      <w:pPr>
        <w:pStyle w:val="Heading3"/>
        <w:spacing w:after="70" w:before="200"/>
      </w:pPr>
      <w:r>
        <w:rPr>
          <w:rFonts w:ascii="Arial" w:cs="Arial" w:eastAsia="Arial" w:hAnsi="Arial"/>
          <w:b/>
          <w:bCs/>
          <w:color w:val="C5874B"/>
        </w:rPr>
        <w:t xml:space="preserve">Step 1 — Buyer posts a requirement</w:t>
      </w:r>
    </w:p>
    <w:p>
      <w:pPr>
        <w:spacing w:after="110" w:line="27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825"/>
          <w:sz w:val="20"/>
          <w:szCs w:val="20"/>
        </w:rPr>
        <w:t xml:space="preserve">Buyer portal inserts into requirements with status = pending_review. Fields include item_name, category_id, quantity_pcs, grade, destination_country, shipping_mode, delivery_timeline_days, target_price_per_pc (+ currency) and buyer_target_price_usd.</w:t>
      </w:r>
    </w:p>
    <w:p>
      <w:pPr>
        <w:pStyle w:val="Heading3"/>
        <w:spacing w:after="70" w:before="200"/>
      </w:pPr>
      <w:r>
        <w:rPr>
          <w:rFonts w:ascii="Arial" w:cs="Arial" w:eastAsia="Arial" w:hAnsi="Arial"/>
          <w:b/>
          <w:bCs/>
          <w:color w:val="C5874B"/>
        </w:rPr>
        <w:t xml:space="preserve">Step 2 — Admin approves ("Push Live")</w:t>
      </w:r>
    </w:p>
    <w:p>
      <w:pPr>
        <w:spacing w:after="110" w:line="27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825"/>
          <w:sz w:val="20"/>
          <w:szCs w:val="20"/>
        </w:rPr>
        <w:t xml:space="preserve">Admin portal sets requirements.status = posted. Only then does it appear to sellers (via seller_requirements_view, which also filters by the seller’s tags/tier). Nothing pending_review is ever visible publicly.</w:t>
      </w:r>
    </w:p>
    <w:p>
      <w:pPr>
        <w:pStyle w:val="Heading3"/>
        <w:spacing w:after="70" w:before="200"/>
      </w:pPr>
      <w:r>
        <w:rPr>
          <w:rFonts w:ascii="Arial" w:cs="Arial" w:eastAsia="Arial" w:hAnsi="Arial"/>
          <w:b/>
          <w:bCs/>
          <w:color w:val="C5874B"/>
        </w:rPr>
        <w:t xml:space="preserve">Step 3 — Sellers bid</w:t>
      </w:r>
    </w:p>
    <w:p>
      <w:pPr>
        <w:spacing w:after="110" w:line="27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825"/>
          <w:sz w:val="20"/>
          <w:szCs w:val="20"/>
        </w:rPr>
        <w:t xml:space="preserve">Sellers see the requirement WITH the buyer’s price shown as a starting point — they may bid above or below it. A bid is a row in seller_responses: requirement_id, seller_id, available_quantity_pcs, proposed_price_usd, seller_notes, status, responded_at. A seller can bid partial quantity (e.g. 500 of 1,000) and can update their bid.</w:t>
      </w:r>
    </w:p>
    <w:p>
      <w:pPr>
        <w:spacing w:after="110" w:line="27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825"/>
          <w:sz w:val="20"/>
          <w:szCs w:val="20"/>
        </w:rPr>
        <w:t xml:space="preserve">On INSERT, a trigger freezes the platform fee onto the bid (fee_per_pc_applied_usd) so a later fee-rate change never alters an existing bid.</w:t>
      </w:r>
    </w:p>
    <w:p>
      <w:pPr>
        <w:pStyle w:val="Heading3"/>
        <w:spacing w:after="70" w:before="200"/>
      </w:pPr>
      <w:r>
        <w:rPr>
          <w:rFonts w:ascii="Arial" w:cs="Arial" w:eastAsia="Arial" w:hAnsi="Arial"/>
          <w:b/>
          <w:bCs/>
          <w:color w:val="C5874B"/>
        </w:rPr>
        <w:t xml:space="preserve">Step 4 — Buyer sees the live board</w:t>
      </w:r>
    </w:p>
    <w:p>
      <w:pPr>
        <w:spacing w:after="110" w:line="27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825"/>
          <w:sz w:val="20"/>
          <w:szCs w:val="20"/>
        </w:rPr>
        <w:t xml:space="preserve">The buyer opens their requirement and sees all bids, sorted best price first. Each bid shows: an anonymous seller alias (e.g. Seller_7fx3), tier, verified badge, quantity, what share of the order it covers, and the FEE-INCLUSIVE price. A progress bar shows how much of the quantity is committed.</w:t>
      </w:r>
    </w:p>
    <w:p>
      <w:pPr>
        <w:pStyle w:val="Heading3"/>
        <w:spacing w:after="70" w:before="200"/>
      </w:pPr>
      <w:r>
        <w:rPr>
          <w:rFonts w:ascii="Arial" w:cs="Arial" w:eastAsia="Arial" w:hAnsi="Arial"/>
          <w:b/>
          <w:bCs/>
          <w:color w:val="C5874B"/>
        </w:rPr>
        <w:t xml:space="preserve">Step 5 — Negotiation (both directions, unlimited rounds)</w:t>
      </w:r>
    </w:p>
    <w:p>
      <w:pPr>
        <w:spacing w:after="110" w:line="27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825"/>
          <w:sz w:val="20"/>
          <w:szCs w:val="20"/>
        </w:rPr>
        <w:t xml:space="preserve">Buyer can COUNTER a bid. The seller sees "Buyer countered — your move" and can Accept / Decline / Counter back. If the seller counters back, the buyer sees "Seller countered back — your move · round N". This repeats until someone accepts or declines. Each side always sees the CURRENT status, not a full history.</w:t>
      </w:r>
    </w:p>
    <w:p>
      <w:pPr>
        <w:pStyle w:val="Heading3"/>
        <w:spacing w:after="70" w:before="200"/>
      </w:pPr>
      <w:r>
        <w:rPr>
          <w:rFonts w:ascii="Arial" w:cs="Arial" w:eastAsia="Arial" w:hAnsi="Arial"/>
          <w:b/>
          <w:bCs/>
          <w:color w:val="C5874B"/>
        </w:rPr>
        <w:t xml:space="preserve">Step 6 — Buyer accepts → deal created</w:t>
      </w:r>
    </w:p>
    <w:p>
      <w:pPr>
        <w:spacing w:after="110" w:line="27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825"/>
          <w:sz w:val="20"/>
          <w:szCs w:val="20"/>
        </w:rPr>
        <w:t xml:space="preserve">Buyer clicks Accept on a bid. This calls buyer_accept_bid(), which validates ownership and quantity, creates a deal + deal_allocation, marks the bid accepted, and advances the requirement: partially filled → matching, fully committed → ready_to_order. Because the buyer can accept several partial bids, ONE requirement can produce SEVERAL deals, each with its own seller, fee and QC.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22825"/>
        </w:rPr>
        <w:t xml:space="preserve">4. Key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shd w:fill="EFEDE7" w:val="clear"/>
          </w:tcPr>
          <w:p>
            <w:pPr>
              <w:spacing w:after="30" w:line="27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825"/>
                <w:sz w:val="20"/>
                <w:szCs w:val="20"/>
              </w:rPr>
              <w:t xml:space="preserve">Table</w:t>
            </w:r>
          </w:p>
        </w:tc>
        <w:tc>
          <w:tcPr>
            <w:tcW w:type="dxa" w:w="6860"/>
            <w:shd w:fill="EFEDE7" w:val="clear"/>
          </w:tcPr>
          <w:p>
            <w:pPr>
              <w:spacing w:after="30" w:line="27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825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500"/>
          </w:tcPr>
          <w:p>
            <w:pPr>
              <w:spacing w:after="30" w:line="27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825"/>
                <w:sz w:val="20"/>
                <w:szCs w:val="20"/>
              </w:rPr>
              <w:t xml:space="preserve">requirements</w:t>
            </w:r>
          </w:p>
        </w:tc>
        <w:tc>
          <w:tcPr>
            <w:tcW w:type="dxa" w:w="6860"/>
          </w:tcPr>
          <w:p>
            <w:pPr>
              <w:spacing w:after="30" w:line="27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825"/>
                <w:sz w:val="20"/>
                <w:szCs w:val="20"/>
              </w:rPr>
              <w:t xml:space="preserve">What the buyer wants. buyer_id = auth user id. status drives the lifecycle: pending_review → posted → matching → ready_to_order → …</w:t>
            </w:r>
          </w:p>
        </w:tc>
      </w:tr>
      <w:tr>
        <w:tc>
          <w:tcPr>
            <w:tcW w:type="dxa" w:w="2500"/>
          </w:tcPr>
          <w:p>
            <w:pPr>
              <w:spacing w:after="30" w:line="27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825"/>
                <w:sz w:val="20"/>
                <w:szCs w:val="20"/>
              </w:rPr>
              <w:t xml:space="preserve">seller_responses</w:t>
            </w:r>
          </w:p>
        </w:tc>
        <w:tc>
          <w:tcPr>
            <w:tcW w:type="dxa" w:w="6860"/>
          </w:tcPr>
          <w:p>
            <w:pPr>
              <w:spacing w:after="30" w:line="27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825"/>
                <w:sz w:val="20"/>
                <w:szCs w:val="20"/>
              </w:rPr>
              <w:t xml:space="preserve">THE BIDS TABLE. One row per seller bid. Also carries the negotiation state: negotiation_state, last_actor, round_count, current_price_usd, buyer_counter_price_usd, fee_per_pc_applied_usd.</w:t>
            </w:r>
          </w:p>
        </w:tc>
      </w:tr>
      <w:tr>
        <w:tc>
          <w:tcPr>
            <w:tcW w:type="dxa" w:w="2500"/>
          </w:tcPr>
          <w:p>
            <w:pPr>
              <w:spacing w:after="30" w:line="27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825"/>
                <w:sz w:val="20"/>
                <w:szCs w:val="20"/>
              </w:rPr>
              <w:t xml:space="preserve">sellers</w:t>
            </w:r>
          </w:p>
        </w:tc>
        <w:tc>
          <w:tcPr>
            <w:tcW w:type="dxa" w:w="6860"/>
          </w:tcPr>
          <w:p>
            <w:pPr>
              <w:spacing w:after="30" w:line="27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825"/>
                <w:sz w:val="20"/>
                <w:szCs w:val="20"/>
              </w:rPr>
              <w:t xml:space="preserve">Seller accounts. id = auth user id. public_alias is the buyer-facing pseudonym. seller_code is a separate INTERNAL admin code — do not confuse them.</w:t>
            </w:r>
          </w:p>
        </w:tc>
      </w:tr>
      <w:tr>
        <w:tc>
          <w:tcPr>
            <w:tcW w:type="dxa" w:w="2500"/>
          </w:tcPr>
          <w:p>
            <w:pPr>
              <w:spacing w:after="30" w:line="27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825"/>
                <w:sz w:val="20"/>
                <w:szCs w:val="20"/>
              </w:rPr>
              <w:t xml:space="preserve">deals</w:t>
            </w:r>
          </w:p>
        </w:tc>
        <w:tc>
          <w:tcPr>
            <w:tcW w:type="dxa" w:w="6860"/>
          </w:tcPr>
          <w:p>
            <w:pPr>
              <w:spacing w:after="30" w:line="27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825"/>
                <w:sz w:val="20"/>
                <w:szCs w:val="20"/>
              </w:rPr>
              <w:t xml:space="preserve">Created on accept. Note it was built for the old spread model, so it has spread_per_pc_usd / total_spread_usd. Under the flat fee, THE FEE IS THE SPREAD — see section 5.</w:t>
            </w:r>
          </w:p>
        </w:tc>
      </w:tr>
      <w:tr>
        <w:tc>
          <w:tcPr>
            <w:tcW w:type="dxa" w:w="2500"/>
          </w:tcPr>
          <w:p>
            <w:pPr>
              <w:spacing w:after="30" w:line="27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825"/>
                <w:sz w:val="20"/>
                <w:szCs w:val="20"/>
              </w:rPr>
              <w:t xml:space="preserve">deal_allocations</w:t>
            </w:r>
          </w:p>
        </w:tc>
        <w:tc>
          <w:tcPr>
            <w:tcW w:type="dxa" w:w="6860"/>
          </w:tcPr>
          <w:p>
            <w:pPr>
              <w:spacing w:after="30" w:line="27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825"/>
                <w:sz w:val="20"/>
                <w:szCs w:val="20"/>
              </w:rPr>
              <w:t xml:space="preserve">Per-seller line on a deal. Holds the frozen fee snapshot: fee_per_pc_applied_usd, gross_payout_usd, platform_fee_usd, total_payout_usd (NET).</w:t>
            </w:r>
          </w:p>
        </w:tc>
      </w:tr>
      <w:tr>
        <w:tc>
          <w:tcPr>
            <w:tcW w:type="dxa" w:w="2500"/>
          </w:tcPr>
          <w:p>
            <w:pPr>
              <w:spacing w:after="30" w:line="27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825"/>
                <w:sz w:val="20"/>
                <w:szCs w:val="20"/>
              </w:rPr>
              <w:t xml:space="preserve">platform_fee_config</w:t>
            </w:r>
          </w:p>
        </w:tc>
        <w:tc>
          <w:tcPr>
            <w:tcW w:type="dxa" w:w="6860"/>
          </w:tcPr>
          <w:p>
            <w:pPr>
              <w:spacing w:after="30" w:line="27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825"/>
                <w:sz w:val="20"/>
                <w:szCs w:val="20"/>
              </w:rPr>
              <w:t xml:space="preserve">Single row. fee_per_pc_usd (default 0.70) + pkr_reference label. Admin-editable.</w:t>
            </w:r>
          </w:p>
        </w:tc>
      </w:tr>
      <w:tr>
        <w:tc>
          <w:tcPr>
            <w:tcW w:type="dxa" w:w="2500"/>
          </w:tcPr>
          <w:p>
            <w:pPr>
              <w:spacing w:after="30" w:line="27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825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860"/>
          </w:tcPr>
          <w:p>
            <w:pPr>
              <w:spacing w:after="30" w:line="27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825"/>
                <w:sz w:val="20"/>
                <w:szCs w:val="20"/>
              </w:rPr>
              <w:t xml:space="preserve">Bell feed. NOTE: the live table uses recipient_id (not user_id). push_notification() detects the column at runtime and never blocks the caller if it fails.</w:t>
            </w:r>
          </w:p>
        </w:tc>
      </w:tr>
    </w:tbl>
    <w:p>
      <w:pPr>
        <w:pStyle w:val="Heading2"/>
        <w:spacing w:after="100" w:before="250"/>
      </w:pPr>
      <w:r>
        <w:rPr>
          <w:rFonts w:ascii="Arial" w:cs="Arial" w:eastAsia="Arial" w:hAnsi="Arial"/>
          <w:b/>
          <w:bCs/>
          <w:color w:val="3A443E"/>
        </w:rPr>
        <w:t xml:space="preserve">The views that enforce the moat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shd w:fill="EFEDE7" w:val="clear"/>
          </w:tcPr>
          <w:p>
            <w:pPr>
              <w:spacing w:after="30" w:line="27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825"/>
                <w:sz w:val="20"/>
                <w:szCs w:val="20"/>
              </w:rPr>
              <w:t xml:space="preserve">View</w:t>
            </w:r>
          </w:p>
        </w:tc>
        <w:tc>
          <w:tcPr>
            <w:tcW w:type="dxa" w:w="6860"/>
            <w:shd w:fill="EFEDE7" w:val="clear"/>
          </w:tcPr>
          <w:p>
            <w:pPr>
              <w:spacing w:after="30" w:line="27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825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</w:tcPr>
          <w:p>
            <w:pPr>
              <w:spacing w:after="30" w:line="27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825"/>
                <w:sz w:val="20"/>
                <w:szCs w:val="20"/>
              </w:rPr>
              <w:t xml:space="preserve">buyer_visible_bids</w:t>
            </w:r>
          </w:p>
        </w:tc>
        <w:tc>
          <w:tcPr>
            <w:tcW w:type="dxa" w:w="6860"/>
          </w:tcPr>
          <w:p>
            <w:pPr>
              <w:spacing w:after="30" w:line="27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825"/>
                <w:sz w:val="20"/>
                <w:szCs w:val="20"/>
              </w:rPr>
              <w:t xml:space="preserve">THE ONLY bid source the buyer portal may read. Exposes alias, tier, verified, fee-inclusive price, fill %, negotiation status. It CANNOT return company_name, contact, seller_id, the seller’s raw price, or the fee split.</w:t>
            </w:r>
          </w:p>
        </w:tc>
      </w:tr>
      <w:tr>
        <w:tc>
          <w:tcPr>
            <w:tcW w:type="dxa" w:w="2500"/>
          </w:tcPr>
          <w:p>
            <w:pPr>
              <w:spacing w:after="30" w:line="27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825"/>
                <w:sz w:val="20"/>
                <w:szCs w:val="20"/>
              </w:rPr>
              <w:t xml:space="preserve">seller_own_bids</w:t>
            </w:r>
          </w:p>
        </w:tc>
        <w:tc>
          <w:tcPr>
            <w:tcW w:type="dxa" w:w="6860"/>
          </w:tcPr>
          <w:p>
            <w:pPr>
              <w:spacing w:after="30" w:line="27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825"/>
                <w:sz w:val="20"/>
                <w:szCs w:val="20"/>
              </w:rPr>
              <w:t xml:space="preserve">Seller-facing board. Their price, the fee, what they receive net, any buyer counter, and current status. Contains no buyer identity.</w:t>
            </w:r>
          </w:p>
        </w:tc>
      </w:tr>
      <w:tr>
        <w:tc>
          <w:tcPr>
            <w:tcW w:type="dxa" w:w="2500"/>
          </w:tcPr>
          <w:p>
            <w:pPr>
              <w:spacing w:after="30" w:line="27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825"/>
                <w:sz w:val="20"/>
                <w:szCs w:val="20"/>
              </w:rPr>
              <w:t xml:space="preserve">admin_bid_board</w:t>
            </w:r>
          </w:p>
        </w:tc>
        <w:tc>
          <w:tcPr>
            <w:tcW w:type="dxa" w:w="6860"/>
          </w:tcPr>
          <w:p>
            <w:pPr>
              <w:spacing w:after="30" w:line="27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825"/>
                <w:sz w:val="20"/>
                <w:szCs w:val="20"/>
              </w:rPr>
              <w:t xml:space="preserve">ADMIN ONLY. Real seller identity + alias + full fee breakdown + fill progress. Locked behind get_admin_bid_board() which checks role = admin.</w:t>
            </w:r>
          </w:p>
        </w:tc>
      </w:tr>
    </w:tbl>
    <w:p>
      <w:pPr>
        <w:shd w:fill="FBF3E9" w:val="clear"/>
        <w:spacing w:after="110" w:line="272"/>
      </w:pPr>
      <w:r>
        <w:rPr>
          <w:rFonts w:ascii="Arial" w:cs="Arial" w:eastAsia="Arial" w:hAnsi="Arial"/>
          <w:b/>
          <w:bCs/>
          <w:color w:val="8A5A22"/>
          <w:sz w:val="20"/>
          <w:szCs w:val="20"/>
        </w:rPr>
        <w:t xml:space="preserve">HARD RULE: the buyer portal must NEVER query the sellers table directly, and must never add an identifying column to buyer_visible_bids. If you need a new signal on the board, add it to that view deliberately.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22825"/>
        </w:rPr>
        <w:t xml:space="preserve">5. The money model (read this carefully)</w:t>
      </w:r>
    </w:p>
    <w:p>
      <w:pPr>
        <w:spacing w:after="110" w:line="27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825"/>
          <w:sz w:val="20"/>
          <w:szCs w:val="20"/>
        </w:rPr>
        <w:t xml:space="preserve">Thrivts charges a FLAT platform fee of $0.70 per fulfilled piece, charged to the seller. It is billed in USD; sellers are shown "≈ PKR 200" as a familiar reference only — it is not a live FX conversion.</w:t>
      </w:r>
    </w:p>
    <w:p>
      <w:pPr>
        <w:pStyle w:val="Heading3"/>
        <w:spacing w:after="70" w:before="200"/>
      </w:pPr>
      <w:r>
        <w:rPr>
          <w:rFonts w:ascii="Arial" w:cs="Arial" w:eastAsia="Arial" w:hAnsi="Arial"/>
          <w:b/>
          <w:bCs/>
          <w:color w:val="C5874B"/>
        </w:rPr>
        <w:t xml:space="preserve">How a price becomes a buyer price</w:t>
      </w:r>
    </w:p>
    <w:p>
      <w:pPr>
        <w:shd w:fill="F2F0EA" w:val="clear"/>
        <w:spacing w:after="80"/>
      </w:pPr>
      <w:r>
        <w:rPr>
          <w:rFonts w:ascii="Courier New" w:cs="Courier New" w:eastAsia="Courier New" w:hAnsi="Courier New"/>
          <w:color w:val="222825"/>
          <w:sz w:val="18"/>
          <w:szCs w:val="18"/>
        </w:rPr>
        <w:t xml:space="preserve">seller bids            $9.00 / pc</w:t>
      </w:r>
    </w:p>
    <w:p>
      <w:pPr>
        <w:shd w:fill="F2F0EA" w:val="clear"/>
        <w:spacing w:after="80"/>
      </w:pPr>
      <w:r>
        <w:rPr>
          <w:rFonts w:ascii="Courier New" w:cs="Courier New" w:eastAsia="Courier New" w:hAnsi="Courier New"/>
          <w:color w:val="222825"/>
          <w:sz w:val="18"/>
          <w:szCs w:val="18"/>
        </w:rPr>
        <w:t xml:space="preserve">platform fee           $0.70 / pc   (frozen onto the bid at insert)</w:t>
      </w:r>
    </w:p>
    <w:p>
      <w:pPr>
        <w:shd w:fill="F2F0EA" w:val="clear"/>
        <w:spacing w:after="80"/>
      </w:pPr>
      <w:r>
        <w:rPr>
          <w:rFonts w:ascii="Courier New" w:cs="Courier New" w:eastAsia="Courier New" w:hAnsi="Courier New"/>
          <w:color w:val="222825"/>
          <w:sz w:val="18"/>
          <w:szCs w:val="18"/>
        </w:rPr>
        <w:t xml:space="preserve">buyer sees             $9.70 / pc   (fee-inclusive — ONE number)</w:t>
      </w:r>
    </w:p>
    <w:p>
      <w:pPr>
        <w:spacing w:after="110" w:line="27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825"/>
          <w:sz w:val="20"/>
          <w:szCs w:val="20"/>
        </w:rPr>
        <w:t xml:space="preserve">The buyer compares every bid on this all-in basis, so bids are directly comparable. The seller separately sees "you receive $8.30/pc" (their price minus the fee) on their own board.</w:t>
      </w:r>
    </w:p>
    <w:p>
      <w:pPr>
        <w:pStyle w:val="Heading3"/>
        <w:spacing w:after="70" w:before="200"/>
      </w:pPr>
      <w:r>
        <w:rPr>
          <w:rFonts w:ascii="Arial" w:cs="Arial" w:eastAsia="Arial" w:hAnsi="Arial"/>
          <w:b/>
          <w:bCs/>
          <w:color w:val="C5874B"/>
        </w:rPr>
        <w:t xml:space="preserve">How a deal is written (500 pcs at $9.00)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shd w:fill="EFEDE7" w:val="clear"/>
          </w:tcPr>
          <w:p>
            <w:pPr>
              <w:spacing w:after="30" w:line="27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825"/>
                <w:sz w:val="20"/>
                <w:szCs w:val="20"/>
              </w:rPr>
              <w:t xml:space="preserve">deals column</w:t>
            </w:r>
          </w:p>
        </w:tc>
        <w:tc>
          <w:tcPr>
            <w:tcW w:type="dxa" w:w="6860"/>
            <w:shd w:fill="EFEDE7" w:val="clear"/>
          </w:tcPr>
          <w:p>
            <w:pPr>
              <w:spacing w:after="30" w:line="27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825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</w:tcPr>
          <w:p>
            <w:pPr>
              <w:spacing w:after="30" w:line="27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825"/>
                <w:sz w:val="20"/>
                <w:szCs w:val="20"/>
              </w:rPr>
              <w:t xml:space="preserve">buyer_price_per_pc_usd</w:t>
            </w:r>
          </w:p>
        </w:tc>
        <w:tc>
          <w:tcPr>
            <w:tcW w:type="dxa" w:w="6860"/>
          </w:tcPr>
          <w:p>
            <w:pPr>
              <w:spacing w:after="30" w:line="27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825"/>
                <w:sz w:val="20"/>
                <w:szCs w:val="20"/>
              </w:rPr>
              <w:t xml:space="preserve">9.70  (seller price + fee)</w:t>
            </w:r>
          </w:p>
        </w:tc>
      </w:tr>
      <w:tr>
        <w:tc>
          <w:tcPr>
            <w:tcW w:type="dxa" w:w="2500"/>
          </w:tcPr>
          <w:p>
            <w:pPr>
              <w:spacing w:after="30" w:line="27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825"/>
                <w:sz w:val="20"/>
                <w:szCs w:val="20"/>
              </w:rPr>
              <w:t xml:space="preserve">avg_seller_price_per_pc_usd</w:t>
            </w:r>
          </w:p>
        </w:tc>
        <w:tc>
          <w:tcPr>
            <w:tcW w:type="dxa" w:w="6860"/>
          </w:tcPr>
          <w:p>
            <w:pPr>
              <w:spacing w:after="30" w:line="27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825"/>
                <w:sz w:val="20"/>
                <w:szCs w:val="20"/>
              </w:rPr>
              <w:t xml:space="preserve">9.00  (the seller’s own price)</w:t>
            </w:r>
          </w:p>
        </w:tc>
      </w:tr>
      <w:tr>
        <w:tc>
          <w:tcPr>
            <w:tcW w:type="dxa" w:w="2500"/>
          </w:tcPr>
          <w:p>
            <w:pPr>
              <w:spacing w:after="30" w:line="27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825"/>
                <w:sz w:val="20"/>
                <w:szCs w:val="20"/>
              </w:rPr>
              <w:t xml:space="preserve">spread_per_pc_usd</w:t>
            </w:r>
          </w:p>
        </w:tc>
        <w:tc>
          <w:tcPr>
            <w:tcW w:type="dxa" w:w="6860"/>
          </w:tcPr>
          <w:p>
            <w:pPr>
              <w:spacing w:after="30" w:line="27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825"/>
                <w:sz w:val="20"/>
                <w:szCs w:val="20"/>
              </w:rPr>
              <w:t xml:space="preserve">0.70  ← THE FEE IS THE SPREAD</w:t>
            </w:r>
          </w:p>
        </w:tc>
      </w:tr>
      <w:tr>
        <w:tc>
          <w:tcPr>
            <w:tcW w:type="dxa" w:w="2500"/>
          </w:tcPr>
          <w:p>
            <w:pPr>
              <w:spacing w:after="30" w:line="27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825"/>
                <w:sz w:val="20"/>
                <w:szCs w:val="20"/>
              </w:rPr>
              <w:t xml:space="preserve">subtotal_usd / total_invoice_usd</w:t>
            </w:r>
          </w:p>
        </w:tc>
        <w:tc>
          <w:tcPr>
            <w:tcW w:type="dxa" w:w="6860"/>
          </w:tcPr>
          <w:p>
            <w:pPr>
              <w:spacing w:after="30" w:line="27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825"/>
                <w:sz w:val="20"/>
                <w:szCs w:val="20"/>
              </w:rPr>
              <w:t xml:space="preserve">4,850.00  (9.70 × 500)</w:t>
            </w:r>
          </w:p>
        </w:tc>
      </w:tr>
      <w:tr>
        <w:tc>
          <w:tcPr>
            <w:tcW w:type="dxa" w:w="2500"/>
          </w:tcPr>
          <w:p>
            <w:pPr>
              <w:spacing w:after="30" w:line="27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825"/>
                <w:sz w:val="20"/>
                <w:szCs w:val="20"/>
              </w:rPr>
              <w:t xml:space="preserve">total_spread_usd</w:t>
            </w:r>
          </w:p>
        </w:tc>
        <w:tc>
          <w:tcPr>
            <w:tcW w:type="dxa" w:w="6860"/>
          </w:tcPr>
          <w:p>
            <w:pPr>
              <w:spacing w:after="30" w:line="27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825"/>
                <w:sz w:val="20"/>
                <w:szCs w:val="20"/>
              </w:rPr>
              <w:t xml:space="preserve">350.00  (Thrivts revenue)</w:t>
            </w:r>
          </w:p>
        </w:tc>
      </w:tr>
      <w:tr>
        <w:tc>
          <w:tcPr>
            <w:tcW w:type="dxa" w:w="2500"/>
          </w:tcPr>
          <w:p>
            <w:pPr>
              <w:spacing w:after="30" w:line="27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825"/>
                <w:sz w:val="20"/>
                <w:szCs w:val="20"/>
              </w:rPr>
              <w:t xml:space="preserve">total_seller_payout_usd</w:t>
            </w:r>
          </w:p>
        </w:tc>
        <w:tc>
          <w:tcPr>
            <w:tcW w:type="dxa" w:w="6860"/>
          </w:tcPr>
          <w:p>
            <w:pPr>
              <w:spacing w:after="30" w:line="27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825"/>
                <w:sz w:val="20"/>
                <w:szCs w:val="20"/>
              </w:rPr>
              <w:t xml:space="preserve">4,500.00  (what the seller is owed)</w:t>
            </w:r>
          </w:p>
        </w:tc>
      </w:tr>
    </w:tbl>
    <w:p>
      <w:pPr>
        <w:spacing w:after="110" w:line="27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825"/>
          <w:sz w:val="20"/>
          <w:szCs w:val="20"/>
        </w:rPr>
        <w:t xml:space="preserve">Books reconcile: seller payout 4,500 + Thrivts spread 350 = invoice 4,850.</w:t>
      </w:r>
    </w:p>
    <w:p>
      <w:pPr>
        <w:spacing w:after="110" w:line="27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825"/>
          <w:sz w:val="20"/>
          <w:szCs w:val="20"/>
        </w:rPr>
        <w:t xml:space="preserve">Mapping the fee onto the legacy spread columns was deliberate — it means all the existing admin, commission and revenue screens keep working unchanged. They now simply show a flat $0.70/pc instead of a variable percentage.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22825"/>
        </w:rPr>
        <w:t xml:space="preserve">6. The RPCs (all business logic lives here)</w:t>
      </w:r>
    </w:p>
    <w:p>
      <w:pPr>
        <w:spacing w:after="110" w:line="27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825"/>
          <w:sz w:val="20"/>
          <w:szCs w:val="20"/>
        </w:rPr>
        <w:t xml:space="preserve">These are Postgres SECURITY DEFINER functions. The browser calls them via supabase.rpc(). Never move this logic into the frontend — the guards are the security model.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shd w:fill="EFEDE7" w:val="clear"/>
          </w:tcPr>
          <w:p>
            <w:pPr>
              <w:spacing w:after="30" w:line="27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825"/>
                <w:sz w:val="20"/>
                <w:szCs w:val="20"/>
              </w:rPr>
              <w:t xml:space="preserve">Function</w:t>
            </w:r>
          </w:p>
        </w:tc>
        <w:tc>
          <w:tcPr>
            <w:tcW w:type="dxa" w:w="6860"/>
            <w:shd w:fill="EFEDE7" w:val="clear"/>
          </w:tcPr>
          <w:p>
            <w:pPr>
              <w:spacing w:after="30" w:line="27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825"/>
                <w:sz w:val="20"/>
                <w:szCs w:val="20"/>
              </w:rPr>
              <w:t xml:space="preserve">What it does / what it guards</w:t>
            </w:r>
          </w:p>
        </w:tc>
      </w:tr>
      <w:tr>
        <w:tc>
          <w:tcPr>
            <w:tcW w:type="dxa" w:w="2500"/>
          </w:tcPr>
          <w:p>
            <w:pPr>
              <w:spacing w:after="30" w:line="27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825"/>
                <w:sz w:val="20"/>
                <w:szCs w:val="20"/>
              </w:rPr>
              <w:t xml:space="preserve">buyer_accept_bid(bid_id)</w:t>
            </w:r>
          </w:p>
        </w:tc>
        <w:tc>
          <w:tcPr>
            <w:tcW w:type="dxa" w:w="6860"/>
          </w:tcPr>
          <w:p>
            <w:pPr>
              <w:spacing w:after="30" w:line="27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825"/>
                <w:sz w:val="20"/>
                <w:szCs w:val="20"/>
              </w:rPr>
              <w:t xml:space="preserve">Verifies the caller owns the requirement; refuses to over-fill the quantity; creates deal + allocation with the fee frozen; marks the bid accepted; advances requirement status; notifies the seller.</w:t>
            </w:r>
          </w:p>
        </w:tc>
      </w:tr>
      <w:tr>
        <w:tc>
          <w:tcPr>
            <w:tcW w:type="dxa" w:w="2500"/>
          </w:tcPr>
          <w:p>
            <w:pPr>
              <w:spacing w:after="30" w:line="27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825"/>
                <w:sz w:val="20"/>
                <w:szCs w:val="20"/>
              </w:rPr>
              <w:t xml:space="preserve">buyer_counter_bid(bid_id, price, note)</w:t>
            </w:r>
          </w:p>
        </w:tc>
        <w:tc>
          <w:tcPr>
            <w:tcW w:type="dxa" w:w="6860"/>
          </w:tcPr>
          <w:p>
            <w:pPr>
              <w:spacing w:after="30" w:line="27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825"/>
                <w:sz w:val="20"/>
                <w:szCs w:val="20"/>
              </w:rPr>
              <w:t xml:space="preserve">Buyer counters. Buyer enters a FEE-INCLUSIVE price; the function stores the seller-side equivalent underneath. Sets negotiation_state = countered_by_buyer and notifies the seller.</w:t>
            </w:r>
          </w:p>
        </w:tc>
      </w:tr>
      <w:tr>
        <w:tc>
          <w:tcPr>
            <w:tcW w:type="dxa" w:w="2500"/>
          </w:tcPr>
          <w:p>
            <w:pPr>
              <w:spacing w:after="30" w:line="27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825"/>
                <w:sz w:val="20"/>
                <w:szCs w:val="20"/>
              </w:rPr>
              <w:t xml:space="preserve">seller_respond_to_counter(bid_id, action, price, note)</w:t>
            </w:r>
          </w:p>
        </w:tc>
        <w:tc>
          <w:tcPr>
            <w:tcW w:type="dxa" w:w="6860"/>
          </w:tcPr>
          <w:p>
            <w:pPr>
              <w:spacing w:after="30" w:line="27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825"/>
                <w:sz w:val="20"/>
                <w:szCs w:val="20"/>
              </w:rPr>
              <w:t xml:space="preserve">action = accept | decline | counter. Verifies the caller IS that seller. Updates negotiation state and notifies the buyer.</w:t>
            </w:r>
          </w:p>
        </w:tc>
      </w:tr>
      <w:tr>
        <w:tc>
          <w:tcPr>
            <w:tcW w:type="dxa" w:w="2500"/>
          </w:tcPr>
          <w:p>
            <w:pPr>
              <w:spacing w:after="30" w:line="27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825"/>
                <w:sz w:val="20"/>
                <w:szCs w:val="20"/>
              </w:rPr>
              <w:t xml:space="preserve">admin_reveal_seller(alias)</w:t>
            </w:r>
          </w:p>
        </w:tc>
        <w:tc>
          <w:tcPr>
            <w:tcW w:type="dxa" w:w="6860"/>
          </w:tcPr>
          <w:p>
            <w:pPr>
              <w:spacing w:after="30" w:line="27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825"/>
                <w:sz w:val="20"/>
                <w:szCs w:val="20"/>
              </w:rPr>
              <w:t xml:space="preserve">Admin-only. Maps a pseudonym like Seller_7fx3 back to the real seller for verification / QC / moderation.</w:t>
            </w:r>
          </w:p>
        </w:tc>
      </w:tr>
      <w:tr>
        <w:tc>
          <w:tcPr>
            <w:tcW w:type="dxa" w:w="2500"/>
          </w:tcPr>
          <w:p>
            <w:pPr>
              <w:spacing w:after="30" w:line="27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825"/>
                <w:sz w:val="20"/>
                <w:szCs w:val="20"/>
              </w:rPr>
              <w:t xml:space="preserve">get_admin_bid_board(req_id)</w:t>
            </w:r>
          </w:p>
        </w:tc>
        <w:tc>
          <w:tcPr>
            <w:tcW w:type="dxa" w:w="6860"/>
          </w:tcPr>
          <w:p>
            <w:pPr>
              <w:spacing w:after="30" w:line="27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825"/>
                <w:sz w:val="20"/>
                <w:szCs w:val="20"/>
              </w:rPr>
              <w:t xml:space="preserve">Admin-only wrapper over admin_bid_board.</w:t>
            </w:r>
          </w:p>
        </w:tc>
      </w:tr>
      <w:tr>
        <w:tc>
          <w:tcPr>
            <w:tcW w:type="dxa" w:w="2500"/>
          </w:tcPr>
          <w:p>
            <w:pPr>
              <w:spacing w:after="30" w:line="27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825"/>
                <w:sz w:val="20"/>
                <w:szCs w:val="20"/>
              </w:rPr>
              <w:t xml:space="preserve">push_notification(...)</w:t>
            </w:r>
          </w:p>
        </w:tc>
        <w:tc>
          <w:tcPr>
            <w:tcW w:type="dxa" w:w="6860"/>
          </w:tcPr>
          <w:p>
            <w:pPr>
              <w:spacing w:after="30" w:line="27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825"/>
                <w:sz w:val="20"/>
                <w:szCs w:val="20"/>
              </w:rPr>
              <w:t xml:space="preserve">Writes a bell notification. Detects the recipient column at runtime and NEVER throws — a notification failure must not break a bid or a deal.</w:t>
            </w:r>
          </w:p>
        </w:tc>
      </w:tr>
      <w:tr>
        <w:tc>
          <w:tcPr>
            <w:tcW w:type="dxa" w:w="2500"/>
          </w:tcPr>
          <w:p>
            <w:pPr>
              <w:spacing w:after="30" w:line="27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825"/>
                <w:sz w:val="20"/>
                <w:szCs w:val="20"/>
              </w:rPr>
              <w:t xml:space="preserve">admin_delete_requirement(req_id)</w:t>
            </w:r>
          </w:p>
        </w:tc>
        <w:tc>
          <w:tcPr>
            <w:tcW w:type="dxa" w:w="6860"/>
          </w:tcPr>
          <w:p>
            <w:pPr>
              <w:spacing w:after="30" w:line="27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825"/>
                <w:sz w:val="20"/>
                <w:szCs w:val="20"/>
              </w:rPr>
              <w:t xml:space="preserve">Admin-only cascade delete (disputes → commissions → allocations → deals → bids → requirement).</w:t>
            </w:r>
          </w:p>
        </w:tc>
      </w:tr>
    </w:tbl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22825"/>
        </w:rPr>
        <w:t xml:space="preserve">7. Gotchas that have already bitten us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rPr>
          <w:rFonts w:ascii="Arial" w:cs="Arial" w:eastAsia="Arial" w:hAnsi="Arial"/>
          <w:color w:val="222825"/>
          <w:sz w:val="20"/>
          <w:szCs w:val="20"/>
        </w:rPr>
        <w:t xml:space="preserve">buyers.id / sellers.id ARE the auth user id. There is no user_id column. Ownership checks compare sellers.id = auth.uid().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rPr>
          <w:rFonts w:ascii="Arial" w:cs="Arial" w:eastAsia="Arial" w:hAnsi="Arial"/>
          <w:color w:val="222825"/>
          <w:sz w:val="20"/>
          <w:szCs w:val="20"/>
        </w:rPr>
        <w:t xml:space="preserve">The notifications table uses recipient_id, not user_id.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rPr>
          <w:rFonts w:ascii="Arial" w:cs="Arial" w:eastAsia="Arial" w:hAnsi="Arial"/>
          <w:color w:val="222825"/>
          <w:sz w:val="20"/>
          <w:szCs w:val="20"/>
        </w:rPr>
        <w:t xml:space="preserve">requirements.category_id is TEXT, not uuid.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rPr>
          <w:rFonts w:ascii="Arial" w:cs="Arial" w:eastAsia="Arial" w:hAnsi="Arial"/>
          <w:color w:val="222825"/>
          <w:sz w:val="20"/>
          <w:szCs w:val="20"/>
        </w:rPr>
        <w:t xml:space="preserve">deals has 11 NOT NULL columns with no default — every insert must supply all of them (see section 5).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rPr>
          <w:rFonts w:ascii="Arial" w:cs="Arial" w:eastAsia="Arial" w:hAnsi="Arial"/>
          <w:color w:val="222825"/>
          <w:sz w:val="20"/>
          <w:szCs w:val="20"/>
        </w:rPr>
        <w:t xml:space="preserve">Postgres CREATE OR REPLACE VIEW cannot add, drop or rename view columns. You must DROP VIEW first. This bit us three times.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rPr>
          <w:rFonts w:ascii="Arial" w:cs="Arial" w:eastAsia="Arial" w:hAnsi="Arial"/>
          <w:color w:val="222825"/>
          <w:sz w:val="20"/>
          <w:szCs w:val="20"/>
        </w:rPr>
        <w:t xml:space="preserve">ALTER TYPE ... ADD VALUE (enums) often cannot run inside a multi-statement script — run it on its own.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rPr>
          <w:rFonts w:ascii="Arial" w:cs="Arial" w:eastAsia="Arial" w:hAnsi="Arial"/>
          <w:color w:val="222825"/>
          <w:sz w:val="20"/>
          <w:szCs w:val="20"/>
        </w:rPr>
        <w:t xml:space="preserve">Do not rely on Realtime alone to repaint the UI. After a user’s OWN action, repaint immediately; a 15s poll covers the other party’s moves.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rPr>
          <w:rFonts w:ascii="Arial" w:cs="Arial" w:eastAsia="Arial" w:hAnsi="Arial"/>
          <w:color w:val="222825"/>
          <w:sz w:val="20"/>
          <w:szCs w:val="20"/>
        </w:rPr>
        <w:t xml:space="preserve">Supabase is on NANO compute and idles near 67% RAM. Too many open SQL editor tabs will exhaust connections and take PostgREST down (symptom: "TypeError: Failed to fetch"). Upgrade compute before load testing or launch.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22825"/>
        </w:rPr>
        <w:t xml:space="preserve">8. Working conventions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rPr>
          <w:rFonts w:ascii="Arial" w:cs="Arial" w:eastAsia="Arial" w:hAnsi="Arial"/>
          <w:color w:val="222825"/>
          <w:sz w:val="20"/>
          <w:szCs w:val="20"/>
        </w:rPr>
        <w:t xml:space="preserve">Verify column names against information_schema before writing any insert. Do not assume.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rPr>
          <w:rFonts w:ascii="Arial" w:cs="Arial" w:eastAsia="Arial" w:hAnsi="Arial"/>
          <w:color w:val="222825"/>
          <w:sz w:val="20"/>
          <w:szCs w:val="20"/>
        </w:rPr>
        <w:t xml:space="preserve">Migrations are idempotent and run in order. Current order: PART2 → PART4 → PART8A → PART8B → FIX4 → SECURITY_hardening.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rPr>
          <w:rFonts w:ascii="Arial" w:cs="Arial" w:eastAsia="Arial" w:hAnsi="Arial"/>
          <w:color w:val="222825"/>
          <w:sz w:val="20"/>
          <w:szCs w:val="20"/>
        </w:rPr>
        <w:t xml:space="preserve">Anything that touches money must freeze a snapshot (fee rate as applied), never recompute historical rows from current config.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rPr>
          <w:rFonts w:ascii="Arial" w:cs="Arial" w:eastAsia="Arial" w:hAnsi="Arial"/>
          <w:color w:val="222825"/>
          <w:sz w:val="20"/>
          <w:szCs w:val="20"/>
        </w:rPr>
        <w:t xml:space="preserve">Every user action must have a visible result in the UI. An action with no feedback is an incomplete feature.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rPr>
          <w:rFonts w:ascii="Arial" w:cs="Arial" w:eastAsia="Arial" w:hAnsi="Arial"/>
          <w:color w:val="222825"/>
          <w:sz w:val="20"/>
          <w:szCs w:val="20"/>
        </w:rPr>
        <w:t xml:space="preserve">anon (logged-out) has EXECUTE on only four functions: get_public_activity, handle_new_user, submit_partner_application, validate_seller_invite. Everything else is authenticated-only.</w:t>
      </w:r>
    </w:p>
    <w:p>
      <w:pPr>
        <w:spacing w:after="110" w:line="272"/>
      </w:pPr>
      <w:r>
        <w:rPr>
          <w:rFonts w:ascii="Arial" w:cs="Arial" w:eastAsia="Arial" w:hAnsi="Arial"/>
          <w:b w:val="false"/>
          <w:bCs w:val="false"/>
          <w:i/>
          <w:iCs/>
          <w:color w:val="222825"/>
          <w:sz w:val="20"/>
          <w:szCs w:val="20"/>
        </w:rPr>
        <w:t xml:space="preserve">Questions on any of this should go to Afnan. The two rules in section 1 are not negotiable — everything else is open to a better implementation.</w:t>
      </w:r>
    </w:p>
    <w:sectPr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82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2026-07-23T13:51:06.502Z</dcterms:created>
  <dcterms:modified xsi:type="dcterms:W3CDTF">2026-07-23T13:51:06.524Z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