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720" w:rsidRDefault="006A3720" w:rsidP="006A372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Last year, we missed posting our yearly review. </w:t>
      </w:r>
      <w:proofErr w:type="gramStart"/>
      <w:r>
        <w:rPr>
          <w:rFonts w:ascii="Arial" w:hAnsi="Arial" w:cs="Arial"/>
          <w:color w:val="333333"/>
          <w:sz w:val="22"/>
          <w:szCs w:val="22"/>
        </w:rPr>
        <w:t xml:space="preserve">Partially because 2021/start of 2022 was a busy time for us, led by digitalization of businesses post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Covid</w:t>
      </w:r>
      <w:proofErr w:type="spellEnd"/>
      <w:r>
        <w:rPr>
          <w:rFonts w:ascii="Arial" w:hAnsi="Arial" w:cs="Arial"/>
          <w:color w:val="333333"/>
          <w:sz w:val="22"/>
          <w:szCs w:val="22"/>
        </w:rPr>
        <w:t>.</w:t>
      </w:r>
      <w:proofErr w:type="gramEnd"/>
    </w:p>
    <w:p w:rsidR="006A3720" w:rsidRDefault="006A3720" w:rsidP="006A372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The abnormal growth cycle also meant surplus revenue and profits that could be reinvested in other areas.</w:t>
      </w:r>
    </w:p>
    <w:p w:rsidR="006A3720" w:rsidRDefault="006A3720" w:rsidP="006A372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I always envisioned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Saeloun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to be an umbrella of activities, and grow laterally. It is difficult to rely just on our Services Business, to be economically independent or its side-effects.</w:t>
      </w:r>
    </w:p>
    <w:p w:rsidR="006A3720" w:rsidRDefault="006A3720" w:rsidP="006A372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The optimism of 2021, led to me expanding and investing in multiple areas (which I will discuss below), from the profit share attached to me personally.</w:t>
      </w:r>
    </w:p>
    <w:p w:rsidR="00E30DA6" w:rsidRDefault="00E30DA6"/>
    <w:sectPr w:rsidR="00E30DA6" w:rsidSect="00E30D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3720"/>
    <w:rsid w:val="006A3720"/>
    <w:rsid w:val="00E30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1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2023-02-07T14:30:00Z</dcterms:created>
  <dcterms:modified xsi:type="dcterms:W3CDTF">2023-02-07T14:33:00Z</dcterms:modified>
</cp:coreProperties>
</file>