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360" w:line="264" w:lineRule="auto"/>
      </w:pPr>
      <w:r>
        <w:rPr>
          <w:rFonts w:ascii="Aptos" w:hAnsi="Aptos"/>
          <w:b/>
          <w:i w:val="0"/>
          <w:color w:val="2E74B5"/>
          <w:sz w:val="22"/>
        </w:rPr>
        <w:t>MOLTRIX</w:t>
      </w:r>
    </w:p>
    <w:p>
      <w:pPr>
        <w:keepLines/>
        <w:spacing w:before="0" w:after="160" w:line="264" w:lineRule="auto"/>
      </w:pPr>
      <w:r>
        <w:rPr>
          <w:rFonts w:ascii="Aptos" w:hAnsi="Aptos"/>
          <w:b/>
          <w:i w:val="0"/>
          <w:color w:val="17365D"/>
          <w:sz w:val="50"/>
        </w:rPr>
        <w:t>Professional Cloud, AI &amp;</w:t>
        <w:br/>
        <w:t>Platform Engineering Roadmap</w:t>
      </w:r>
    </w:p>
    <w:p>
      <w:pPr>
        <w:keepLines w:val="0"/>
        <w:spacing w:before="0" w:after="320" w:line="264" w:lineRule="auto"/>
      </w:pPr>
      <w:r>
        <w:rPr>
          <w:rFonts w:ascii="Aptos" w:hAnsi="Aptos"/>
          <w:b/>
          <w:i w:val="0"/>
          <w:color w:val="C69214"/>
          <w:sz w:val="21"/>
        </w:rPr>
        <w:t>VERSION 3.1  •  JULY 2026</w:t>
      </w:r>
    </w:p>
    <w:p>
      <w:pPr>
        <w:keepLines w:val="0"/>
        <w:spacing w:before="0" w:after="440" w:line="264" w:lineRule="auto"/>
      </w:pPr>
      <w:r>
        <w:rPr>
          <w:rFonts w:ascii="Aptos" w:hAnsi="Aptos"/>
          <w:b w:val="0"/>
          <w:i w:val="0"/>
          <w:color w:val="5B6573"/>
          <w:sz w:val="25"/>
        </w:rPr>
        <w:t>Academic alignment • industry credentials • Moltrix projects • Canadian employment strategy</w:t>
      </w:r>
    </w:p>
    <w:p>
      <w:pPr>
        <w:spacing w:before="60" w:after="140" w:line="259" w:lineRule="auto"/>
        <w:ind w:left="115" w:right="115"/>
        <w:shd w:fill="EAF1F8"/>
        <w:spacing w:before="90" w:after="90"/>
      </w:pPr>
      <w:r>
        <w:rPr>
          <w:rFonts w:ascii="Aptos" w:hAnsi="Aptos"/>
          <w:b/>
          <w:i w:val="0"/>
          <w:color w:val="17365D"/>
          <w:sz w:val="20"/>
        </w:rPr>
        <w:t xml:space="preserve">Executive judgment: </w:t>
      </w:r>
      <w:r>
        <w:rPr>
          <w:rFonts w:ascii="Aptos" w:hAnsi="Aptos"/>
          <w:b w:val="0"/>
          <w:i w:val="0"/>
          <w:color w:val="17202A"/>
          <w:sz w:val="20"/>
        </w:rPr>
        <w:t>Approved direction—conditional on execution discipline. Certifications validate knowledge; projects, testing, troubleshooting, communication and professional evidence create employability.</w:t>
      </w:r>
    </w:p>
    <w:p>
      <w:pPr>
        <w:pStyle w:val="Heading1"/>
        <w:keepNext/>
      </w:pPr>
      <w:r>
        <w:t>Strategic purpose</w:t>
      </w:r>
    </w:p>
    <w:p>
      <w:pPr>
        <w:keepLines w:val="0"/>
        <w:spacing w:before="0" w:after="120" w:line="264" w:lineRule="auto"/>
      </w:pPr>
      <w:r>
        <w:rPr>
          <w:rFonts w:ascii="Aptos" w:hAnsi="Aptos"/>
          <w:b w:val="0"/>
          <w:i w:val="0"/>
          <w:color w:val="17202A"/>
          <w:sz w:val="21"/>
        </w:rPr>
        <w:t>Build a durable Finance + Cloud + AI identity by converting George Brown coursework, prior Applied AI learning and 19 years of finance experience into current credentials, secure hands-on systems, GitHub evidence, professor-reviewed demonstrations and realistic Canadian employment pathways.</w:t>
      </w:r>
    </w:p>
    <w:tbl>
      <w:tblPr>
        <w:tblStyle w:val="TableGrid"/>
        <w:tblW w:type="dxa" w:w="9360"/>
        <w:jc w:val="center"/>
        <w:tblLayout w:type="fixed"/>
        <w:tblLook w:firstColumn="1" w:firstRow="1" w:lastColumn="0" w:lastRow="0" w:noHBand="0" w:noVBand="1" w:val="04A0"/>
        <w:tblInd w:w="120" w:type="dxa"/>
      </w:tblPr>
      <w:tblGrid>
        <w:gridCol w:w="2850"/>
        <w:gridCol w:w="3300"/>
        <w:gridCol w:w="3210"/>
      </w:tblGrid>
      <w:tr>
        <w:trPr>
          <w:tblHeader w:val="true"/>
          <w:cantSplit/>
        </w:trPr>
        <w:tc>
          <w:tcPr>
            <w:tcW w:type="dxa" w:w="2850"/>
            <w:tcMar>
              <w:top w:w="90" w:type="dxa"/>
              <w:start w:w="120" w:type="dxa"/>
              <w:bottom w:w="90" w:type="dxa"/>
              <w:end w:w="120" w:type="dxa"/>
            </w:tcMar>
            <w:vAlign w:val="center"/>
            <w:shd w:fill="17365D"/>
          </w:tcPr>
          <w:p>
            <w:pPr>
              <w:spacing w:after="0"/>
              <w:jc w:val="center"/>
            </w:pPr>
            <w:r>
              <w:rPr>
                <w:rFonts w:ascii="Aptos" w:hAnsi="Aptos"/>
                <w:b/>
                <w:i w:val="0"/>
                <w:color w:val="FFFFFF"/>
                <w:sz w:val="18"/>
              </w:rPr>
              <w:t>Existing strength</w:t>
            </w:r>
          </w:p>
        </w:tc>
        <w:tc>
          <w:tcPr>
            <w:tcW w:type="dxa" w:w="3300"/>
            <w:tcMar>
              <w:top w:w="90" w:type="dxa"/>
              <w:start w:w="120" w:type="dxa"/>
              <w:bottom w:w="90" w:type="dxa"/>
              <w:end w:w="120" w:type="dxa"/>
            </w:tcMar>
            <w:vAlign w:val="center"/>
            <w:shd w:fill="17365D"/>
          </w:tcPr>
          <w:p>
            <w:pPr>
              <w:spacing w:after="0"/>
              <w:jc w:val="center"/>
            </w:pPr>
            <w:r>
              <w:rPr>
                <w:rFonts w:ascii="Aptos" w:hAnsi="Aptos"/>
                <w:b/>
                <w:i w:val="0"/>
                <w:color w:val="FFFFFF"/>
                <w:sz w:val="18"/>
              </w:rPr>
              <w:t>Capability being built</w:t>
            </w:r>
          </w:p>
        </w:tc>
        <w:tc>
          <w:tcPr>
            <w:tcW w:type="dxa" w:w="3210"/>
            <w:tcMar>
              <w:top w:w="90" w:type="dxa"/>
              <w:start w:w="120" w:type="dxa"/>
              <w:bottom w:w="90" w:type="dxa"/>
              <w:end w:w="120" w:type="dxa"/>
            </w:tcMar>
            <w:vAlign w:val="center"/>
            <w:shd w:fill="17365D"/>
          </w:tcPr>
          <w:p>
            <w:pPr>
              <w:spacing w:after="0"/>
              <w:jc w:val="center"/>
            </w:pPr>
            <w:r>
              <w:rPr>
                <w:rFonts w:ascii="Aptos" w:hAnsi="Aptos"/>
                <w:b/>
                <w:i w:val="0"/>
                <w:color w:val="FFFFFF"/>
                <w:sz w:val="18"/>
              </w:rPr>
              <w:t>Target professional identity</w:t>
            </w:r>
          </w:p>
        </w:tc>
      </w:tr>
      <w:tr>
        <w:trPr>
          <w:cantSplit/>
        </w:trPr>
        <w:tc>
          <w:tcPr>
            <w:tcW w:type="dxa" w:w="2850"/>
          </w:tcPr>
          <w:p>
            <w:pPr>
              <w:spacing w:after="0" w:line="240" w:lineRule="auto"/>
            </w:pPr>
            <w:r>
              <w:rPr>
                <w:rFonts w:ascii="Aptos" w:hAnsi="Aptos"/>
                <w:b w:val="0"/>
                <w:i w:val="0"/>
                <w:color w:val="17202A"/>
                <w:sz w:val="18"/>
              </w:rPr>
              <w:t>Finance/accounting, controls, reporting, budgeting, audit and leadership</w:t>
            </w:r>
          </w:p>
        </w:tc>
        <w:tc>
          <w:tcPr>
            <w:tcW w:type="dxa" w:w="3300"/>
          </w:tcPr>
          <w:p>
            <w:pPr>
              <w:spacing w:after="0" w:line="240" w:lineRule="auto"/>
            </w:pPr>
            <w:r>
              <w:rPr>
                <w:rFonts w:ascii="Aptos" w:hAnsi="Aptos"/>
                <w:b w:val="0"/>
                <w:i w:val="0"/>
                <w:color w:val="17202A"/>
                <w:sz w:val="18"/>
              </w:rPr>
              <w:t>Microsoft 365, endpoint administration, Azure, automation, platform engineering, AI operations and later AWS</w:t>
            </w:r>
          </w:p>
        </w:tc>
        <w:tc>
          <w:tcPr>
            <w:tcW w:type="dxa" w:w="3210"/>
          </w:tcPr>
          <w:p>
            <w:pPr>
              <w:spacing w:after="0" w:line="240" w:lineRule="auto"/>
            </w:pPr>
            <w:r>
              <w:rPr>
                <w:rFonts w:ascii="Aptos" w:hAnsi="Aptos"/>
                <w:b w:val="0"/>
                <w:i w:val="0"/>
                <w:color w:val="17202A"/>
                <w:sz w:val="18"/>
              </w:rPr>
              <w:t>AI-enabled enterprise cloud professional with finance, governance and transformation depth</w:t>
            </w:r>
          </w:p>
        </w:tc>
      </w:tr>
    </w:tbl>
    <w:p>
      <w:pPr>
        <w:pStyle w:val="Heading1"/>
        <w:keepNext/>
      </w:pPr>
      <w:r>
        <w:t>Professional outcome</w:t>
      </w:r>
    </w:p>
    <w:p>
      <w:pPr>
        <w:keepLines w:val="0"/>
        <w:spacing w:before="0" w:after="120" w:line="264" w:lineRule="auto"/>
      </w:pPr>
      <w:r>
        <w:rPr>
          <w:rFonts w:ascii="Aptos" w:hAnsi="Aptos"/>
          <w:b/>
          <w:i w:val="0"/>
          <w:color w:val="17365D"/>
          <w:sz w:val="24"/>
        </w:rPr>
        <w:t>Anwar can design, build, secure, automate, monitor, troubleshoot and improve cloud systems; deploy and govern AI responsibly; translate technical performance into business value; and demonstrate every major claim through Moltrix evidence.</w:t>
      </w:r>
    </w:p>
    <w:p>
      <w:r>
        <w:br w:type="page"/>
      </w:r>
    </w:p>
    <w:p>
      <w:pPr>
        <w:pStyle w:val="Heading1"/>
        <w:keepNext/>
      </w:pPr>
      <w:r>
        <w:t>Why This Roadmap?</w:t>
      </w:r>
    </w:p>
    <w:p>
      <w:pPr>
        <w:keepLines w:val="0"/>
        <w:spacing w:before="0" w:after="120" w:line="264" w:lineRule="auto"/>
      </w:pPr>
      <w:r>
        <w:rPr>
          <w:rFonts w:ascii="Aptos" w:hAnsi="Aptos"/>
          <w:b w:val="0"/>
          <w:i w:val="0"/>
          <w:color w:val="17202A"/>
          <w:sz w:val="21"/>
        </w:rPr>
        <w:t>The sequence is designed around employability, learning transfer and credible proof—not around collecting the largest number of certificates.</w:t>
      </w:r>
    </w:p>
    <w:p>
      <w:pPr>
        <w:spacing w:before="0" w:after="140" w:line="264" w:lineRule="auto"/>
      </w:pPr>
      <w:r>
        <w:rPr>
          <w:rFonts w:ascii="Aptos" w:hAnsi="Aptos"/>
          <w:b/>
          <w:i w:val="0"/>
          <w:color w:val="2E74B5"/>
          <w:sz w:val="20"/>
        </w:rPr>
        <w:t xml:space="preserve">Why Microsoft first. </w:t>
      </w:r>
      <w:r>
        <w:rPr>
          <w:rFonts w:ascii="Aptos" w:hAnsi="Aptos"/>
          <w:b w:val="0"/>
          <w:i w:val="0"/>
          <w:color w:val="17202A"/>
          <w:sz w:val="20"/>
        </w:rPr>
        <w:t>George Brown coursework, completed desktop foundations and the Ontario enterprise market make Microsoft 365, Intune, Entra and Azure the fastest route to coherent practical evidence.</w:t>
      </w:r>
    </w:p>
    <w:p>
      <w:pPr>
        <w:spacing w:before="0" w:after="140" w:line="264" w:lineRule="auto"/>
      </w:pPr>
      <w:r>
        <w:rPr>
          <w:rFonts w:ascii="Aptos" w:hAnsi="Aptos"/>
          <w:b/>
          <w:i w:val="0"/>
          <w:color w:val="2E74B5"/>
          <w:sz w:val="20"/>
        </w:rPr>
        <w:t xml:space="preserve">Why MD-102 first. </w:t>
      </w:r>
      <w:r>
        <w:rPr>
          <w:rFonts w:ascii="Aptos" w:hAnsi="Aptos"/>
          <w:b w:val="0"/>
          <w:i w:val="0"/>
          <w:color w:val="17202A"/>
          <w:sz w:val="20"/>
        </w:rPr>
        <w:t>Endpoint administration creates an attainable entry point while strengthening identity, policy, compliance, security and troubleshooting skills used later in Azure.</w:t>
      </w:r>
    </w:p>
    <w:p>
      <w:pPr>
        <w:spacing w:before="0" w:after="140" w:line="264" w:lineRule="auto"/>
      </w:pPr>
      <w:r>
        <w:rPr>
          <w:rFonts w:ascii="Aptos" w:hAnsi="Aptos"/>
          <w:b/>
          <w:i w:val="0"/>
          <w:color w:val="2E74B5"/>
          <w:sz w:val="20"/>
        </w:rPr>
        <w:t xml:space="preserve">Why Azure before AWS. </w:t>
      </w:r>
      <w:r>
        <w:rPr>
          <w:rFonts w:ascii="Aptos" w:hAnsi="Aptos"/>
          <w:b w:val="0"/>
          <w:i w:val="0"/>
          <w:color w:val="17202A"/>
          <w:sz w:val="20"/>
        </w:rPr>
        <w:t>Depth in one cloud produces better judgment. Azure also connects directly to Microsoft 365, Entra, Intune and the current academic program.</w:t>
      </w:r>
    </w:p>
    <w:p>
      <w:pPr>
        <w:spacing w:before="0" w:after="140" w:line="264" w:lineRule="auto"/>
      </w:pPr>
      <w:r>
        <w:rPr>
          <w:rFonts w:ascii="Aptos" w:hAnsi="Aptos"/>
          <w:b/>
          <w:i w:val="0"/>
          <w:color w:val="2E74B5"/>
          <w:sz w:val="20"/>
        </w:rPr>
        <w:t xml:space="preserve">Why AZ-104 before AZ-305. </w:t>
      </w:r>
      <w:r>
        <w:rPr>
          <w:rFonts w:ascii="Aptos" w:hAnsi="Aptos"/>
          <w:b w:val="0"/>
          <w:i w:val="0"/>
          <w:color w:val="17202A"/>
          <w:sz w:val="20"/>
        </w:rPr>
        <w:t>Architecture judgment should follow operational experience with identity, networking, compute, storage, monitoring, backup, recovery and cost.</w:t>
      </w:r>
    </w:p>
    <w:p>
      <w:pPr>
        <w:spacing w:before="0" w:after="140" w:line="264" w:lineRule="auto"/>
      </w:pPr>
      <w:r>
        <w:rPr>
          <w:rFonts w:ascii="Aptos" w:hAnsi="Aptos"/>
          <w:b/>
          <w:i w:val="0"/>
          <w:color w:val="2E74B5"/>
          <w:sz w:val="20"/>
        </w:rPr>
        <w:t xml:space="preserve">Why platform engineering. </w:t>
      </w:r>
      <w:r>
        <w:rPr>
          <w:rFonts w:ascii="Aptos" w:hAnsi="Aptos"/>
          <w:b w:val="0"/>
          <w:i w:val="0"/>
          <w:color w:val="17202A"/>
          <w:sz w:val="20"/>
        </w:rPr>
        <w:t>Employers need repeatable systems, not portal-only demonstrations. Git, scripting, Infrastructure as Code, containers and CI/CD turn configuration into an engineering capability.</w:t>
      </w:r>
    </w:p>
    <w:p>
      <w:pPr>
        <w:spacing w:before="0" w:after="140" w:line="264" w:lineRule="auto"/>
      </w:pPr>
      <w:r>
        <w:rPr>
          <w:rFonts w:ascii="Aptos" w:hAnsi="Aptos"/>
          <w:b/>
          <w:i w:val="0"/>
          <w:color w:val="2E74B5"/>
          <w:sz w:val="20"/>
        </w:rPr>
        <w:t xml:space="preserve">Why AI throughout. </w:t>
      </w:r>
      <w:r>
        <w:rPr>
          <w:rFonts w:ascii="Aptos" w:hAnsi="Aptos"/>
          <w:b w:val="0"/>
          <w:i w:val="0"/>
          <w:color w:val="17202A"/>
          <w:sz w:val="20"/>
        </w:rPr>
        <w:t>AI remains active in every phase. Advanced AI engineering follows cloud, data, security and automation foundations so AI systems can be deployed and governed responsibly.</w:t>
      </w:r>
    </w:p>
    <w:p>
      <w:pPr>
        <w:spacing w:before="0" w:after="140" w:line="264" w:lineRule="auto"/>
      </w:pPr>
      <w:r>
        <w:rPr>
          <w:rFonts w:ascii="Aptos" w:hAnsi="Aptos"/>
          <w:b/>
          <w:i w:val="0"/>
          <w:color w:val="2E74B5"/>
          <w:sz w:val="20"/>
        </w:rPr>
        <w:t xml:space="preserve">Why every credential produces a project. </w:t>
      </w:r>
      <w:r>
        <w:rPr>
          <w:rFonts w:ascii="Aptos" w:hAnsi="Aptos"/>
          <w:b w:val="0"/>
          <w:i w:val="0"/>
          <w:color w:val="17202A"/>
          <w:sz w:val="20"/>
        </w:rPr>
        <w:t>A Moltrix project converts exam objectives into architecture, implementation, testing, troubleshooting and communication evidence.</w:t>
      </w:r>
    </w:p>
    <w:p>
      <w:pPr>
        <w:spacing w:before="0" w:after="140" w:line="264" w:lineRule="auto"/>
      </w:pPr>
      <w:r>
        <w:rPr>
          <w:rFonts w:ascii="Aptos" w:hAnsi="Aptos"/>
          <w:b/>
          <w:i w:val="0"/>
          <w:color w:val="2E74B5"/>
          <w:sz w:val="20"/>
        </w:rPr>
        <w:t xml:space="preserve">Why Moltrix. </w:t>
      </w:r>
      <w:r>
        <w:rPr>
          <w:rFonts w:ascii="Aptos" w:hAnsi="Aptos"/>
          <w:b w:val="0"/>
          <w:i w:val="0"/>
          <w:color w:val="17202A"/>
          <w:sz w:val="20"/>
        </w:rPr>
        <w:t>Moltrix is the proof system: a consistent business context that demonstrates progression from endpoint operations to cloud platforms, AI operations and enterprise transformation.</w:t>
      </w:r>
    </w:p>
    <w:p>
      <w:pPr>
        <w:spacing w:before="60" w:after="140" w:line="259" w:lineRule="auto"/>
        <w:ind w:left="115" w:right="115"/>
        <w:shd w:fill="FFF4D6"/>
        <w:spacing w:before="90" w:after="90"/>
      </w:pPr>
      <w:r>
        <w:rPr>
          <w:rFonts w:ascii="Aptos" w:hAnsi="Aptos"/>
          <w:b/>
          <w:i w:val="0"/>
          <w:color w:val="17365D"/>
          <w:sz w:val="20"/>
        </w:rPr>
        <w:t xml:space="preserve">Career principle: </w:t>
      </w:r>
      <w:r>
        <w:rPr>
          <w:rFonts w:ascii="Aptos" w:hAnsi="Aptos"/>
          <w:b w:val="0"/>
          <w:i w:val="0"/>
          <w:color w:val="17202A"/>
          <w:sz w:val="20"/>
        </w:rPr>
        <w:t>The objective is to become a professional who can design, build, secure, automate, govern and improve AI-enabled cloud solutions—not someone who merely lists certifications.</w:t>
      </w:r>
    </w:p>
    <w:p>
      <w:r>
        <w:br w:type="page"/>
      </w:r>
    </w:p>
    <w:p>
      <w:pPr>
        <w:pStyle w:val="Heading1"/>
        <w:keepNext/>
      </w:pPr>
      <w:r>
        <w:t>Roadmap Governance</w:t>
      </w:r>
    </w:p>
    <w:p>
      <w:pPr>
        <w:pStyle w:val="Heading2"/>
        <w:keepNext/>
      </w:pPr>
      <w:r>
        <w:t>Design rules</w:t>
      </w:r>
    </w:p>
    <w:p>
      <w:pPr>
        <w:pStyle w:val="ListBullet"/>
        <w:spacing w:after="80" w:line="264" w:lineRule="auto"/>
      </w:pPr>
      <w:r>
        <w:rPr>
          <w:rFonts w:ascii="Aptos" w:hAnsi="Aptos"/>
          <w:b w:val="0"/>
          <w:i w:val="0"/>
          <w:color w:val="17202A"/>
          <w:sz w:val="20"/>
        </w:rPr>
        <w:t>Every major credential must produce a Moltrix project and public-safe GitHub evidence.</w:t>
      </w:r>
    </w:p>
    <w:p>
      <w:pPr>
        <w:pStyle w:val="ListBullet"/>
        <w:spacing w:after="80" w:line="264" w:lineRule="auto"/>
      </w:pPr>
      <w:r>
        <w:rPr>
          <w:rFonts w:ascii="Aptos" w:hAnsi="Aptos"/>
          <w:b w:val="0"/>
          <w:i w:val="0"/>
          <w:color w:val="17202A"/>
          <w:sz w:val="20"/>
        </w:rPr>
        <w:t>At least 40% of technical study time must be hands-on configuration, testing, troubleshooting or automation.</w:t>
      </w:r>
    </w:p>
    <w:p>
      <w:pPr>
        <w:pStyle w:val="ListBullet"/>
        <w:spacing w:after="80" w:line="264" w:lineRule="auto"/>
      </w:pPr>
      <w:r>
        <w:rPr>
          <w:rFonts w:ascii="Aptos" w:hAnsi="Aptos"/>
          <w:b w:val="0"/>
          <w:i w:val="0"/>
          <w:color w:val="17202A"/>
          <w:sz w:val="20"/>
        </w:rPr>
        <w:t>Only one major certification is prepared at full intensity at a time; adjacent foundations may run lightly in parallel.</w:t>
      </w:r>
    </w:p>
    <w:p>
      <w:pPr>
        <w:pStyle w:val="ListBullet"/>
        <w:spacing w:after="80" w:line="264" w:lineRule="auto"/>
      </w:pPr>
      <w:r>
        <w:rPr>
          <w:rFonts w:ascii="Aptos" w:hAnsi="Aptos"/>
          <w:b w:val="0"/>
          <w:i w:val="0"/>
          <w:color w:val="17202A"/>
          <w:sz w:val="20"/>
        </w:rPr>
        <w:t>No advanced exam is booked until its associated project reaches demonstrable portfolio quality.</w:t>
      </w:r>
    </w:p>
    <w:p>
      <w:pPr>
        <w:pStyle w:val="ListBullet"/>
        <w:spacing w:after="80" w:line="264" w:lineRule="auto"/>
      </w:pPr>
      <w:r>
        <w:rPr>
          <w:rFonts w:ascii="Aptos" w:hAnsi="Aptos"/>
          <w:b w:val="0"/>
          <w:i w:val="0"/>
          <w:color w:val="17202A"/>
          <w:sz w:val="20"/>
        </w:rPr>
        <w:t>AI continuity receives 5–7 protected hours weekly, even during infrastructure-heavy phases.</w:t>
      </w:r>
    </w:p>
    <w:p>
      <w:pPr>
        <w:pStyle w:val="ListBullet"/>
        <w:spacing w:after="80" w:line="264" w:lineRule="auto"/>
      </w:pPr>
      <w:r>
        <w:rPr>
          <w:rFonts w:ascii="Aptos" w:hAnsi="Aptos"/>
          <w:b w:val="0"/>
          <w:i w:val="0"/>
          <w:color w:val="17202A"/>
          <w:sz w:val="20"/>
        </w:rPr>
        <w:t>Certification names, exam codes, objectives, retirement dates and prerequisites are checked on official pages before study activation and booking.</w:t>
      </w:r>
    </w:p>
    <w:p>
      <w:pPr>
        <w:pStyle w:val="ListBullet"/>
        <w:spacing w:after="80" w:line="264" w:lineRule="auto"/>
      </w:pPr>
      <w:r>
        <w:rPr>
          <w:rFonts w:ascii="Aptos" w:hAnsi="Aptos"/>
          <w:b w:val="0"/>
          <w:i w:val="0"/>
          <w:color w:val="17202A"/>
          <w:sz w:val="20"/>
        </w:rPr>
        <w:t>Quarterly reviews may reorder future phases based on Ontario job demand, academic workload, cost, credential changes and demonstrated progress.</w:t>
      </w:r>
    </w:p>
    <w:p>
      <w:pPr>
        <w:pStyle w:val="Heading2"/>
        <w:keepNext/>
      </w:pPr>
      <w:r>
        <w:t>Capability and credential labels</w:t>
      </w:r>
    </w:p>
    <w:tbl>
      <w:tblPr>
        <w:tblStyle w:val="TableGrid"/>
        <w:tblW w:type="dxa" w:w="9360"/>
        <w:jc w:val="center"/>
        <w:tblLayout w:type="fixed"/>
        <w:tblLook w:firstColumn="1" w:firstRow="1" w:lastColumn="0" w:lastRow="0" w:noHBand="0" w:noVBand="1" w:val="04A0"/>
        <w:tblInd w:w="120" w:type="dxa"/>
      </w:tblPr>
      <w:tblGrid>
        <w:gridCol w:w="1750"/>
        <w:gridCol w:w="3200"/>
        <w:gridCol w:w="4410"/>
      </w:tblGrid>
      <w:tr>
        <w:trPr>
          <w:tblHeader w:val="true"/>
          <w:cantSplit/>
        </w:trPr>
        <w:tc>
          <w:tcPr>
            <w:tcW w:type="dxa" w:w="1750"/>
            <w:tcMar>
              <w:top w:w="90" w:type="dxa"/>
              <w:start w:w="120" w:type="dxa"/>
              <w:bottom w:w="90" w:type="dxa"/>
              <w:end w:w="120" w:type="dxa"/>
            </w:tcMar>
            <w:vAlign w:val="center"/>
            <w:shd w:fill="17365D"/>
          </w:tcPr>
          <w:p>
            <w:pPr>
              <w:spacing w:after="0"/>
              <w:jc w:val="center"/>
            </w:pPr>
            <w:r>
              <w:rPr>
                <w:rFonts w:ascii="Aptos" w:hAnsi="Aptos"/>
                <w:b/>
                <w:i w:val="0"/>
                <w:color w:val="FFFFFF"/>
                <w:sz w:val="17"/>
              </w:rPr>
              <w:t>Label</w:t>
            </w:r>
          </w:p>
        </w:tc>
        <w:tc>
          <w:tcPr>
            <w:tcW w:type="dxa" w:w="3200"/>
            <w:tcMar>
              <w:top w:w="90" w:type="dxa"/>
              <w:start w:w="120" w:type="dxa"/>
              <w:bottom w:w="90" w:type="dxa"/>
              <w:end w:w="120" w:type="dxa"/>
            </w:tcMar>
            <w:vAlign w:val="center"/>
            <w:shd w:fill="17365D"/>
          </w:tcPr>
          <w:p>
            <w:pPr>
              <w:spacing w:after="0"/>
              <w:jc w:val="center"/>
            </w:pPr>
            <w:r>
              <w:rPr>
                <w:rFonts w:ascii="Aptos" w:hAnsi="Aptos"/>
                <w:b/>
                <w:i w:val="0"/>
                <w:color w:val="FFFFFF"/>
                <w:sz w:val="17"/>
              </w:rPr>
              <w:t>Meaning</w:t>
            </w:r>
          </w:p>
        </w:tc>
        <w:tc>
          <w:tcPr>
            <w:tcW w:type="dxa" w:w="4410"/>
            <w:tcMar>
              <w:top w:w="90" w:type="dxa"/>
              <w:start w:w="120" w:type="dxa"/>
              <w:bottom w:w="90" w:type="dxa"/>
              <w:end w:w="120" w:type="dxa"/>
            </w:tcMar>
            <w:vAlign w:val="center"/>
            <w:shd w:fill="17365D"/>
          </w:tcPr>
          <w:p>
            <w:pPr>
              <w:spacing w:after="0"/>
              <w:jc w:val="center"/>
            </w:pPr>
            <w:r>
              <w:rPr>
                <w:rFonts w:ascii="Aptos" w:hAnsi="Aptos"/>
                <w:b/>
                <w:i w:val="0"/>
                <w:color w:val="FFFFFF"/>
                <w:sz w:val="17"/>
              </w:rPr>
              <w:t>Decision rule</w:t>
            </w:r>
          </w:p>
        </w:tc>
      </w:tr>
      <w:tr>
        <w:trPr>
          <w:cantSplit/>
        </w:trPr>
        <w:tc>
          <w:tcPr>
            <w:tcW w:type="dxa" w:w="1750"/>
          </w:tcPr>
          <w:p>
            <w:pPr>
              <w:spacing w:after="0" w:line="240" w:lineRule="auto"/>
            </w:pPr>
            <w:r>
              <w:rPr>
                <w:rFonts w:ascii="Aptos" w:hAnsi="Aptos"/>
                <w:b w:val="0"/>
                <w:i w:val="0"/>
                <w:color w:val="17202A"/>
                <w:sz w:val="17"/>
              </w:rPr>
              <w:t>REQUIRED CAPABILITY</w:t>
            </w:r>
          </w:p>
        </w:tc>
        <w:tc>
          <w:tcPr>
            <w:tcW w:type="dxa" w:w="3200"/>
          </w:tcPr>
          <w:p>
            <w:pPr>
              <w:spacing w:after="0" w:line="240" w:lineRule="auto"/>
            </w:pPr>
            <w:r>
              <w:rPr>
                <w:rFonts w:ascii="Aptos" w:hAnsi="Aptos"/>
                <w:b w:val="0"/>
                <w:i w:val="0"/>
                <w:color w:val="17202A"/>
                <w:sz w:val="17"/>
              </w:rPr>
              <w:t>Skill must be demonstrated</w:t>
            </w:r>
          </w:p>
        </w:tc>
        <w:tc>
          <w:tcPr>
            <w:tcW w:type="dxa" w:w="4410"/>
          </w:tcPr>
          <w:p>
            <w:pPr>
              <w:spacing w:after="0" w:line="240" w:lineRule="auto"/>
            </w:pPr>
            <w:r>
              <w:rPr>
                <w:rFonts w:ascii="Aptos" w:hAnsi="Aptos"/>
                <w:b w:val="0"/>
                <w:i w:val="0"/>
                <w:color w:val="17202A"/>
                <w:sz w:val="17"/>
              </w:rPr>
              <w:t>Project evidence required; exam may not be</w:t>
            </w:r>
          </w:p>
        </w:tc>
      </w:tr>
      <w:tr>
        <w:trPr>
          <w:cantSplit/>
        </w:trPr>
        <w:tc>
          <w:tcPr>
            <w:tcW w:type="dxa" w:w="1750"/>
            <w:shd w:fill="F4F6F9"/>
          </w:tcPr>
          <w:p>
            <w:pPr>
              <w:spacing w:after="0" w:line="240" w:lineRule="auto"/>
            </w:pPr>
            <w:r>
              <w:rPr>
                <w:rFonts w:ascii="Aptos" w:hAnsi="Aptos"/>
                <w:b w:val="0"/>
                <w:i w:val="0"/>
                <w:color w:val="17202A"/>
                <w:sz w:val="17"/>
              </w:rPr>
              <w:t>ACTIVE CREDENTIAL</w:t>
            </w:r>
          </w:p>
        </w:tc>
        <w:tc>
          <w:tcPr>
            <w:tcW w:type="dxa" w:w="3200"/>
            <w:shd w:fill="F4F6F9"/>
          </w:tcPr>
          <w:p>
            <w:pPr>
              <w:spacing w:after="0" w:line="240" w:lineRule="auto"/>
            </w:pPr>
            <w:r>
              <w:rPr>
                <w:rFonts w:ascii="Aptos" w:hAnsi="Aptos"/>
                <w:b w:val="0"/>
                <w:i w:val="0"/>
                <w:color w:val="17202A"/>
                <w:sz w:val="17"/>
              </w:rPr>
              <w:t>Current primary examination</w:t>
            </w:r>
          </w:p>
        </w:tc>
        <w:tc>
          <w:tcPr>
            <w:tcW w:type="dxa" w:w="4410"/>
            <w:shd w:fill="F4F6F9"/>
          </w:tcPr>
          <w:p>
            <w:pPr>
              <w:spacing w:after="0" w:line="240" w:lineRule="auto"/>
            </w:pPr>
            <w:r>
              <w:rPr>
                <w:rFonts w:ascii="Aptos" w:hAnsi="Aptos"/>
                <w:b w:val="0"/>
                <w:i w:val="0"/>
                <w:color w:val="17202A"/>
                <w:sz w:val="17"/>
              </w:rPr>
              <w:t>One at full intensity</w:t>
            </w:r>
          </w:p>
        </w:tc>
      </w:tr>
      <w:tr>
        <w:trPr>
          <w:cantSplit/>
        </w:trPr>
        <w:tc>
          <w:tcPr>
            <w:tcW w:type="dxa" w:w="1750"/>
          </w:tcPr>
          <w:p>
            <w:pPr>
              <w:spacing w:after="0" w:line="240" w:lineRule="auto"/>
            </w:pPr>
            <w:r>
              <w:rPr>
                <w:rFonts w:ascii="Aptos" w:hAnsi="Aptos"/>
                <w:b w:val="0"/>
                <w:i w:val="0"/>
                <w:color w:val="17202A"/>
                <w:sz w:val="17"/>
              </w:rPr>
              <w:t>SUPPORTING FOUNDATION</w:t>
            </w:r>
          </w:p>
        </w:tc>
        <w:tc>
          <w:tcPr>
            <w:tcW w:type="dxa" w:w="3200"/>
          </w:tcPr>
          <w:p>
            <w:pPr>
              <w:spacing w:after="0" w:line="240" w:lineRule="auto"/>
            </w:pPr>
            <w:r>
              <w:rPr>
                <w:rFonts w:ascii="Aptos" w:hAnsi="Aptos"/>
                <w:b w:val="0"/>
                <w:i w:val="0"/>
                <w:color w:val="17202A"/>
                <w:sz w:val="17"/>
              </w:rPr>
              <w:t>Short adjacent learning</w:t>
            </w:r>
          </w:p>
        </w:tc>
        <w:tc>
          <w:tcPr>
            <w:tcW w:type="dxa" w:w="4410"/>
          </w:tcPr>
          <w:p>
            <w:pPr>
              <w:spacing w:after="0" w:line="240" w:lineRule="auto"/>
            </w:pPr>
            <w:r>
              <w:rPr>
                <w:rFonts w:ascii="Aptos" w:hAnsi="Aptos"/>
                <w:b w:val="0"/>
                <w:i w:val="0"/>
                <w:color w:val="17202A"/>
                <w:sz w:val="17"/>
              </w:rPr>
              <w:t>Must not delay active project</w:t>
            </w:r>
          </w:p>
        </w:tc>
      </w:tr>
      <w:tr>
        <w:trPr>
          <w:cantSplit/>
        </w:trPr>
        <w:tc>
          <w:tcPr>
            <w:tcW w:type="dxa" w:w="1750"/>
            <w:shd w:fill="F4F6F9"/>
          </w:tcPr>
          <w:p>
            <w:pPr>
              <w:spacing w:after="0" w:line="240" w:lineRule="auto"/>
            </w:pPr>
            <w:r>
              <w:rPr>
                <w:rFonts w:ascii="Aptos" w:hAnsi="Aptos"/>
                <w:b w:val="0"/>
                <w:i w:val="0"/>
                <w:color w:val="17202A"/>
                <w:sz w:val="17"/>
              </w:rPr>
              <w:t>CONDITIONAL CREDENTIAL</w:t>
            </w:r>
          </w:p>
        </w:tc>
        <w:tc>
          <w:tcPr>
            <w:tcW w:type="dxa" w:w="3200"/>
            <w:shd w:fill="F4F6F9"/>
          </w:tcPr>
          <w:p>
            <w:pPr>
              <w:spacing w:after="0" w:line="240" w:lineRule="auto"/>
            </w:pPr>
            <w:r>
              <w:rPr>
                <w:rFonts w:ascii="Aptos" w:hAnsi="Aptos"/>
                <w:b w:val="0"/>
                <w:i w:val="0"/>
                <w:color w:val="17202A"/>
                <w:sz w:val="17"/>
              </w:rPr>
              <w:t>Potentially valuable later</w:t>
            </w:r>
          </w:p>
        </w:tc>
        <w:tc>
          <w:tcPr>
            <w:tcW w:type="dxa" w:w="4410"/>
            <w:shd w:fill="F4F6F9"/>
          </w:tcPr>
          <w:p>
            <w:pPr>
              <w:spacing w:after="0" w:line="240" w:lineRule="auto"/>
            </w:pPr>
            <w:r>
              <w:rPr>
                <w:rFonts w:ascii="Aptos" w:hAnsi="Aptos"/>
                <w:b w:val="0"/>
                <w:i w:val="0"/>
                <w:color w:val="17202A"/>
                <w:sz w:val="17"/>
              </w:rPr>
              <w:t>Activate only after prerequisites and market review</w:t>
            </w:r>
          </w:p>
        </w:tc>
      </w:tr>
      <w:tr>
        <w:trPr>
          <w:cantSplit/>
        </w:trPr>
        <w:tc>
          <w:tcPr>
            <w:tcW w:type="dxa" w:w="1750"/>
          </w:tcPr>
          <w:p>
            <w:pPr>
              <w:spacing w:after="0" w:line="240" w:lineRule="auto"/>
            </w:pPr>
            <w:r>
              <w:rPr>
                <w:rFonts w:ascii="Aptos" w:hAnsi="Aptos"/>
                <w:b w:val="0"/>
                <w:i w:val="0"/>
                <w:color w:val="17202A"/>
                <w:sz w:val="17"/>
              </w:rPr>
              <w:t>FUTURE SPECIALIZATION</w:t>
            </w:r>
          </w:p>
        </w:tc>
        <w:tc>
          <w:tcPr>
            <w:tcW w:type="dxa" w:w="3200"/>
          </w:tcPr>
          <w:p>
            <w:pPr>
              <w:spacing w:after="0" w:line="240" w:lineRule="auto"/>
            </w:pPr>
            <w:r>
              <w:rPr>
                <w:rFonts w:ascii="Aptos" w:hAnsi="Aptos"/>
                <w:b w:val="0"/>
                <w:i w:val="0"/>
                <w:color w:val="17202A"/>
                <w:sz w:val="17"/>
              </w:rPr>
              <w:t>Advanced or role-specific</w:t>
            </w:r>
          </w:p>
        </w:tc>
        <w:tc>
          <w:tcPr>
            <w:tcW w:type="dxa" w:w="4410"/>
          </w:tcPr>
          <w:p>
            <w:pPr>
              <w:spacing w:after="0" w:line="240" w:lineRule="auto"/>
            </w:pPr>
            <w:r>
              <w:rPr>
                <w:rFonts w:ascii="Aptos" w:hAnsi="Aptos"/>
                <w:b w:val="0"/>
                <w:i w:val="0"/>
                <w:color w:val="17202A"/>
                <w:sz w:val="17"/>
              </w:rPr>
              <w:t>Pursue only when target roles justify it</w:t>
            </w:r>
          </w:p>
        </w:tc>
      </w:tr>
    </w:tbl>
    <w:p>
      <w:pPr>
        <w:pStyle w:val="Heading2"/>
        <w:keepNext/>
      </w:pPr>
      <w:r>
        <w:t>Employment targets</w:t>
      </w:r>
    </w:p>
    <w:p>
      <w:pPr>
        <w:spacing w:before="0" w:after="120" w:line="264" w:lineRule="auto"/>
      </w:pPr>
      <w:r>
        <w:rPr>
          <w:rFonts w:ascii="Aptos" w:hAnsi="Aptos"/>
          <w:b/>
          <w:i w:val="0"/>
          <w:color w:val="17365D"/>
          <w:sz w:val="19"/>
        </w:rPr>
        <w:t xml:space="preserve">First-entry roles: </w:t>
      </w:r>
      <w:r>
        <w:rPr>
          <w:rFonts w:ascii="Aptos" w:hAnsi="Aptos"/>
          <w:b w:val="0"/>
          <w:i w:val="0"/>
          <w:color w:val="17202A"/>
          <w:sz w:val="19"/>
        </w:rPr>
        <w:t>Microsoft 365 Support • Endpoint/Intune Administrator • Cloud Support • Junior Azure Administrator • Infrastructure Support • Identity &amp; Access • Information Systems Analyst</w:t>
      </w:r>
    </w:p>
    <w:p>
      <w:pPr>
        <w:spacing w:before="0" w:after="120" w:line="264" w:lineRule="auto"/>
      </w:pPr>
      <w:r>
        <w:rPr>
          <w:rFonts w:ascii="Aptos" w:hAnsi="Aptos"/>
          <w:b/>
          <w:i w:val="0"/>
          <w:color w:val="17365D"/>
          <w:sz w:val="19"/>
        </w:rPr>
        <w:t xml:space="preserve">Finance-powered bridge roles: </w:t>
      </w:r>
      <w:r>
        <w:rPr>
          <w:rFonts w:ascii="Aptos" w:hAnsi="Aptos"/>
          <w:b w:val="0"/>
          <w:i w:val="0"/>
          <w:color w:val="17202A"/>
          <w:sz w:val="19"/>
        </w:rPr>
        <w:t>Finance Systems • ERP/Business Systems • Technology Risk • IT Governance • Cloud FinOps • Finance Transformation • AI/Cloud Governance</w:t>
      </w:r>
    </w:p>
    <w:p>
      <w:pPr>
        <w:spacing w:before="60" w:after="140" w:line="259" w:lineRule="auto"/>
        <w:ind w:left="115" w:right="115"/>
        <w:shd w:fill="EAF1F8"/>
        <w:spacing w:before="90" w:after="90"/>
      </w:pPr>
      <w:r>
        <w:rPr>
          <w:rFonts w:ascii="Aptos" w:hAnsi="Aptos"/>
          <w:b/>
          <w:i w:val="0"/>
          <w:color w:val="17365D"/>
          <w:sz w:val="20"/>
        </w:rPr>
        <w:t xml:space="preserve">Current priority: </w:t>
      </w:r>
      <w:r>
        <w:rPr>
          <w:rFonts w:ascii="Aptos" w:hAnsi="Aptos"/>
          <w:b w:val="0"/>
          <w:i w:val="0"/>
          <w:color w:val="17202A"/>
          <w:sz w:val="20"/>
        </w:rPr>
        <w:t>MD-102 is the active major credential and Moltrix Secure Endpoint Management is the active evidence project. AB-900 may remain a short supporting foundation but must not delay endpoint implementation.</w:t>
      </w:r>
    </w:p>
    <w:p>
      <w:r>
        <w:br w:type="page"/>
      </w:r>
    </w:p>
    <w:p>
      <w:pPr>
        <w:pStyle w:val="Heading1"/>
        <w:keepNext/>
      </w:pPr>
      <w:r>
        <w:t>Master Roadmap — Foundations to Azure Operations</w:t>
      </w:r>
    </w:p>
    <w:p>
      <w:pPr>
        <w:pStyle w:val="Heading2"/>
        <w:keepNext/>
      </w:pPr>
      <w:r>
        <w:t>Phase 0 — Continuous Technical Foundation</w:t>
      </w:r>
    </w:p>
    <w:p>
      <w:pPr>
        <w:spacing w:before="0" w:after="60" w:line="264" w:lineRule="auto"/>
      </w:pPr>
      <w:r>
        <w:rPr>
          <w:rFonts w:ascii="Aptos" w:hAnsi="Aptos"/>
          <w:b/>
          <w:i w:val="0"/>
          <w:color w:val="17365D"/>
          <w:sz w:val="19"/>
        </w:rPr>
        <w:t xml:space="preserve">Target: </w:t>
      </w:r>
      <w:r>
        <w:rPr>
          <w:rFonts w:ascii="Aptos" w:hAnsi="Aptos"/>
          <w:b w:val="0"/>
          <w:i w:val="0"/>
          <w:color w:val="5B6573"/>
          <w:sz w:val="19"/>
        </w:rPr>
        <w:t>Continuous</w:t>
      </w:r>
    </w:p>
    <w:p>
      <w:pPr>
        <w:spacing w:before="0" w:after="80" w:line="264" w:lineRule="auto"/>
      </w:pPr>
      <w:r>
        <w:rPr>
          <w:rFonts w:ascii="Aptos" w:hAnsi="Aptos"/>
          <w:b/>
          <w:i w:val="0"/>
          <w:color w:val="17365D"/>
          <w:sz w:val="19"/>
        </w:rPr>
        <w:t xml:space="preserve">Transition logic: </w:t>
      </w:r>
      <w:r>
        <w:rPr>
          <w:rFonts w:ascii="Aptos" w:hAnsi="Aptos"/>
          <w:b w:val="0"/>
          <w:i w:val="0"/>
          <w:color w:val="17202A"/>
          <w:sz w:val="19"/>
        </w:rPr>
        <w:t>This foundation supports every later endpoint, cloud, automation and AI decision.</w:t>
      </w:r>
    </w:p>
    <w:p>
      <w:pPr>
        <w:spacing w:before="0" w:after="80" w:line="264" w:lineRule="auto"/>
      </w:pPr>
      <w:r>
        <w:rPr>
          <w:rFonts w:ascii="Aptos" w:hAnsi="Aptos"/>
          <w:b/>
          <w:i w:val="0"/>
          <w:color w:val="17365D"/>
          <w:sz w:val="19"/>
        </w:rPr>
        <w:t xml:space="preserve">Purpose: </w:t>
      </w:r>
      <w:r>
        <w:rPr>
          <w:rFonts w:ascii="Aptos" w:hAnsi="Aptos"/>
          <w:b w:val="0"/>
          <w:i w:val="0"/>
          <w:color w:val="17202A"/>
          <w:sz w:val="19"/>
        </w:rPr>
        <w:t>Prevent shallow cloud knowledge and weak troubleshooting.</w:t>
      </w:r>
    </w:p>
    <w:p>
      <w:pPr>
        <w:spacing w:before="0" w:after="80" w:line="264" w:lineRule="auto"/>
      </w:pPr>
      <w:r>
        <w:rPr>
          <w:rFonts w:ascii="Aptos" w:hAnsi="Aptos"/>
          <w:b/>
          <w:i w:val="0"/>
          <w:color w:val="17365D"/>
          <w:sz w:val="19"/>
        </w:rPr>
        <w:t xml:space="preserve">Capabilities: </w:t>
      </w:r>
      <w:r>
        <w:rPr>
          <w:rFonts w:ascii="Aptos" w:hAnsi="Aptos"/>
          <w:b w:val="0"/>
          <w:i w:val="0"/>
          <w:color w:val="17202A"/>
          <w:sz w:val="19"/>
        </w:rPr>
        <w:t>Networking, DNS, identity, Windows, Linux, virtualization, permissions, Git basics and PowerShell/Bash/Python automation.</w:t>
      </w:r>
    </w:p>
    <w:p>
      <w:pPr>
        <w:spacing w:before="0" w:after="80" w:line="264" w:lineRule="auto"/>
      </w:pPr>
      <w:r>
        <w:rPr>
          <w:rFonts w:ascii="Aptos" w:hAnsi="Aptos"/>
          <w:b/>
          <w:i w:val="0"/>
          <w:color w:val="17365D"/>
          <w:sz w:val="19"/>
        </w:rPr>
        <w:t xml:space="preserve">Moltrix proof: </w:t>
      </w:r>
      <w:r>
        <w:rPr>
          <w:rFonts w:ascii="Aptos" w:hAnsi="Aptos"/>
          <w:b w:val="0"/>
          <w:i w:val="0"/>
          <w:color w:val="17202A"/>
          <w:sz w:val="19"/>
        </w:rPr>
        <w:t>Moltrix OS &amp; Network Lab plus troubleshooting journal.</w:t>
      </w:r>
    </w:p>
    <w:p>
      <w:pPr>
        <w:spacing w:before="0" w:after="160" w:line="264" w:lineRule="auto"/>
      </w:pPr>
      <w:r>
        <w:rPr>
          <w:rFonts w:ascii="Aptos" w:hAnsi="Aptos"/>
          <w:b/>
          <w:i w:val="0"/>
          <w:color w:val="2E7D32"/>
          <w:sz w:val="19"/>
        </w:rPr>
        <w:t xml:space="preserve">Exit gate: </w:t>
      </w:r>
      <w:r>
        <w:rPr>
          <w:rFonts w:ascii="Aptos" w:hAnsi="Aptos"/>
          <w:b w:val="0"/>
          <w:i w:val="0"/>
          <w:color w:val="17202A"/>
          <w:sz w:val="19"/>
        </w:rPr>
        <w:t>Can explain and test identity, DNS, routing, permissions, operating systems and virtualization basics.</w:t>
      </w:r>
    </w:p>
    <w:p>
      <w:pPr>
        <w:pStyle w:val="Heading2"/>
        <w:keepNext/>
      </w:pPr>
      <w:r>
        <w:t>Phase 1 — Endpoint Administration &amp; Security</w:t>
      </w:r>
    </w:p>
    <w:p>
      <w:pPr>
        <w:spacing w:before="0" w:after="60" w:line="264" w:lineRule="auto"/>
      </w:pPr>
      <w:r>
        <w:rPr>
          <w:rFonts w:ascii="Aptos" w:hAnsi="Aptos"/>
          <w:b/>
          <w:i w:val="0"/>
          <w:color w:val="17365D"/>
          <w:sz w:val="19"/>
        </w:rPr>
        <w:t xml:space="preserve">Target: </w:t>
      </w:r>
      <w:r>
        <w:rPr>
          <w:rFonts w:ascii="Aptos" w:hAnsi="Aptos"/>
          <w:b w:val="0"/>
          <w:i w:val="0"/>
          <w:color w:val="5B6573"/>
          <w:sz w:val="19"/>
        </w:rPr>
        <w:t>Jul–Sep 2026</w:t>
      </w:r>
    </w:p>
    <w:p>
      <w:pPr>
        <w:spacing w:before="0" w:after="80" w:line="264" w:lineRule="auto"/>
      </w:pPr>
      <w:r>
        <w:rPr>
          <w:rFonts w:ascii="Aptos" w:hAnsi="Aptos"/>
          <w:b/>
          <w:i w:val="0"/>
          <w:color w:val="17365D"/>
          <w:sz w:val="19"/>
        </w:rPr>
        <w:t xml:space="preserve">Transition logic: </w:t>
      </w:r>
      <w:r>
        <w:rPr>
          <w:rFonts w:ascii="Aptos" w:hAnsi="Aptos"/>
          <w:b w:val="0"/>
          <w:i w:val="0"/>
          <w:color w:val="17202A"/>
          <w:sz w:val="19"/>
        </w:rPr>
        <w:t>Endpoint operations apply the foundation to real users, devices, policies and security controls.</w:t>
      </w:r>
    </w:p>
    <w:p>
      <w:pPr>
        <w:spacing w:before="0" w:after="80" w:line="264" w:lineRule="auto"/>
      </w:pPr>
      <w:r>
        <w:rPr>
          <w:rFonts w:ascii="Aptos" w:hAnsi="Aptos"/>
          <w:b/>
          <w:i w:val="0"/>
          <w:color w:val="17365D"/>
          <w:sz w:val="19"/>
        </w:rPr>
        <w:t xml:space="preserve">Purpose: </w:t>
      </w:r>
      <w:r>
        <w:rPr>
          <w:rFonts w:ascii="Aptos" w:hAnsi="Aptos"/>
          <w:b w:val="0"/>
          <w:i w:val="0"/>
          <w:color w:val="17202A"/>
          <w:sz w:val="19"/>
        </w:rPr>
        <w:t>Create the fastest credible bridge from desktop foundations into enterprise cloud administration.</w:t>
      </w:r>
    </w:p>
    <w:p>
      <w:pPr>
        <w:spacing w:before="0" w:after="80" w:line="264" w:lineRule="auto"/>
      </w:pPr>
      <w:r>
        <w:rPr>
          <w:rFonts w:ascii="Aptos" w:hAnsi="Aptos"/>
          <w:b/>
          <w:i w:val="0"/>
          <w:color w:val="17365D"/>
          <w:sz w:val="19"/>
        </w:rPr>
        <w:t xml:space="preserve">Capabilities: </w:t>
      </w:r>
      <w:r>
        <w:rPr>
          <w:rFonts w:ascii="Aptos" w:hAnsi="Aptos"/>
          <w:b w:val="0"/>
          <w:i w:val="0"/>
          <w:color w:val="17202A"/>
          <w:sz w:val="19"/>
        </w:rPr>
        <w:t>MD-102 objectives: deployment strategy, Intune enrollment, identity, configuration, applications, compliance, endpoint security and support.</w:t>
      </w:r>
    </w:p>
    <w:p>
      <w:pPr>
        <w:spacing w:before="0" w:after="80" w:line="264" w:lineRule="auto"/>
      </w:pPr>
      <w:r>
        <w:rPr>
          <w:rFonts w:ascii="Aptos" w:hAnsi="Aptos"/>
          <w:b/>
          <w:i w:val="0"/>
          <w:color w:val="17365D"/>
          <w:sz w:val="19"/>
        </w:rPr>
        <w:t xml:space="preserve">Moltrix proof: </w:t>
      </w:r>
      <w:r>
        <w:rPr>
          <w:rFonts w:ascii="Aptos" w:hAnsi="Aptos"/>
          <w:b w:val="0"/>
          <w:i w:val="0"/>
          <w:color w:val="17202A"/>
          <w:sz w:val="19"/>
        </w:rPr>
        <w:t>Moltrix Secure Endpoint Management.</w:t>
      </w:r>
    </w:p>
    <w:p>
      <w:pPr>
        <w:spacing w:before="0" w:after="160" w:line="264" w:lineRule="auto"/>
      </w:pPr>
      <w:r>
        <w:rPr>
          <w:rFonts w:ascii="Aptos" w:hAnsi="Aptos"/>
          <w:b/>
          <w:i w:val="0"/>
          <w:color w:val="2E7D32"/>
          <w:sz w:val="19"/>
        </w:rPr>
        <w:t xml:space="preserve">Exit gate: </w:t>
      </w:r>
      <w:r>
        <w:rPr>
          <w:rFonts w:ascii="Aptos" w:hAnsi="Aptos"/>
          <w:b w:val="0"/>
          <w:i w:val="0"/>
          <w:color w:val="17202A"/>
          <w:sz w:val="19"/>
        </w:rPr>
        <w:t>Core workflows implemented and tested; failures documented; public-safe GitHub evidence complete; exam-ready.</w:t>
      </w:r>
    </w:p>
    <w:p>
      <w:pPr>
        <w:pStyle w:val="Heading2"/>
        <w:keepNext/>
      </w:pPr>
      <w:r>
        <w:t>Phase 2 — Microsoft 365 AI Administration</w:t>
      </w:r>
    </w:p>
    <w:p>
      <w:pPr>
        <w:spacing w:before="0" w:after="60" w:line="264" w:lineRule="auto"/>
      </w:pPr>
      <w:r>
        <w:rPr>
          <w:rFonts w:ascii="Aptos" w:hAnsi="Aptos"/>
          <w:b/>
          <w:i w:val="0"/>
          <w:color w:val="17365D"/>
          <w:sz w:val="19"/>
        </w:rPr>
        <w:t xml:space="preserve">Target: </w:t>
      </w:r>
      <w:r>
        <w:rPr>
          <w:rFonts w:ascii="Aptos" w:hAnsi="Aptos"/>
          <w:b w:val="0"/>
          <w:i w:val="0"/>
          <w:color w:val="5B6573"/>
          <w:sz w:val="19"/>
        </w:rPr>
        <w:t>After official scope is verified</w:t>
      </w:r>
    </w:p>
    <w:p>
      <w:pPr>
        <w:spacing w:before="0" w:after="80" w:line="264" w:lineRule="auto"/>
      </w:pPr>
      <w:r>
        <w:rPr>
          <w:rFonts w:ascii="Aptos" w:hAnsi="Aptos"/>
          <w:b/>
          <w:i w:val="0"/>
          <w:color w:val="17365D"/>
          <w:sz w:val="19"/>
        </w:rPr>
        <w:t xml:space="preserve">Transition logic: </w:t>
      </w:r>
      <w:r>
        <w:rPr>
          <w:rFonts w:ascii="Aptos" w:hAnsi="Aptos"/>
          <w:b w:val="0"/>
          <w:i w:val="0"/>
          <w:color w:val="17202A"/>
          <w:sz w:val="19"/>
        </w:rPr>
        <w:t>Secure endpoint and identity knowledge is the prerequisite for governing AI-enabled Microsoft 365 services.</w:t>
      </w:r>
    </w:p>
    <w:p>
      <w:pPr>
        <w:spacing w:before="0" w:after="80" w:line="264" w:lineRule="auto"/>
      </w:pPr>
      <w:r>
        <w:rPr>
          <w:rFonts w:ascii="Aptos" w:hAnsi="Aptos"/>
          <w:b/>
          <w:i w:val="0"/>
          <w:color w:val="17365D"/>
          <w:sz w:val="19"/>
        </w:rPr>
        <w:t xml:space="preserve">Purpose: </w:t>
      </w:r>
      <w:r>
        <w:rPr>
          <w:rFonts w:ascii="Aptos" w:hAnsi="Aptos"/>
          <w:b w:val="0"/>
          <w:i w:val="0"/>
          <w:color w:val="17202A"/>
          <w:sz w:val="19"/>
        </w:rPr>
        <w:t>Extend Microsoft 365 administration toward Copilot, agents, security, governance and responsible adoption.</w:t>
      </w:r>
    </w:p>
    <w:p>
      <w:pPr>
        <w:spacing w:before="0" w:after="80" w:line="264" w:lineRule="auto"/>
      </w:pPr>
      <w:r>
        <w:rPr>
          <w:rFonts w:ascii="Aptos" w:hAnsi="Aptos"/>
          <w:b/>
          <w:i w:val="0"/>
          <w:color w:val="17365D"/>
          <w:sz w:val="19"/>
        </w:rPr>
        <w:t xml:space="preserve">Capabilities: </w:t>
      </w:r>
      <w:r>
        <w:rPr>
          <w:rFonts w:ascii="Aptos" w:hAnsi="Aptos"/>
          <w:b w:val="0"/>
          <w:i w:val="0"/>
          <w:color w:val="17202A"/>
          <w:sz w:val="19"/>
        </w:rPr>
        <w:t>AB-900 knowledge; AB-650 remains planned/conditional until Microsoft publishes and stabilizes its official credential page, objectives and booking path.</w:t>
      </w:r>
    </w:p>
    <w:p>
      <w:pPr>
        <w:spacing w:before="0" w:after="80" w:line="264" w:lineRule="auto"/>
      </w:pPr>
      <w:r>
        <w:rPr>
          <w:rFonts w:ascii="Aptos" w:hAnsi="Aptos"/>
          <w:b/>
          <w:i w:val="0"/>
          <w:color w:val="17365D"/>
          <w:sz w:val="19"/>
        </w:rPr>
        <w:t xml:space="preserve">Moltrix proof: </w:t>
      </w:r>
      <w:r>
        <w:rPr>
          <w:rFonts w:ascii="Aptos" w:hAnsi="Aptos"/>
          <w:b w:val="0"/>
          <w:i w:val="0"/>
          <w:color w:val="17202A"/>
          <w:sz w:val="19"/>
        </w:rPr>
        <w:t>Moltrix AI Services Administration &amp; Governance Lab.</w:t>
      </w:r>
    </w:p>
    <w:p>
      <w:pPr>
        <w:spacing w:before="0" w:after="160" w:line="264" w:lineRule="auto"/>
      </w:pPr>
      <w:r>
        <w:rPr>
          <w:rFonts w:ascii="Aptos" w:hAnsi="Aptos"/>
          <w:b/>
          <w:i w:val="0"/>
          <w:color w:val="2E7D32"/>
          <w:sz w:val="19"/>
        </w:rPr>
        <w:t xml:space="preserve">Exit gate: </w:t>
      </w:r>
      <w:r>
        <w:rPr>
          <w:rFonts w:ascii="Aptos" w:hAnsi="Aptos"/>
          <w:b w:val="0"/>
          <w:i w:val="0"/>
          <w:color w:val="17202A"/>
          <w:sz w:val="19"/>
        </w:rPr>
        <w:t>Official scope verified; licensing and lab path feasible; identity, governance and operational scenarios tested.</w:t>
      </w:r>
    </w:p>
    <w:p>
      <w:r>
        <w:br w:type="page"/>
      </w:r>
    </w:p>
    <w:p>
      <w:pPr>
        <w:pStyle w:val="Heading1"/>
        <w:keepNext/>
      </w:pPr>
      <w:r>
        <w:t>Master Roadmap — Azure &amp; Employability</w:t>
      </w:r>
    </w:p>
    <w:p>
      <w:pPr>
        <w:pStyle w:val="Heading2"/>
        <w:keepNext/>
      </w:pPr>
      <w:r>
        <w:t>Phase 3 — Azure Fundamentals</w:t>
      </w:r>
    </w:p>
    <w:p>
      <w:pPr>
        <w:spacing w:before="0" w:after="60" w:line="264" w:lineRule="auto"/>
      </w:pPr>
      <w:r>
        <w:rPr>
          <w:rFonts w:ascii="Aptos" w:hAnsi="Aptos"/>
          <w:b/>
          <w:i w:val="0"/>
          <w:color w:val="17365D"/>
          <w:sz w:val="19"/>
        </w:rPr>
        <w:t xml:space="preserve">Target: </w:t>
      </w:r>
      <w:r>
        <w:rPr>
          <w:rFonts w:ascii="Aptos" w:hAnsi="Aptos"/>
          <w:b w:val="0"/>
          <w:i w:val="0"/>
          <w:color w:val="5B6573"/>
          <w:sz w:val="19"/>
        </w:rPr>
        <w:t>Fall 2026</w:t>
      </w:r>
    </w:p>
    <w:p>
      <w:pPr>
        <w:spacing w:before="0" w:after="80" w:line="264" w:lineRule="auto"/>
      </w:pPr>
      <w:r>
        <w:rPr>
          <w:rFonts w:ascii="Aptos" w:hAnsi="Aptos"/>
          <w:b/>
          <w:i w:val="0"/>
          <w:color w:val="17365D"/>
          <w:sz w:val="19"/>
        </w:rPr>
        <w:t xml:space="preserve">Transition logic: </w:t>
      </w:r>
      <w:r>
        <w:rPr>
          <w:rFonts w:ascii="Aptos" w:hAnsi="Aptos"/>
          <w:b w:val="0"/>
          <w:i w:val="0"/>
          <w:color w:val="17202A"/>
          <w:sz w:val="19"/>
        </w:rPr>
        <w:t>Microsoft 365 administration now expands into general Azure infrastructure and governance.</w:t>
      </w:r>
    </w:p>
    <w:p>
      <w:pPr>
        <w:spacing w:before="0" w:after="80" w:line="264" w:lineRule="auto"/>
      </w:pPr>
      <w:r>
        <w:rPr>
          <w:rFonts w:ascii="Aptos" w:hAnsi="Aptos"/>
          <w:b/>
          <w:i w:val="0"/>
          <w:color w:val="17365D"/>
          <w:sz w:val="19"/>
        </w:rPr>
        <w:t xml:space="preserve">Purpose: </w:t>
      </w:r>
      <w:r>
        <w:rPr>
          <w:rFonts w:ascii="Aptos" w:hAnsi="Aptos"/>
          <w:b w:val="0"/>
          <w:i w:val="0"/>
          <w:color w:val="17202A"/>
          <w:sz w:val="19"/>
        </w:rPr>
        <w:t>Build a correct model of cloud responsibility, services, governance, security and cost.</w:t>
      </w:r>
    </w:p>
    <w:p>
      <w:pPr>
        <w:spacing w:before="0" w:after="80" w:line="264" w:lineRule="auto"/>
      </w:pPr>
      <w:r>
        <w:rPr>
          <w:rFonts w:ascii="Aptos" w:hAnsi="Aptos"/>
          <w:b/>
          <w:i w:val="0"/>
          <w:color w:val="17365D"/>
          <w:sz w:val="19"/>
        </w:rPr>
        <w:t xml:space="preserve">Capabilities: </w:t>
      </w:r>
      <w:r>
        <w:rPr>
          <w:rFonts w:ascii="Aptos" w:hAnsi="Aptos"/>
          <w:b w:val="0"/>
          <w:i w:val="0"/>
          <w:color w:val="17202A"/>
          <w:sz w:val="19"/>
        </w:rPr>
        <w:t>AZ-900 knowledge: cloud concepts, Azure architecture and services, management and governance.</w:t>
      </w:r>
    </w:p>
    <w:p>
      <w:pPr>
        <w:spacing w:before="0" w:after="80" w:line="264" w:lineRule="auto"/>
      </w:pPr>
      <w:r>
        <w:rPr>
          <w:rFonts w:ascii="Aptos" w:hAnsi="Aptos"/>
          <w:b/>
          <w:i w:val="0"/>
          <w:color w:val="17365D"/>
          <w:sz w:val="19"/>
        </w:rPr>
        <w:t xml:space="preserve">Moltrix proof: </w:t>
      </w:r>
      <w:r>
        <w:rPr>
          <w:rFonts w:ascii="Aptos" w:hAnsi="Aptos"/>
          <w:b w:val="0"/>
          <w:i w:val="0"/>
          <w:color w:val="17202A"/>
          <w:sz w:val="19"/>
        </w:rPr>
        <w:t>Moltrix Azure Foundation: resource map, identity model, governance baseline and cost estimate.</w:t>
      </w:r>
    </w:p>
    <w:p>
      <w:pPr>
        <w:spacing w:before="0" w:after="160" w:line="264" w:lineRule="auto"/>
      </w:pPr>
      <w:r>
        <w:rPr>
          <w:rFonts w:ascii="Aptos" w:hAnsi="Aptos"/>
          <w:b/>
          <w:i w:val="0"/>
          <w:color w:val="2E7D32"/>
          <w:sz w:val="19"/>
        </w:rPr>
        <w:t xml:space="preserve">Exit gate: </w:t>
      </w:r>
      <w:r>
        <w:rPr>
          <w:rFonts w:ascii="Aptos" w:hAnsi="Aptos"/>
          <w:b w:val="0"/>
          <w:i w:val="0"/>
          <w:color w:val="17202A"/>
          <w:sz w:val="19"/>
        </w:rPr>
        <w:t>Can explain IaaS/PaaS/SaaS, regions, identity, governance, security and cost using a Moltrix scenario.</w:t>
      </w:r>
    </w:p>
    <w:p>
      <w:pPr>
        <w:pStyle w:val="Heading2"/>
        <w:keepNext/>
      </w:pPr>
      <w:r>
        <w:t>Phase 4 — Azure Administration</w:t>
      </w:r>
    </w:p>
    <w:p>
      <w:pPr>
        <w:spacing w:before="0" w:after="60" w:line="264" w:lineRule="auto"/>
      </w:pPr>
      <w:r>
        <w:rPr>
          <w:rFonts w:ascii="Aptos" w:hAnsi="Aptos"/>
          <w:b/>
          <w:i w:val="0"/>
          <w:color w:val="17365D"/>
          <w:sz w:val="19"/>
        </w:rPr>
        <w:t xml:space="preserve">Target: </w:t>
      </w:r>
      <w:r>
        <w:rPr>
          <w:rFonts w:ascii="Aptos" w:hAnsi="Aptos"/>
          <w:b w:val="0"/>
          <w:i w:val="0"/>
          <w:color w:val="5B6573"/>
          <w:sz w:val="19"/>
        </w:rPr>
        <w:t>Fall–Winter 2026</w:t>
      </w:r>
    </w:p>
    <w:p>
      <w:pPr>
        <w:spacing w:before="0" w:after="80" w:line="264" w:lineRule="auto"/>
      </w:pPr>
      <w:r>
        <w:rPr>
          <w:rFonts w:ascii="Aptos" w:hAnsi="Aptos"/>
          <w:b/>
          <w:i w:val="0"/>
          <w:color w:val="17365D"/>
          <w:sz w:val="19"/>
        </w:rPr>
        <w:t xml:space="preserve">Transition logic: </w:t>
      </w:r>
      <w:r>
        <w:rPr>
          <w:rFonts w:ascii="Aptos" w:hAnsi="Aptos"/>
          <w:b w:val="0"/>
          <w:i w:val="0"/>
          <w:color w:val="17202A"/>
          <w:sz w:val="19"/>
        </w:rPr>
        <w:t>Azure fundamentals become operational skill through deployment, control, monitoring and recovery.</w:t>
      </w:r>
    </w:p>
    <w:p>
      <w:pPr>
        <w:spacing w:before="0" w:after="80" w:line="264" w:lineRule="auto"/>
      </w:pPr>
      <w:r>
        <w:rPr>
          <w:rFonts w:ascii="Aptos" w:hAnsi="Aptos"/>
          <w:b/>
          <w:i w:val="0"/>
          <w:color w:val="17365D"/>
          <w:sz w:val="19"/>
        </w:rPr>
        <w:t xml:space="preserve">Purpose: </w:t>
      </w:r>
      <w:r>
        <w:rPr>
          <w:rFonts w:ascii="Aptos" w:hAnsi="Aptos"/>
          <w:b w:val="0"/>
          <w:i w:val="0"/>
          <w:color w:val="17202A"/>
          <w:sz w:val="19"/>
        </w:rPr>
        <w:t>Build the central technical capability for Azure support and junior administration roles.</w:t>
      </w:r>
    </w:p>
    <w:p>
      <w:pPr>
        <w:spacing w:before="0" w:after="80" w:line="264" w:lineRule="auto"/>
      </w:pPr>
      <w:r>
        <w:rPr>
          <w:rFonts w:ascii="Aptos" w:hAnsi="Aptos"/>
          <w:b/>
          <w:i w:val="0"/>
          <w:color w:val="17365D"/>
          <w:sz w:val="19"/>
        </w:rPr>
        <w:t xml:space="preserve">Capabilities: </w:t>
      </w:r>
      <w:r>
        <w:rPr>
          <w:rFonts w:ascii="Aptos" w:hAnsi="Aptos"/>
          <w:b w:val="0"/>
          <w:i w:val="0"/>
          <w:color w:val="17202A"/>
          <w:sz w:val="19"/>
        </w:rPr>
        <w:t>AZ-104: identity, governance, storage, compute, networking, monitoring, backup, recovery and cost control.</w:t>
      </w:r>
    </w:p>
    <w:p>
      <w:pPr>
        <w:spacing w:before="0" w:after="80" w:line="264" w:lineRule="auto"/>
      </w:pPr>
      <w:r>
        <w:rPr>
          <w:rFonts w:ascii="Aptos" w:hAnsi="Aptos"/>
          <w:b/>
          <w:i w:val="0"/>
          <w:color w:val="17365D"/>
          <w:sz w:val="19"/>
        </w:rPr>
        <w:t xml:space="preserve">Moltrix proof: </w:t>
      </w:r>
      <w:r>
        <w:rPr>
          <w:rFonts w:ascii="Aptos" w:hAnsi="Aptos"/>
          <w:b w:val="0"/>
          <w:i w:val="0"/>
          <w:color w:val="17202A"/>
          <w:sz w:val="19"/>
        </w:rPr>
        <w:t>Moltrix Secure Azure Environment.</w:t>
      </w:r>
    </w:p>
    <w:p>
      <w:pPr>
        <w:spacing w:before="0" w:after="160" w:line="264" w:lineRule="auto"/>
      </w:pPr>
      <w:r>
        <w:rPr>
          <w:rFonts w:ascii="Aptos" w:hAnsi="Aptos"/>
          <w:b/>
          <w:i w:val="0"/>
          <w:color w:val="2E7D32"/>
          <w:sz w:val="19"/>
        </w:rPr>
        <w:t xml:space="preserve">Exit gate: </w:t>
      </w:r>
      <w:r>
        <w:rPr>
          <w:rFonts w:ascii="Aptos" w:hAnsi="Aptos"/>
          <w:b w:val="0"/>
          <w:i w:val="0"/>
          <w:color w:val="17202A"/>
          <w:sz w:val="19"/>
        </w:rPr>
        <w:t>Access and network boundaries, monitoring, backup, restore, failure handling and cost controls tested; exam-ready.</w:t>
      </w:r>
    </w:p>
    <w:p>
      <w:pPr>
        <w:pStyle w:val="Heading2"/>
        <w:keepNext/>
      </w:pPr>
      <w:r>
        <w:t>Phase 5 — Employability Workstream</w:t>
      </w:r>
    </w:p>
    <w:p>
      <w:pPr>
        <w:spacing w:before="0" w:after="60" w:line="264" w:lineRule="auto"/>
      </w:pPr>
      <w:r>
        <w:rPr>
          <w:rFonts w:ascii="Aptos" w:hAnsi="Aptos"/>
          <w:b/>
          <w:i w:val="0"/>
          <w:color w:val="17365D"/>
          <w:sz w:val="19"/>
        </w:rPr>
        <w:t xml:space="preserve">Target: </w:t>
      </w:r>
      <w:r>
        <w:rPr>
          <w:rFonts w:ascii="Aptos" w:hAnsi="Aptos"/>
          <w:b w:val="0"/>
          <w:i w:val="0"/>
          <w:color w:val="5B6573"/>
          <w:sz w:val="19"/>
        </w:rPr>
        <w:t>Begin now; intensify before Jan 2027</w:t>
      </w:r>
    </w:p>
    <w:p>
      <w:pPr>
        <w:spacing w:before="0" w:after="80" w:line="264" w:lineRule="auto"/>
      </w:pPr>
      <w:r>
        <w:rPr>
          <w:rFonts w:ascii="Aptos" w:hAnsi="Aptos"/>
          <w:b/>
          <w:i w:val="0"/>
          <w:color w:val="17365D"/>
          <w:sz w:val="19"/>
        </w:rPr>
        <w:t xml:space="preserve">Transition logic: </w:t>
      </w:r>
      <w:r>
        <w:rPr>
          <w:rFonts w:ascii="Aptos" w:hAnsi="Aptos"/>
          <w:b w:val="0"/>
          <w:i w:val="0"/>
          <w:color w:val="17202A"/>
          <w:sz w:val="19"/>
        </w:rPr>
        <w:t>Employability runs alongside technical phases so evidence is reviewed and improved while it is being built.</w:t>
      </w:r>
    </w:p>
    <w:p>
      <w:pPr>
        <w:spacing w:before="0" w:after="80" w:line="264" w:lineRule="auto"/>
      </w:pPr>
      <w:r>
        <w:rPr>
          <w:rFonts w:ascii="Aptos" w:hAnsi="Aptos"/>
          <w:b/>
          <w:i w:val="0"/>
          <w:color w:val="17365D"/>
          <w:sz w:val="19"/>
        </w:rPr>
        <w:t xml:space="preserve">Purpose: </w:t>
      </w:r>
      <w:r>
        <w:rPr>
          <w:rFonts w:ascii="Aptos" w:hAnsi="Aptos"/>
          <w:b w:val="0"/>
          <w:i w:val="0"/>
          <w:color w:val="17202A"/>
          <w:sz w:val="19"/>
        </w:rPr>
        <w:t>Convert progress into Canadian opportunity before the entire roadmap is complete.</w:t>
      </w:r>
    </w:p>
    <w:p>
      <w:pPr>
        <w:spacing w:before="0" w:after="80" w:line="264" w:lineRule="auto"/>
      </w:pPr>
      <w:r>
        <w:rPr>
          <w:rFonts w:ascii="Aptos" w:hAnsi="Aptos"/>
          <w:b/>
          <w:i w:val="0"/>
          <w:color w:val="17365D"/>
          <w:sz w:val="19"/>
        </w:rPr>
        <w:t xml:space="preserve">Capabilities: </w:t>
      </w:r>
      <w:r>
        <w:rPr>
          <w:rFonts w:ascii="Aptos" w:hAnsi="Aptos"/>
          <w:b w:val="0"/>
          <w:i w:val="0"/>
          <w:color w:val="17202A"/>
          <w:sz w:val="19"/>
        </w:rPr>
        <w:t>GitHub portfolio, résumé, LinkedIn, professor checkpoints, STAR stories, technical demonstrations, networking and targeted applications.</w:t>
      </w:r>
    </w:p>
    <w:p>
      <w:pPr>
        <w:spacing w:before="0" w:after="80" w:line="264" w:lineRule="auto"/>
      </w:pPr>
      <w:r>
        <w:rPr>
          <w:rFonts w:ascii="Aptos" w:hAnsi="Aptos"/>
          <w:b/>
          <w:i w:val="0"/>
          <w:color w:val="17365D"/>
          <w:sz w:val="19"/>
        </w:rPr>
        <w:t xml:space="preserve">Moltrix proof: </w:t>
      </w:r>
      <w:r>
        <w:rPr>
          <w:rFonts w:ascii="Aptos" w:hAnsi="Aptos"/>
          <w:b w:val="0"/>
          <w:i w:val="0"/>
          <w:color w:val="17202A"/>
          <w:sz w:val="19"/>
        </w:rPr>
        <w:t>Professor-ready demonstrations and employer-facing portfolio reviews.</w:t>
      </w:r>
    </w:p>
    <w:p>
      <w:pPr>
        <w:spacing w:before="0" w:after="160" w:line="264" w:lineRule="auto"/>
      </w:pPr>
      <w:r>
        <w:rPr>
          <w:rFonts w:ascii="Aptos" w:hAnsi="Aptos"/>
          <w:b/>
          <w:i w:val="0"/>
          <w:color w:val="2E7D32"/>
          <w:sz w:val="19"/>
        </w:rPr>
        <w:t xml:space="preserve">Exit gate: </w:t>
      </w:r>
      <w:r>
        <w:rPr>
          <w:rFonts w:ascii="Aptos" w:hAnsi="Aptos"/>
          <w:b w:val="0"/>
          <w:i w:val="0"/>
          <w:color w:val="17202A"/>
          <w:sz w:val="19"/>
        </w:rPr>
        <w:t>Two strong demonstrations; professor feedback recorded; résumé and LinkedIn aligned; targeted applications underway.</w:t>
      </w:r>
    </w:p>
    <w:p>
      <w:r>
        <w:br w:type="page"/>
      </w:r>
    </w:p>
    <w:p>
      <w:pPr>
        <w:pStyle w:val="Heading1"/>
        <w:keepNext/>
      </w:pPr>
      <w:r>
        <w:t>Phase 6 — Platform Engineering Foundation</w:t>
      </w:r>
    </w:p>
    <w:p>
      <w:pPr>
        <w:keepLines w:val="0"/>
        <w:spacing w:before="0" w:after="120" w:line="264" w:lineRule="auto"/>
      </w:pPr>
      <w:r>
        <w:rPr>
          <w:rFonts w:ascii="Aptos" w:hAnsi="Aptos"/>
          <w:b/>
          <w:i w:val="0"/>
          <w:color w:val="17365D"/>
          <w:sz w:val="23"/>
        </w:rPr>
        <w:t>Platform Engineering Foundation means learning to build repeatable, secure and observable delivery systems—not merely using cloud portals.</w:t>
      </w:r>
    </w:p>
    <w:tbl>
      <w:tblPr>
        <w:tblStyle w:val="TableGrid"/>
        <w:tblW w:type="dxa" w:w="9360"/>
        <w:jc w:val="center"/>
        <w:tblLayout w:type="fixed"/>
        <w:tblLook w:firstColumn="1" w:firstRow="1" w:lastColumn="0" w:lastRow="0" w:noHBand="0" w:noVBand="1" w:val="04A0"/>
        <w:tblInd w:w="120" w:type="dxa"/>
      </w:tblPr>
      <w:tblGrid>
        <w:gridCol w:w="900"/>
        <w:gridCol w:w="2500"/>
        <w:gridCol w:w="5960"/>
      </w:tblGrid>
      <w:tr>
        <w:trPr>
          <w:tblHeader w:val="true"/>
          <w:cantSplit/>
        </w:trPr>
        <w:tc>
          <w:tcPr>
            <w:tcW w:type="dxa" w:w="900"/>
            <w:tcMar>
              <w:top w:w="90" w:type="dxa"/>
              <w:start w:w="120" w:type="dxa"/>
              <w:bottom w:w="90" w:type="dxa"/>
              <w:end w:w="120" w:type="dxa"/>
            </w:tcMar>
            <w:vAlign w:val="center"/>
            <w:shd w:fill="17365D"/>
          </w:tcPr>
          <w:p>
            <w:pPr>
              <w:spacing w:after="0"/>
              <w:jc w:val="center"/>
            </w:pPr>
            <w:r>
              <w:rPr>
                <w:rFonts w:ascii="Aptos" w:hAnsi="Aptos"/>
                <w:b/>
                <w:i w:val="0"/>
                <w:color w:val="FFFFFF"/>
                <w:sz w:val="17"/>
              </w:rPr>
              <w:t>Sequence</w:t>
            </w:r>
          </w:p>
        </w:tc>
        <w:tc>
          <w:tcPr>
            <w:tcW w:type="dxa" w:w="2500"/>
            <w:tcMar>
              <w:top w:w="90" w:type="dxa"/>
              <w:start w:w="120" w:type="dxa"/>
              <w:bottom w:w="90" w:type="dxa"/>
              <w:end w:w="120" w:type="dxa"/>
            </w:tcMar>
            <w:vAlign w:val="center"/>
            <w:shd w:fill="17365D"/>
          </w:tcPr>
          <w:p>
            <w:pPr>
              <w:spacing w:after="0"/>
              <w:jc w:val="center"/>
            </w:pPr>
            <w:r>
              <w:rPr>
                <w:rFonts w:ascii="Aptos" w:hAnsi="Aptos"/>
                <w:b/>
                <w:i w:val="0"/>
                <w:color w:val="FFFFFF"/>
                <w:sz w:val="17"/>
              </w:rPr>
              <w:t>Required capability</w:t>
            </w:r>
          </w:p>
        </w:tc>
        <w:tc>
          <w:tcPr>
            <w:tcW w:type="dxa" w:w="5960"/>
            <w:tcMar>
              <w:top w:w="90" w:type="dxa"/>
              <w:start w:w="120" w:type="dxa"/>
              <w:bottom w:w="90" w:type="dxa"/>
              <w:end w:w="120" w:type="dxa"/>
            </w:tcMar>
            <w:vAlign w:val="center"/>
            <w:shd w:fill="17365D"/>
          </w:tcPr>
          <w:p>
            <w:pPr>
              <w:spacing w:after="0"/>
              <w:jc w:val="center"/>
            </w:pPr>
            <w:r>
              <w:rPr>
                <w:rFonts w:ascii="Aptos" w:hAnsi="Aptos"/>
                <w:b/>
                <w:i w:val="0"/>
                <w:color w:val="FFFFFF"/>
                <w:sz w:val="17"/>
              </w:rPr>
              <w:t>Demonstrated outcome</w:t>
            </w:r>
          </w:p>
        </w:tc>
      </w:tr>
      <w:tr>
        <w:trPr>
          <w:cantSplit/>
        </w:trPr>
        <w:tc>
          <w:tcPr>
            <w:tcW w:type="dxa" w:w="900"/>
          </w:tcPr>
          <w:p>
            <w:pPr>
              <w:spacing w:after="0" w:line="240" w:lineRule="auto"/>
            </w:pPr>
            <w:r>
              <w:rPr>
                <w:rFonts w:ascii="Aptos" w:hAnsi="Aptos"/>
                <w:b w:val="0"/>
                <w:i w:val="0"/>
                <w:color w:val="17202A"/>
                <w:sz w:val="17"/>
              </w:rPr>
              <w:t>1</w:t>
            </w:r>
          </w:p>
        </w:tc>
        <w:tc>
          <w:tcPr>
            <w:tcW w:type="dxa" w:w="2500"/>
          </w:tcPr>
          <w:p>
            <w:pPr>
              <w:spacing w:after="0" w:line="240" w:lineRule="auto"/>
            </w:pPr>
            <w:r>
              <w:rPr>
                <w:rFonts w:ascii="Aptos" w:hAnsi="Aptos"/>
                <w:b w:val="0"/>
                <w:i w:val="0"/>
                <w:color w:val="17202A"/>
                <w:sz w:val="17"/>
              </w:rPr>
              <w:t>Git &amp; GitHub</w:t>
            </w:r>
          </w:p>
        </w:tc>
        <w:tc>
          <w:tcPr>
            <w:tcW w:type="dxa" w:w="5960"/>
          </w:tcPr>
          <w:p>
            <w:pPr>
              <w:spacing w:after="0" w:line="240" w:lineRule="auto"/>
            </w:pPr>
            <w:r>
              <w:rPr>
                <w:rFonts w:ascii="Aptos" w:hAnsi="Aptos"/>
                <w:b w:val="0"/>
                <w:i w:val="0"/>
                <w:color w:val="17202A"/>
                <w:sz w:val="17"/>
              </w:rPr>
              <w:t>Repositories, commits, branches, pull requests, issues and documentation</w:t>
            </w:r>
          </w:p>
        </w:tc>
      </w:tr>
      <w:tr>
        <w:trPr>
          <w:cantSplit/>
        </w:trPr>
        <w:tc>
          <w:tcPr>
            <w:tcW w:type="dxa" w:w="900"/>
            <w:shd w:fill="F4F6F9"/>
          </w:tcPr>
          <w:p>
            <w:pPr>
              <w:spacing w:after="0" w:line="240" w:lineRule="auto"/>
            </w:pPr>
            <w:r>
              <w:rPr>
                <w:rFonts w:ascii="Aptos" w:hAnsi="Aptos"/>
                <w:b w:val="0"/>
                <w:i w:val="0"/>
                <w:color w:val="17202A"/>
                <w:sz w:val="17"/>
              </w:rPr>
              <w:t>2</w:t>
            </w:r>
          </w:p>
        </w:tc>
        <w:tc>
          <w:tcPr>
            <w:tcW w:type="dxa" w:w="2500"/>
            <w:shd w:fill="F4F6F9"/>
          </w:tcPr>
          <w:p>
            <w:pPr>
              <w:spacing w:after="0" w:line="240" w:lineRule="auto"/>
            </w:pPr>
            <w:r>
              <w:rPr>
                <w:rFonts w:ascii="Aptos" w:hAnsi="Aptos"/>
                <w:b w:val="0"/>
                <w:i w:val="0"/>
                <w:color w:val="17202A"/>
                <w:sz w:val="17"/>
              </w:rPr>
              <w:t>PowerShell &amp; Bash</w:t>
            </w:r>
          </w:p>
        </w:tc>
        <w:tc>
          <w:tcPr>
            <w:tcW w:type="dxa" w:w="5960"/>
            <w:shd w:fill="F4F6F9"/>
          </w:tcPr>
          <w:p>
            <w:pPr>
              <w:spacing w:after="0" w:line="240" w:lineRule="auto"/>
            </w:pPr>
            <w:r>
              <w:rPr>
                <w:rFonts w:ascii="Aptos" w:hAnsi="Aptos"/>
                <w:b w:val="0"/>
                <w:i w:val="0"/>
                <w:color w:val="17202A"/>
                <w:sz w:val="17"/>
              </w:rPr>
              <w:t>Repeatable administration, validation and troubleshooting tasks</w:t>
            </w:r>
          </w:p>
        </w:tc>
      </w:tr>
      <w:tr>
        <w:trPr>
          <w:cantSplit/>
        </w:trPr>
        <w:tc>
          <w:tcPr>
            <w:tcW w:type="dxa" w:w="900"/>
          </w:tcPr>
          <w:p>
            <w:pPr>
              <w:spacing w:after="0" w:line="240" w:lineRule="auto"/>
            </w:pPr>
            <w:r>
              <w:rPr>
                <w:rFonts w:ascii="Aptos" w:hAnsi="Aptos"/>
                <w:b w:val="0"/>
                <w:i w:val="0"/>
                <w:color w:val="17202A"/>
                <w:sz w:val="17"/>
              </w:rPr>
              <w:t>3</w:t>
            </w:r>
          </w:p>
        </w:tc>
        <w:tc>
          <w:tcPr>
            <w:tcW w:type="dxa" w:w="2500"/>
          </w:tcPr>
          <w:p>
            <w:pPr>
              <w:spacing w:after="0" w:line="240" w:lineRule="auto"/>
            </w:pPr>
            <w:r>
              <w:rPr>
                <w:rFonts w:ascii="Aptos" w:hAnsi="Aptos"/>
                <w:b w:val="0"/>
                <w:i w:val="0"/>
                <w:color w:val="17202A"/>
                <w:sz w:val="17"/>
              </w:rPr>
              <w:t>Bicep</w:t>
            </w:r>
          </w:p>
        </w:tc>
        <w:tc>
          <w:tcPr>
            <w:tcW w:type="dxa" w:w="5960"/>
          </w:tcPr>
          <w:p>
            <w:pPr>
              <w:spacing w:after="0" w:line="240" w:lineRule="auto"/>
            </w:pPr>
            <w:r>
              <w:rPr>
                <w:rFonts w:ascii="Aptos" w:hAnsi="Aptos"/>
                <w:b w:val="0"/>
                <w:i w:val="0"/>
                <w:color w:val="17202A"/>
                <w:sz w:val="17"/>
              </w:rPr>
              <w:t>Azure-native Infrastructure as Code with parameters, modules and controlled deployments</w:t>
            </w:r>
          </w:p>
        </w:tc>
      </w:tr>
      <w:tr>
        <w:trPr>
          <w:cantSplit/>
        </w:trPr>
        <w:tc>
          <w:tcPr>
            <w:tcW w:type="dxa" w:w="900"/>
            <w:shd w:fill="F4F6F9"/>
          </w:tcPr>
          <w:p>
            <w:pPr>
              <w:spacing w:after="0" w:line="240" w:lineRule="auto"/>
            </w:pPr>
            <w:r>
              <w:rPr>
                <w:rFonts w:ascii="Aptos" w:hAnsi="Aptos"/>
                <w:b w:val="0"/>
                <w:i w:val="0"/>
                <w:color w:val="17202A"/>
                <w:sz w:val="17"/>
              </w:rPr>
              <w:t>4</w:t>
            </w:r>
          </w:p>
        </w:tc>
        <w:tc>
          <w:tcPr>
            <w:tcW w:type="dxa" w:w="2500"/>
            <w:shd w:fill="F4F6F9"/>
          </w:tcPr>
          <w:p>
            <w:pPr>
              <w:spacing w:after="0" w:line="240" w:lineRule="auto"/>
            </w:pPr>
            <w:r>
              <w:rPr>
                <w:rFonts w:ascii="Aptos" w:hAnsi="Aptos"/>
                <w:b w:val="0"/>
                <w:i w:val="0"/>
                <w:color w:val="17202A"/>
                <w:sz w:val="17"/>
              </w:rPr>
              <w:t>Terraform</w:t>
            </w:r>
          </w:p>
        </w:tc>
        <w:tc>
          <w:tcPr>
            <w:tcW w:type="dxa" w:w="5960"/>
            <w:shd w:fill="F4F6F9"/>
          </w:tcPr>
          <w:p>
            <w:pPr>
              <w:spacing w:after="0" w:line="240" w:lineRule="auto"/>
            </w:pPr>
            <w:r>
              <w:rPr>
                <w:rFonts w:ascii="Aptos" w:hAnsi="Aptos"/>
                <w:b w:val="0"/>
                <w:i w:val="0"/>
                <w:color w:val="17202A"/>
                <w:sz w:val="17"/>
              </w:rPr>
              <w:t>Reusable infrastructure, state awareness, plans, modules and multi-cloud patterns</w:t>
            </w:r>
          </w:p>
        </w:tc>
      </w:tr>
      <w:tr>
        <w:trPr>
          <w:cantSplit/>
        </w:trPr>
        <w:tc>
          <w:tcPr>
            <w:tcW w:type="dxa" w:w="900"/>
          </w:tcPr>
          <w:p>
            <w:pPr>
              <w:spacing w:after="0" w:line="240" w:lineRule="auto"/>
            </w:pPr>
            <w:r>
              <w:rPr>
                <w:rFonts w:ascii="Aptos" w:hAnsi="Aptos"/>
                <w:b w:val="0"/>
                <w:i w:val="0"/>
                <w:color w:val="17202A"/>
                <w:sz w:val="17"/>
              </w:rPr>
              <w:t>5</w:t>
            </w:r>
          </w:p>
        </w:tc>
        <w:tc>
          <w:tcPr>
            <w:tcW w:type="dxa" w:w="2500"/>
          </w:tcPr>
          <w:p>
            <w:pPr>
              <w:spacing w:after="0" w:line="240" w:lineRule="auto"/>
            </w:pPr>
            <w:r>
              <w:rPr>
                <w:rFonts w:ascii="Aptos" w:hAnsi="Aptos"/>
                <w:b w:val="0"/>
                <w:i w:val="0"/>
                <w:color w:val="17202A"/>
                <w:sz w:val="17"/>
              </w:rPr>
              <w:t>Docker</w:t>
            </w:r>
          </w:p>
        </w:tc>
        <w:tc>
          <w:tcPr>
            <w:tcW w:type="dxa" w:w="5960"/>
          </w:tcPr>
          <w:p>
            <w:pPr>
              <w:spacing w:after="0" w:line="240" w:lineRule="auto"/>
            </w:pPr>
            <w:r>
              <w:rPr>
                <w:rFonts w:ascii="Aptos" w:hAnsi="Aptos"/>
                <w:b w:val="0"/>
                <w:i w:val="0"/>
                <w:color w:val="17202A"/>
                <w:sz w:val="17"/>
              </w:rPr>
              <w:t>Secure container images, configuration, networking, storage and registries</w:t>
            </w:r>
          </w:p>
        </w:tc>
      </w:tr>
      <w:tr>
        <w:trPr>
          <w:cantSplit/>
        </w:trPr>
        <w:tc>
          <w:tcPr>
            <w:tcW w:type="dxa" w:w="900"/>
            <w:shd w:fill="F4F6F9"/>
          </w:tcPr>
          <w:p>
            <w:pPr>
              <w:spacing w:after="0" w:line="240" w:lineRule="auto"/>
            </w:pPr>
            <w:r>
              <w:rPr>
                <w:rFonts w:ascii="Aptos" w:hAnsi="Aptos"/>
                <w:b w:val="0"/>
                <w:i w:val="0"/>
                <w:color w:val="17202A"/>
                <w:sz w:val="17"/>
              </w:rPr>
              <w:t>6</w:t>
            </w:r>
          </w:p>
        </w:tc>
        <w:tc>
          <w:tcPr>
            <w:tcW w:type="dxa" w:w="2500"/>
            <w:shd w:fill="F4F6F9"/>
          </w:tcPr>
          <w:p>
            <w:pPr>
              <w:spacing w:after="0" w:line="240" w:lineRule="auto"/>
            </w:pPr>
            <w:r>
              <w:rPr>
                <w:rFonts w:ascii="Aptos" w:hAnsi="Aptos"/>
                <w:b w:val="0"/>
                <w:i w:val="0"/>
                <w:color w:val="17202A"/>
                <w:sz w:val="17"/>
              </w:rPr>
              <w:t>GitHub Actions</w:t>
            </w:r>
          </w:p>
        </w:tc>
        <w:tc>
          <w:tcPr>
            <w:tcW w:type="dxa" w:w="5960"/>
            <w:shd w:fill="F4F6F9"/>
          </w:tcPr>
          <w:p>
            <w:pPr>
              <w:spacing w:after="0" w:line="240" w:lineRule="auto"/>
            </w:pPr>
            <w:r>
              <w:rPr>
                <w:rFonts w:ascii="Aptos" w:hAnsi="Aptos"/>
                <w:b w:val="0"/>
                <w:i w:val="0"/>
                <w:color w:val="17202A"/>
                <w:sz w:val="17"/>
              </w:rPr>
              <w:t>CI/CD workflows with linting, testing, approval, deployment and rollback</w:t>
            </w:r>
          </w:p>
        </w:tc>
      </w:tr>
      <w:tr>
        <w:trPr>
          <w:cantSplit/>
        </w:trPr>
        <w:tc>
          <w:tcPr>
            <w:tcW w:type="dxa" w:w="900"/>
          </w:tcPr>
          <w:p>
            <w:pPr>
              <w:spacing w:after="0" w:line="240" w:lineRule="auto"/>
            </w:pPr>
            <w:r>
              <w:rPr>
                <w:rFonts w:ascii="Aptos" w:hAnsi="Aptos"/>
                <w:b w:val="0"/>
                <w:i w:val="0"/>
                <w:color w:val="17202A"/>
                <w:sz w:val="17"/>
              </w:rPr>
              <w:t>7</w:t>
            </w:r>
          </w:p>
        </w:tc>
        <w:tc>
          <w:tcPr>
            <w:tcW w:type="dxa" w:w="2500"/>
          </w:tcPr>
          <w:p>
            <w:pPr>
              <w:spacing w:after="0" w:line="240" w:lineRule="auto"/>
            </w:pPr>
            <w:r>
              <w:rPr>
                <w:rFonts w:ascii="Aptos" w:hAnsi="Aptos"/>
                <w:b w:val="0"/>
                <w:i w:val="0"/>
                <w:color w:val="17202A"/>
                <w:sz w:val="17"/>
              </w:rPr>
              <w:t>Security &amp; governance</w:t>
            </w:r>
          </w:p>
        </w:tc>
        <w:tc>
          <w:tcPr>
            <w:tcW w:type="dxa" w:w="5960"/>
          </w:tcPr>
          <w:p>
            <w:pPr>
              <w:spacing w:after="0" w:line="240" w:lineRule="auto"/>
            </w:pPr>
            <w:r>
              <w:rPr>
                <w:rFonts w:ascii="Aptos" w:hAnsi="Aptos"/>
                <w:b w:val="0"/>
                <w:i w:val="0"/>
                <w:color w:val="17202A"/>
                <w:sz w:val="17"/>
              </w:rPr>
              <w:t>Least privilege, secret handling, policy checks, supply-chain awareness and cost controls</w:t>
            </w:r>
          </w:p>
        </w:tc>
      </w:tr>
      <w:tr>
        <w:trPr>
          <w:cantSplit/>
        </w:trPr>
        <w:tc>
          <w:tcPr>
            <w:tcW w:type="dxa" w:w="900"/>
            <w:shd w:fill="F4F6F9"/>
          </w:tcPr>
          <w:p>
            <w:pPr>
              <w:spacing w:after="0" w:line="240" w:lineRule="auto"/>
            </w:pPr>
            <w:r>
              <w:rPr>
                <w:rFonts w:ascii="Aptos" w:hAnsi="Aptos"/>
                <w:b w:val="0"/>
                <w:i w:val="0"/>
                <w:color w:val="17202A"/>
                <w:sz w:val="17"/>
              </w:rPr>
              <w:t>8</w:t>
            </w:r>
          </w:p>
        </w:tc>
        <w:tc>
          <w:tcPr>
            <w:tcW w:type="dxa" w:w="2500"/>
            <w:shd w:fill="F4F6F9"/>
          </w:tcPr>
          <w:p>
            <w:pPr>
              <w:spacing w:after="0" w:line="240" w:lineRule="auto"/>
            </w:pPr>
            <w:r>
              <w:rPr>
                <w:rFonts w:ascii="Aptos" w:hAnsi="Aptos"/>
                <w:b w:val="0"/>
                <w:i w:val="0"/>
                <w:color w:val="17202A"/>
                <w:sz w:val="17"/>
              </w:rPr>
              <w:t>Monitoring</w:t>
            </w:r>
          </w:p>
        </w:tc>
        <w:tc>
          <w:tcPr>
            <w:tcW w:type="dxa" w:w="5960"/>
            <w:shd w:fill="F4F6F9"/>
          </w:tcPr>
          <w:p>
            <w:pPr>
              <w:spacing w:after="0" w:line="240" w:lineRule="auto"/>
            </w:pPr>
            <w:r>
              <w:rPr>
                <w:rFonts w:ascii="Aptos" w:hAnsi="Aptos"/>
                <w:b w:val="0"/>
                <w:i w:val="0"/>
                <w:color w:val="17202A"/>
                <w:sz w:val="17"/>
              </w:rPr>
              <w:t>Logs, metrics, alerts, deployment health and failure diagnosis</w:t>
            </w:r>
          </w:p>
        </w:tc>
      </w:tr>
    </w:tbl>
    <w:p>
      <w:pPr>
        <w:pStyle w:val="Heading2"/>
        <w:keepNext/>
      </w:pPr>
      <w:r>
        <w:t>Moltrix practical proof</w:t>
      </w:r>
    </w:p>
    <w:p>
      <w:pPr>
        <w:keepLines w:val="0"/>
        <w:spacing w:before="0" w:after="120" w:line="264" w:lineRule="auto"/>
      </w:pPr>
      <w:r>
        <w:rPr>
          <w:rFonts w:ascii="Aptos" w:hAnsi="Aptos"/>
          <w:b w:val="0"/>
          <w:i w:val="0"/>
          <w:color w:val="17202A"/>
          <w:sz w:val="21"/>
        </w:rPr>
        <w:t>Moltrix Automated Cloud Deployment: provision an Azure environment with Bicep or Terraform, package a small application with Docker, and deploy through GitHub Actions with secure secrets, tests, monitoring and a documented rollback.</w:t>
      </w:r>
    </w:p>
    <w:p>
      <w:pPr>
        <w:pStyle w:val="Heading2"/>
        <w:keepNext/>
      </w:pPr>
      <w:r>
        <w:t>Required exit gate</w:t>
      </w:r>
    </w:p>
    <w:p>
      <w:pPr>
        <w:pStyle w:val="ListBullet"/>
        <w:spacing w:after="80" w:line="264" w:lineRule="auto"/>
      </w:pPr>
      <w:r>
        <w:rPr>
          <w:rFonts w:ascii="Aptos" w:hAnsi="Aptos"/>
          <w:b w:val="0"/>
          <w:i w:val="0"/>
          <w:color w:val="17202A"/>
          <w:sz w:val="20"/>
        </w:rPr>
        <w:t>Infrastructure can be reproduced from a clean environment.</w:t>
      </w:r>
    </w:p>
    <w:p>
      <w:pPr>
        <w:pStyle w:val="ListBullet"/>
        <w:spacing w:after="80" w:line="264" w:lineRule="auto"/>
      </w:pPr>
      <w:r>
        <w:rPr>
          <w:rFonts w:ascii="Aptos" w:hAnsi="Aptos"/>
          <w:b w:val="0"/>
          <w:i w:val="0"/>
          <w:color w:val="17202A"/>
          <w:sz w:val="20"/>
        </w:rPr>
        <w:t>Pipeline success, controlled failure and rollback are demonstrated.</w:t>
      </w:r>
    </w:p>
    <w:p>
      <w:pPr>
        <w:pStyle w:val="ListBullet"/>
        <w:spacing w:after="80" w:line="264" w:lineRule="auto"/>
      </w:pPr>
      <w:r>
        <w:rPr>
          <w:rFonts w:ascii="Aptos" w:hAnsi="Aptos"/>
          <w:b w:val="0"/>
          <w:i w:val="0"/>
          <w:color w:val="17202A"/>
          <w:sz w:val="20"/>
        </w:rPr>
        <w:t>Repository scanning confirms no secrets or sensitive identifiers are exposed.</w:t>
      </w:r>
    </w:p>
    <w:p>
      <w:pPr>
        <w:pStyle w:val="ListBullet"/>
        <w:spacing w:after="80" w:line="264" w:lineRule="auto"/>
      </w:pPr>
      <w:r>
        <w:rPr>
          <w:rFonts w:ascii="Aptos" w:hAnsi="Aptos"/>
          <w:b w:val="0"/>
          <w:i w:val="0"/>
          <w:color w:val="17202A"/>
          <w:sz w:val="20"/>
        </w:rPr>
        <w:t>Architecture, security decisions, test results, troubleshooting and cost are documented.</w:t>
      </w:r>
    </w:p>
    <w:p>
      <w:pPr>
        <w:pStyle w:val="Heading2"/>
        <w:keepNext/>
      </w:pPr>
      <w:r>
        <w:t>Credential decisions</w:t>
      </w:r>
    </w:p>
    <w:p>
      <w:pPr>
        <w:spacing w:before="0" w:after="120" w:line="264" w:lineRule="auto"/>
      </w:pPr>
      <w:r>
        <w:rPr>
          <w:rFonts w:ascii="Aptos" w:hAnsi="Aptos"/>
          <w:b/>
          <w:i w:val="0"/>
          <w:color w:val="2E74B5"/>
          <w:sz w:val="20"/>
        </w:rPr>
        <w:t xml:space="preserve">Terraform Associate (004): </w:t>
      </w:r>
      <w:r>
        <w:rPr>
          <w:rFonts w:ascii="Aptos" w:hAnsi="Aptos"/>
          <w:b w:val="0"/>
          <w:i w:val="0"/>
          <w:color w:val="17202A"/>
          <w:sz w:val="20"/>
        </w:rPr>
        <w:t>optional milestone after at least two Infrastructure-as-Code deployments; project competence comes first.</w:t>
      </w:r>
    </w:p>
    <w:p>
      <w:pPr>
        <w:spacing w:before="0" w:after="120" w:line="264" w:lineRule="auto"/>
      </w:pPr>
      <w:r>
        <w:rPr>
          <w:rFonts w:ascii="Aptos" w:hAnsi="Aptos"/>
          <w:b/>
          <w:i w:val="0"/>
          <w:color w:val="2E74B5"/>
          <w:sz w:val="20"/>
        </w:rPr>
        <w:t xml:space="preserve">Kubernetes/CKA: </w:t>
      </w:r>
      <w:r>
        <w:rPr>
          <w:rFonts w:ascii="Aptos" w:hAnsi="Aptos"/>
          <w:b w:val="0"/>
          <w:i w:val="0"/>
          <w:color w:val="17202A"/>
          <w:sz w:val="20"/>
        </w:rPr>
        <w:t>future specialization—not a Phase 6 commitment. Reassess only after Linux, containers, networking, IaC, CI/CD and monitoring are demonstrated and target roles justify Kubernetes administration.</w:t>
      </w:r>
    </w:p>
    <w:p>
      <w:pPr>
        <w:spacing w:before="60" w:after="140" w:line="259" w:lineRule="auto"/>
        <w:ind w:left="115" w:right="115"/>
        <w:shd w:fill="FFF4D6"/>
        <w:spacing w:before="90" w:after="90"/>
      </w:pPr>
      <w:r>
        <w:rPr>
          <w:rFonts w:ascii="Aptos" w:hAnsi="Aptos"/>
          <w:b/>
          <w:i w:val="0"/>
          <w:color w:val="17365D"/>
          <w:sz w:val="20"/>
        </w:rPr>
        <w:t xml:space="preserve">Anti-overload rule: </w:t>
      </w:r>
      <w:r>
        <w:rPr>
          <w:rFonts w:ascii="Aptos" w:hAnsi="Aptos"/>
          <w:b w:val="0"/>
          <w:i w:val="0"/>
          <w:color w:val="17202A"/>
          <w:sz w:val="20"/>
        </w:rPr>
        <w:t>Do not add Kubernetes to Phase 6 merely to make the roadmap look advanced. A smaller reproducible platform project is stronger evidence than unfinished tool exposure.</w:t>
      </w:r>
    </w:p>
    <w:p>
      <w:r>
        <w:br w:type="page"/>
      </w:r>
    </w:p>
    <w:p>
      <w:pPr>
        <w:pStyle w:val="Heading1"/>
        <w:keepNext/>
      </w:pPr>
      <w:r>
        <w:t>Master Roadmap — AI, Architecture &amp; Multi-Cloud</w:t>
      </w:r>
    </w:p>
    <w:p>
      <w:pPr>
        <w:pStyle w:val="Heading2"/>
        <w:keepNext/>
      </w:pPr>
      <w:r>
        <w:t>Phase 7 — Production AI Engineering</w:t>
      </w:r>
    </w:p>
    <w:p>
      <w:pPr>
        <w:spacing w:before="0" w:after="40" w:line="264" w:lineRule="auto"/>
      </w:pPr>
      <w:r>
        <w:rPr>
          <w:rFonts w:ascii="Aptos" w:hAnsi="Aptos"/>
          <w:b/>
          <w:i w:val="0"/>
          <w:color w:val="17365D"/>
          <w:sz w:val="18"/>
        </w:rPr>
        <w:t xml:space="preserve">Target: </w:t>
      </w:r>
      <w:r>
        <w:rPr>
          <w:rFonts w:ascii="Aptos" w:hAnsi="Aptos"/>
          <w:b w:val="0"/>
          <w:i w:val="0"/>
          <w:color w:val="5B6573"/>
          <w:sz w:val="18"/>
        </w:rPr>
        <w:t>2027; after secure cloud foundations</w:t>
      </w:r>
    </w:p>
    <w:p>
      <w:pPr>
        <w:spacing w:before="0" w:after="60" w:line="264" w:lineRule="auto"/>
      </w:pPr>
      <w:r>
        <w:rPr>
          <w:rFonts w:ascii="Aptos" w:hAnsi="Aptos"/>
          <w:b/>
          <w:i w:val="0"/>
          <w:color w:val="17365D"/>
          <w:sz w:val="18"/>
        </w:rPr>
        <w:t xml:space="preserve">Transition logic: </w:t>
      </w:r>
      <w:r>
        <w:rPr>
          <w:rFonts w:ascii="Aptos" w:hAnsi="Aptos"/>
          <w:b w:val="0"/>
          <w:i w:val="0"/>
          <w:color w:val="17202A"/>
          <w:sz w:val="18"/>
        </w:rPr>
        <w:t>The platform engineering delivery system now supports secure, repeatable AI deployment.</w:t>
      </w:r>
    </w:p>
    <w:p>
      <w:pPr>
        <w:spacing w:before="0" w:after="60" w:line="264" w:lineRule="auto"/>
      </w:pPr>
      <w:r>
        <w:rPr>
          <w:rFonts w:ascii="Aptos" w:hAnsi="Aptos"/>
          <w:b/>
          <w:i w:val="0"/>
          <w:color w:val="17365D"/>
          <w:sz w:val="18"/>
        </w:rPr>
        <w:t xml:space="preserve">Purpose: </w:t>
      </w:r>
      <w:r>
        <w:rPr>
          <w:rFonts w:ascii="Aptos" w:hAnsi="Aptos"/>
          <w:b w:val="0"/>
          <w:i w:val="0"/>
          <w:color w:val="17202A"/>
          <w:sz w:val="18"/>
        </w:rPr>
        <w:t>Reconnect prior Applied AI capability with governed enterprise deployment.</w:t>
      </w:r>
    </w:p>
    <w:p>
      <w:pPr>
        <w:spacing w:before="0" w:after="60" w:line="264" w:lineRule="auto"/>
      </w:pPr>
      <w:r>
        <w:rPr>
          <w:rFonts w:ascii="Aptos" w:hAnsi="Aptos"/>
          <w:b/>
          <w:i w:val="0"/>
          <w:color w:val="17365D"/>
          <w:sz w:val="18"/>
        </w:rPr>
        <w:t xml:space="preserve">Capabilities: </w:t>
      </w:r>
      <w:r>
        <w:rPr>
          <w:rFonts w:ascii="Aptos" w:hAnsi="Aptos"/>
          <w:b w:val="0"/>
          <w:i w:val="0"/>
          <w:color w:val="17202A"/>
          <w:sz w:val="18"/>
        </w:rPr>
        <w:t>Current Azure AI/Foundry path; RAG, agents, evaluation, monitoring, identity, secrets, cost, safety and human approval.</w:t>
      </w:r>
    </w:p>
    <w:p>
      <w:pPr>
        <w:spacing w:before="0" w:after="60" w:line="264" w:lineRule="auto"/>
      </w:pPr>
      <w:r>
        <w:rPr>
          <w:rFonts w:ascii="Aptos" w:hAnsi="Aptos"/>
          <w:b/>
          <w:i w:val="0"/>
          <w:color w:val="17365D"/>
          <w:sz w:val="18"/>
        </w:rPr>
        <w:t xml:space="preserve">Moltrix proof: </w:t>
      </w:r>
      <w:r>
        <w:rPr>
          <w:rFonts w:ascii="Aptos" w:hAnsi="Aptos"/>
          <w:b w:val="0"/>
          <w:i w:val="0"/>
          <w:color w:val="17202A"/>
          <w:sz w:val="18"/>
        </w:rPr>
        <w:t>Moltrix AI Operations Assistant deployed behind authentication.</w:t>
      </w:r>
    </w:p>
    <w:p>
      <w:pPr>
        <w:spacing w:before="0" w:after="80" w:line="264" w:lineRule="auto"/>
      </w:pPr>
      <w:r>
        <w:rPr>
          <w:rFonts w:ascii="Aptos" w:hAnsi="Aptos"/>
          <w:b/>
          <w:i w:val="0"/>
          <w:color w:val="2E7D32"/>
          <w:sz w:val="18"/>
        </w:rPr>
        <w:t xml:space="preserve">Exit gate: </w:t>
      </w:r>
      <w:r>
        <w:rPr>
          <w:rFonts w:ascii="Aptos" w:hAnsi="Aptos"/>
          <w:b w:val="0"/>
          <w:i w:val="0"/>
          <w:color w:val="17202A"/>
          <w:sz w:val="18"/>
        </w:rPr>
        <w:t>Grounding, safety, escalation, cost, monitoring and human approval evaluated with recorded tests.</w:t>
      </w:r>
    </w:p>
    <w:p>
      <w:pPr>
        <w:pStyle w:val="Heading2"/>
        <w:keepNext/>
      </w:pPr>
      <w:r>
        <w:t>Phase 8 — Azure Architecture</w:t>
      </w:r>
    </w:p>
    <w:p>
      <w:pPr>
        <w:spacing w:before="0" w:after="40" w:line="264" w:lineRule="auto"/>
      </w:pPr>
      <w:r>
        <w:rPr>
          <w:rFonts w:ascii="Aptos" w:hAnsi="Aptos"/>
          <w:b/>
          <w:i w:val="0"/>
          <w:color w:val="17365D"/>
          <w:sz w:val="18"/>
        </w:rPr>
        <w:t xml:space="preserve">Target: </w:t>
      </w:r>
      <w:r>
        <w:rPr>
          <w:rFonts w:ascii="Aptos" w:hAnsi="Aptos"/>
          <w:b w:val="0"/>
          <w:i w:val="0"/>
          <w:color w:val="5B6573"/>
          <w:sz w:val="18"/>
        </w:rPr>
        <w:t>After operational Azure experience</w:t>
      </w:r>
    </w:p>
    <w:p>
      <w:pPr>
        <w:spacing w:before="0" w:after="60" w:line="264" w:lineRule="auto"/>
      </w:pPr>
      <w:r>
        <w:rPr>
          <w:rFonts w:ascii="Aptos" w:hAnsi="Aptos"/>
          <w:b/>
          <w:i w:val="0"/>
          <w:color w:val="17365D"/>
          <w:sz w:val="18"/>
        </w:rPr>
        <w:t xml:space="preserve">Transition logic: </w:t>
      </w:r>
      <w:r>
        <w:rPr>
          <w:rFonts w:ascii="Aptos" w:hAnsi="Aptos"/>
          <w:b w:val="0"/>
          <w:i w:val="0"/>
          <w:color w:val="17202A"/>
          <w:sz w:val="18"/>
        </w:rPr>
        <w:t>Administration and platform automation provide the evidence needed to make defensible architecture decisions.</w:t>
      </w:r>
    </w:p>
    <w:p>
      <w:pPr>
        <w:spacing w:before="0" w:after="60" w:line="264" w:lineRule="auto"/>
      </w:pPr>
      <w:r>
        <w:rPr>
          <w:rFonts w:ascii="Aptos" w:hAnsi="Aptos"/>
          <w:b/>
          <w:i w:val="0"/>
          <w:color w:val="17365D"/>
          <w:sz w:val="18"/>
        </w:rPr>
        <w:t xml:space="preserve">Purpose: </w:t>
      </w:r>
      <w:r>
        <w:rPr>
          <w:rFonts w:ascii="Aptos" w:hAnsi="Aptos"/>
          <w:b w:val="0"/>
          <w:i w:val="0"/>
          <w:color w:val="17202A"/>
          <w:sz w:val="18"/>
        </w:rPr>
        <w:t>Build architecture judgment from real deployment, failure, recovery and cost experience.</w:t>
      </w:r>
    </w:p>
    <w:p>
      <w:pPr>
        <w:spacing w:before="0" w:after="60" w:line="264" w:lineRule="auto"/>
      </w:pPr>
      <w:r>
        <w:rPr>
          <w:rFonts w:ascii="Aptos" w:hAnsi="Aptos"/>
          <w:b/>
          <w:i w:val="0"/>
          <w:color w:val="17365D"/>
          <w:sz w:val="18"/>
        </w:rPr>
        <w:t xml:space="preserve">Capabilities: </w:t>
      </w:r>
      <w:r>
        <w:rPr>
          <w:rFonts w:ascii="Aptos" w:hAnsi="Aptos"/>
          <w:b w:val="0"/>
          <w:i w:val="0"/>
          <w:color w:val="17202A"/>
          <w:sz w:val="18"/>
        </w:rPr>
        <w:t>AZ-305 path: identity, governance, monitoring, data, business continuity and infrastructure design.</w:t>
      </w:r>
    </w:p>
    <w:p>
      <w:pPr>
        <w:spacing w:before="0" w:after="60" w:line="264" w:lineRule="auto"/>
      </w:pPr>
      <w:r>
        <w:rPr>
          <w:rFonts w:ascii="Aptos" w:hAnsi="Aptos"/>
          <w:b/>
          <w:i w:val="0"/>
          <w:color w:val="17365D"/>
          <w:sz w:val="18"/>
        </w:rPr>
        <w:t xml:space="preserve">Moltrix proof: </w:t>
      </w:r>
      <w:r>
        <w:rPr>
          <w:rFonts w:ascii="Aptos" w:hAnsi="Aptos"/>
          <w:b w:val="0"/>
          <w:i w:val="0"/>
          <w:color w:val="17202A"/>
          <w:sz w:val="18"/>
        </w:rPr>
        <w:t>Moltrix Enterprise Azure Architecture and architecture decision records.</w:t>
      </w:r>
    </w:p>
    <w:p>
      <w:pPr>
        <w:spacing w:before="0" w:after="80" w:line="264" w:lineRule="auto"/>
      </w:pPr>
      <w:r>
        <w:rPr>
          <w:rFonts w:ascii="Aptos" w:hAnsi="Aptos"/>
          <w:b/>
          <w:i w:val="0"/>
          <w:color w:val="2E7D32"/>
          <w:sz w:val="18"/>
        </w:rPr>
        <w:t xml:space="preserve">Exit gate: </w:t>
      </w:r>
      <w:r>
        <w:rPr>
          <w:rFonts w:ascii="Aptos" w:hAnsi="Aptos"/>
          <w:b w:val="0"/>
          <w:i w:val="0"/>
          <w:color w:val="17202A"/>
          <w:sz w:val="18"/>
        </w:rPr>
        <w:t>Can explain security, availability, recovery, performance, operations and cost trade-offs.</w:t>
      </w:r>
    </w:p>
    <w:p>
      <w:pPr>
        <w:pStyle w:val="Heading2"/>
        <w:keepNext/>
      </w:pPr>
      <w:r>
        <w:t>Phase 9 — AWS Architecture</w:t>
      </w:r>
    </w:p>
    <w:p>
      <w:pPr>
        <w:spacing w:before="0" w:after="40" w:line="264" w:lineRule="auto"/>
      </w:pPr>
      <w:r>
        <w:rPr>
          <w:rFonts w:ascii="Aptos" w:hAnsi="Aptos"/>
          <w:b/>
          <w:i w:val="0"/>
          <w:color w:val="17365D"/>
          <w:sz w:val="18"/>
        </w:rPr>
        <w:t xml:space="preserve">Target: </w:t>
      </w:r>
      <w:r>
        <w:rPr>
          <w:rFonts w:ascii="Aptos" w:hAnsi="Aptos"/>
          <w:b w:val="0"/>
          <w:i w:val="0"/>
          <w:color w:val="5B6573"/>
          <w:sz w:val="18"/>
        </w:rPr>
        <w:t>2027+; after Azure depth and AWS labs</w:t>
      </w:r>
    </w:p>
    <w:p>
      <w:pPr>
        <w:spacing w:before="0" w:after="60" w:line="264" w:lineRule="auto"/>
      </w:pPr>
      <w:r>
        <w:rPr>
          <w:rFonts w:ascii="Aptos" w:hAnsi="Aptos"/>
          <w:b/>
          <w:i w:val="0"/>
          <w:color w:val="17365D"/>
          <w:sz w:val="18"/>
        </w:rPr>
        <w:t xml:space="preserve">Transition logic: </w:t>
      </w:r>
      <w:r>
        <w:rPr>
          <w:rFonts w:ascii="Aptos" w:hAnsi="Aptos"/>
          <w:b w:val="0"/>
          <w:i w:val="0"/>
          <w:color w:val="17202A"/>
          <w:sz w:val="18"/>
        </w:rPr>
        <w:t>One-cloud depth creates a reference model for comparing a second cloud intelligently.</w:t>
      </w:r>
    </w:p>
    <w:p>
      <w:pPr>
        <w:spacing w:before="0" w:after="60" w:line="264" w:lineRule="auto"/>
      </w:pPr>
      <w:r>
        <w:rPr>
          <w:rFonts w:ascii="Aptos" w:hAnsi="Aptos"/>
          <w:b/>
          <w:i w:val="0"/>
          <w:color w:val="17365D"/>
          <w:sz w:val="18"/>
        </w:rPr>
        <w:t xml:space="preserve">Purpose: </w:t>
      </w:r>
      <w:r>
        <w:rPr>
          <w:rFonts w:ascii="Aptos" w:hAnsi="Aptos"/>
          <w:b w:val="0"/>
          <w:i w:val="0"/>
          <w:color w:val="17202A"/>
          <w:sz w:val="18"/>
        </w:rPr>
        <w:t>Create credible multi-cloud breadth without weakening Azure depth.</w:t>
      </w:r>
    </w:p>
    <w:p>
      <w:pPr>
        <w:spacing w:before="0" w:after="60" w:line="264" w:lineRule="auto"/>
      </w:pPr>
      <w:r>
        <w:rPr>
          <w:rFonts w:ascii="Aptos" w:hAnsi="Aptos"/>
          <w:b/>
          <w:i w:val="0"/>
          <w:color w:val="17365D"/>
          <w:sz w:val="18"/>
        </w:rPr>
        <w:t xml:space="preserve">Capabilities: </w:t>
      </w:r>
      <w:r>
        <w:rPr>
          <w:rFonts w:ascii="Aptos" w:hAnsi="Aptos"/>
          <w:b w:val="0"/>
          <w:i w:val="0"/>
          <w:color w:val="17202A"/>
          <w:sz w:val="18"/>
        </w:rPr>
        <w:t>AWS Solutions Architect—Associate (SAA-C03) capability: IAM, VPC, compute, storage, databases, resilience, monitoring, recovery and cost.</w:t>
      </w:r>
    </w:p>
    <w:p>
      <w:pPr>
        <w:spacing w:before="0" w:after="60" w:line="264" w:lineRule="auto"/>
      </w:pPr>
      <w:r>
        <w:rPr>
          <w:rFonts w:ascii="Aptos" w:hAnsi="Aptos"/>
          <w:b/>
          <w:i w:val="0"/>
          <w:color w:val="17365D"/>
          <w:sz w:val="18"/>
        </w:rPr>
        <w:t xml:space="preserve">Moltrix proof: </w:t>
      </w:r>
      <w:r>
        <w:rPr>
          <w:rFonts w:ascii="Aptos" w:hAnsi="Aptos"/>
          <w:b w:val="0"/>
          <w:i w:val="0"/>
          <w:color w:val="17202A"/>
          <w:sz w:val="18"/>
        </w:rPr>
        <w:t>Moltrix AWS Architecture plus Azure/AWS decision comparison.</w:t>
      </w:r>
    </w:p>
    <w:p>
      <w:pPr>
        <w:spacing w:before="0" w:after="80" w:line="264" w:lineRule="auto"/>
      </w:pPr>
      <w:r>
        <w:rPr>
          <w:rFonts w:ascii="Aptos" w:hAnsi="Aptos"/>
          <w:b/>
          <w:i w:val="0"/>
          <w:color w:val="2E7D32"/>
          <w:sz w:val="18"/>
        </w:rPr>
        <w:t xml:space="preserve">Exit gate: </w:t>
      </w:r>
      <w:r>
        <w:rPr>
          <w:rFonts w:ascii="Aptos" w:hAnsi="Aptos"/>
          <w:b w:val="0"/>
          <w:i w:val="0"/>
          <w:color w:val="17202A"/>
          <w:sz w:val="18"/>
        </w:rPr>
        <w:t>Core services are deployed and tested before examination; provider trade-offs are explained using one business scenario.</w:t>
      </w:r>
    </w:p>
    <w:p>
      <w:pPr>
        <w:pStyle w:val="Heading2"/>
        <w:keepNext/>
      </w:pPr>
      <w:r>
        <w:t>Phase 10 — Business AI, Consulting &amp; Transformation</w:t>
      </w:r>
    </w:p>
    <w:p>
      <w:pPr>
        <w:spacing w:before="0" w:after="40" w:line="264" w:lineRule="auto"/>
      </w:pPr>
      <w:r>
        <w:rPr>
          <w:rFonts w:ascii="Aptos" w:hAnsi="Aptos"/>
          <w:b/>
          <w:i w:val="0"/>
          <w:color w:val="17365D"/>
          <w:sz w:val="18"/>
        </w:rPr>
        <w:t xml:space="preserve">Target: </w:t>
      </w:r>
      <w:r>
        <w:rPr>
          <w:rFonts w:ascii="Aptos" w:hAnsi="Aptos"/>
          <w:b w:val="0"/>
          <w:i w:val="0"/>
          <w:color w:val="5B6573"/>
          <w:sz w:val="18"/>
        </w:rPr>
        <w:t>Ongoing destination</w:t>
      </w:r>
    </w:p>
    <w:p>
      <w:pPr>
        <w:spacing w:before="0" w:after="60" w:line="264" w:lineRule="auto"/>
      </w:pPr>
      <w:r>
        <w:rPr>
          <w:rFonts w:ascii="Aptos" w:hAnsi="Aptos"/>
          <w:b/>
          <w:i w:val="0"/>
          <w:color w:val="17365D"/>
          <w:sz w:val="18"/>
        </w:rPr>
        <w:t xml:space="preserve">Transition logic: </w:t>
      </w:r>
      <w:r>
        <w:rPr>
          <w:rFonts w:ascii="Aptos" w:hAnsi="Aptos"/>
          <w:b w:val="0"/>
          <w:i w:val="0"/>
          <w:color w:val="17202A"/>
          <w:sz w:val="18"/>
        </w:rPr>
        <w:t>Technical breadth becomes enterprise value when it improves decisions, controls or operations.</w:t>
      </w:r>
    </w:p>
    <w:p>
      <w:pPr>
        <w:spacing w:before="0" w:after="60" w:line="264" w:lineRule="auto"/>
      </w:pPr>
      <w:r>
        <w:rPr>
          <w:rFonts w:ascii="Aptos" w:hAnsi="Aptos"/>
          <w:b/>
          <w:i w:val="0"/>
          <w:color w:val="17365D"/>
          <w:sz w:val="18"/>
        </w:rPr>
        <w:t xml:space="preserve">Purpose: </w:t>
      </w:r>
      <w:r>
        <w:rPr>
          <w:rFonts w:ascii="Aptos" w:hAnsi="Aptos"/>
          <w:b w:val="0"/>
          <w:i w:val="0"/>
          <w:color w:val="17202A"/>
          <w:sz w:val="18"/>
        </w:rPr>
        <w:t>Combine technical capability with finance leadership, governance, ROI and organizational change.</w:t>
      </w:r>
    </w:p>
    <w:p>
      <w:pPr>
        <w:spacing w:before="0" w:after="60" w:line="264" w:lineRule="auto"/>
      </w:pPr>
      <w:r>
        <w:rPr>
          <w:rFonts w:ascii="Aptos" w:hAnsi="Aptos"/>
          <w:b/>
          <w:i w:val="0"/>
          <w:color w:val="17365D"/>
          <w:sz w:val="18"/>
        </w:rPr>
        <w:t xml:space="preserve">Capabilities: </w:t>
      </w:r>
      <w:r>
        <w:rPr>
          <w:rFonts w:ascii="Aptos" w:hAnsi="Aptos"/>
          <w:b w:val="0"/>
          <w:i w:val="0"/>
          <w:color w:val="17202A"/>
          <w:sz w:val="18"/>
        </w:rPr>
        <w:t>Business analysis, responsible AI, FinOps, controls, adoption and measurable value.</w:t>
      </w:r>
    </w:p>
    <w:p>
      <w:pPr>
        <w:spacing w:before="0" w:after="60" w:line="264" w:lineRule="auto"/>
      </w:pPr>
      <w:r>
        <w:rPr>
          <w:rFonts w:ascii="Aptos" w:hAnsi="Aptos"/>
          <w:b/>
          <w:i w:val="0"/>
          <w:color w:val="17365D"/>
          <w:sz w:val="18"/>
        </w:rPr>
        <w:t xml:space="preserve">Moltrix proof: </w:t>
      </w:r>
      <w:r>
        <w:rPr>
          <w:rFonts w:ascii="Aptos" w:hAnsi="Aptos"/>
          <w:b w:val="0"/>
          <w:i w:val="0"/>
          <w:color w:val="17202A"/>
          <w:sz w:val="18"/>
        </w:rPr>
        <w:t>Moltrix business AI case in forecasting, finance intelligence, quality or inventory.</w:t>
      </w:r>
    </w:p>
    <w:p>
      <w:pPr>
        <w:spacing w:before="0" w:after="80" w:line="264" w:lineRule="auto"/>
      </w:pPr>
      <w:r>
        <w:rPr>
          <w:rFonts w:ascii="Aptos" w:hAnsi="Aptos"/>
          <w:b/>
          <w:i w:val="0"/>
          <w:color w:val="2E7D32"/>
          <w:sz w:val="18"/>
        </w:rPr>
        <w:t xml:space="preserve">Exit gate: </w:t>
      </w:r>
      <w:r>
        <w:rPr>
          <w:rFonts w:ascii="Aptos" w:hAnsi="Aptos"/>
          <w:b w:val="0"/>
          <w:i w:val="0"/>
          <w:color w:val="17202A"/>
          <w:sz w:val="18"/>
        </w:rPr>
        <w:t>System is deployed, secured, monitored and governed; decision impact, risk, adoption and ROI are measured.</w:t>
      </w:r>
    </w:p>
    <w:p>
      <w:r>
        <w:br w:type="page"/>
      </w:r>
    </w:p>
    <w:p>
      <w:pPr>
        <w:pStyle w:val="Heading1"/>
        <w:keepNext/>
      </w:pPr>
      <w:r>
        <w:t>Credential &amp; Capability Policy</w:t>
      </w:r>
    </w:p>
    <w:tbl>
      <w:tblPr>
        <w:tblStyle w:val="TableGrid"/>
        <w:tblW w:type="dxa" w:w="9360"/>
        <w:jc w:val="center"/>
        <w:tblLayout w:type="fixed"/>
        <w:tblLook w:firstColumn="1" w:firstRow="1" w:lastColumn="0" w:lastRow="0" w:noHBand="0" w:noVBand="1" w:val="04A0"/>
        <w:tblInd w:w="120" w:type="dxa"/>
      </w:tblPr>
      <w:tblGrid>
        <w:gridCol w:w="1740"/>
        <w:gridCol w:w="1650"/>
        <w:gridCol w:w="3300"/>
        <w:gridCol w:w="2670"/>
      </w:tblGrid>
      <w:tr>
        <w:trPr>
          <w:tblHeader w:val="true"/>
          <w:cantSplit/>
        </w:trPr>
        <w:tc>
          <w:tcPr>
            <w:tcW w:type="dxa" w:w="1740"/>
            <w:tcMar>
              <w:top w:w="90" w:type="dxa"/>
              <w:start w:w="120" w:type="dxa"/>
              <w:bottom w:w="90" w:type="dxa"/>
              <w:end w:w="120" w:type="dxa"/>
            </w:tcMar>
            <w:vAlign w:val="center"/>
            <w:shd w:fill="17365D"/>
          </w:tcPr>
          <w:p>
            <w:pPr>
              <w:spacing w:after="0"/>
              <w:jc w:val="center"/>
            </w:pPr>
            <w:r>
              <w:rPr>
                <w:rFonts w:ascii="Aptos" w:hAnsi="Aptos"/>
                <w:b/>
                <w:i w:val="0"/>
                <w:color w:val="FFFFFF"/>
                <w:sz w:val="16"/>
              </w:rPr>
              <w:t>Item</w:t>
            </w:r>
          </w:p>
        </w:tc>
        <w:tc>
          <w:tcPr>
            <w:tcW w:type="dxa" w:w="1650"/>
            <w:tcMar>
              <w:top w:w="90" w:type="dxa"/>
              <w:start w:w="120" w:type="dxa"/>
              <w:bottom w:w="90" w:type="dxa"/>
              <w:end w:w="120" w:type="dxa"/>
            </w:tcMar>
            <w:vAlign w:val="center"/>
            <w:shd w:fill="17365D"/>
          </w:tcPr>
          <w:p>
            <w:pPr>
              <w:spacing w:after="0"/>
              <w:jc w:val="center"/>
            </w:pPr>
            <w:r>
              <w:rPr>
                <w:rFonts w:ascii="Aptos" w:hAnsi="Aptos"/>
                <w:b/>
                <w:i w:val="0"/>
                <w:color w:val="FFFFFF"/>
                <w:sz w:val="16"/>
              </w:rPr>
              <w:t>Status</w:t>
            </w:r>
          </w:p>
        </w:tc>
        <w:tc>
          <w:tcPr>
            <w:tcW w:type="dxa" w:w="3300"/>
            <w:tcMar>
              <w:top w:w="90" w:type="dxa"/>
              <w:start w:w="120" w:type="dxa"/>
              <w:bottom w:w="90" w:type="dxa"/>
              <w:end w:w="120" w:type="dxa"/>
            </w:tcMar>
            <w:vAlign w:val="center"/>
            <w:shd w:fill="17365D"/>
          </w:tcPr>
          <w:p>
            <w:pPr>
              <w:spacing w:after="0"/>
              <w:jc w:val="center"/>
            </w:pPr>
            <w:r>
              <w:rPr>
                <w:rFonts w:ascii="Aptos" w:hAnsi="Aptos"/>
                <w:b/>
                <w:i w:val="0"/>
                <w:color w:val="FFFFFF"/>
                <w:sz w:val="16"/>
              </w:rPr>
              <w:t>Activation rule</w:t>
            </w:r>
          </w:p>
        </w:tc>
        <w:tc>
          <w:tcPr>
            <w:tcW w:type="dxa" w:w="2670"/>
            <w:tcMar>
              <w:top w:w="90" w:type="dxa"/>
              <w:start w:w="120" w:type="dxa"/>
              <w:bottom w:w="90" w:type="dxa"/>
              <w:end w:w="120" w:type="dxa"/>
            </w:tcMar>
            <w:vAlign w:val="center"/>
            <w:shd w:fill="17365D"/>
          </w:tcPr>
          <w:p>
            <w:pPr>
              <w:spacing w:after="0"/>
              <w:jc w:val="center"/>
            </w:pPr>
            <w:r>
              <w:rPr>
                <w:rFonts w:ascii="Aptos" w:hAnsi="Aptos"/>
                <w:b/>
                <w:i w:val="0"/>
                <w:color w:val="FFFFFF"/>
                <w:sz w:val="16"/>
              </w:rPr>
              <w:t>Required proof</w:t>
            </w:r>
          </w:p>
        </w:tc>
      </w:tr>
      <w:tr>
        <w:trPr>
          <w:cantSplit/>
        </w:trPr>
        <w:tc>
          <w:tcPr>
            <w:tcW w:type="dxa" w:w="1740"/>
          </w:tcPr>
          <w:p>
            <w:pPr>
              <w:spacing w:after="0" w:line="240" w:lineRule="auto"/>
            </w:pPr>
            <w:r>
              <w:rPr>
                <w:rFonts w:ascii="Aptos" w:hAnsi="Aptos"/>
                <w:b w:val="0"/>
                <w:i w:val="0"/>
                <w:color w:val="17202A"/>
                <w:sz w:val="16"/>
              </w:rPr>
              <w:t>MD-102</w:t>
            </w:r>
          </w:p>
        </w:tc>
        <w:tc>
          <w:tcPr>
            <w:tcW w:type="dxa" w:w="1650"/>
          </w:tcPr>
          <w:p>
            <w:pPr>
              <w:spacing w:after="0" w:line="240" w:lineRule="auto"/>
            </w:pPr>
            <w:r>
              <w:rPr>
                <w:rFonts w:ascii="Aptos" w:hAnsi="Aptos"/>
                <w:b w:val="0"/>
                <w:i w:val="0"/>
                <w:color w:val="17202A"/>
                <w:sz w:val="16"/>
              </w:rPr>
              <w:t>ACTIVE</w:t>
            </w:r>
          </w:p>
        </w:tc>
        <w:tc>
          <w:tcPr>
            <w:tcW w:type="dxa" w:w="3300"/>
          </w:tcPr>
          <w:p>
            <w:pPr>
              <w:spacing w:after="0" w:line="240" w:lineRule="auto"/>
            </w:pPr>
            <w:r>
              <w:rPr>
                <w:rFonts w:ascii="Aptos" w:hAnsi="Aptos"/>
                <w:b w:val="0"/>
                <w:i w:val="0"/>
                <w:color w:val="17202A"/>
                <w:sz w:val="16"/>
              </w:rPr>
              <w:t>Current primary credential</w:t>
            </w:r>
          </w:p>
        </w:tc>
        <w:tc>
          <w:tcPr>
            <w:tcW w:type="dxa" w:w="2670"/>
          </w:tcPr>
          <w:p>
            <w:pPr>
              <w:spacing w:after="0" w:line="240" w:lineRule="auto"/>
            </w:pPr>
            <w:r>
              <w:rPr>
                <w:rFonts w:ascii="Aptos" w:hAnsi="Aptos"/>
                <w:b w:val="0"/>
                <w:i w:val="0"/>
                <w:color w:val="17202A"/>
                <w:sz w:val="16"/>
              </w:rPr>
              <w:t>Secure endpoint project</w:t>
            </w:r>
          </w:p>
        </w:tc>
      </w:tr>
      <w:tr>
        <w:trPr>
          <w:cantSplit/>
        </w:trPr>
        <w:tc>
          <w:tcPr>
            <w:tcW w:type="dxa" w:w="1740"/>
            <w:shd w:fill="F4F6F9"/>
          </w:tcPr>
          <w:p>
            <w:pPr>
              <w:spacing w:after="0" w:line="240" w:lineRule="auto"/>
            </w:pPr>
            <w:r>
              <w:rPr>
                <w:rFonts w:ascii="Aptos" w:hAnsi="Aptos"/>
                <w:b w:val="0"/>
                <w:i w:val="0"/>
                <w:color w:val="17202A"/>
                <w:sz w:val="16"/>
              </w:rPr>
              <w:t>AB-900</w:t>
            </w:r>
          </w:p>
        </w:tc>
        <w:tc>
          <w:tcPr>
            <w:tcW w:type="dxa" w:w="1650"/>
            <w:shd w:fill="F4F6F9"/>
          </w:tcPr>
          <w:p>
            <w:pPr>
              <w:spacing w:after="0" w:line="240" w:lineRule="auto"/>
            </w:pPr>
            <w:r>
              <w:rPr>
                <w:rFonts w:ascii="Aptos" w:hAnsi="Aptos"/>
                <w:b w:val="0"/>
                <w:i w:val="0"/>
                <w:color w:val="17202A"/>
                <w:sz w:val="16"/>
              </w:rPr>
              <w:t>SUPPORTING</w:t>
            </w:r>
          </w:p>
        </w:tc>
        <w:tc>
          <w:tcPr>
            <w:tcW w:type="dxa" w:w="3300"/>
            <w:shd w:fill="F4F6F9"/>
          </w:tcPr>
          <w:p>
            <w:pPr>
              <w:spacing w:after="0" w:line="240" w:lineRule="auto"/>
            </w:pPr>
            <w:r>
              <w:rPr>
                <w:rFonts w:ascii="Aptos" w:hAnsi="Aptos"/>
                <w:b w:val="0"/>
                <w:i w:val="0"/>
                <w:color w:val="17202A"/>
                <w:sz w:val="16"/>
              </w:rPr>
              <w:t>Short foundation; must not delay MD-102</w:t>
            </w:r>
          </w:p>
        </w:tc>
        <w:tc>
          <w:tcPr>
            <w:tcW w:type="dxa" w:w="2670"/>
            <w:shd w:fill="F4F6F9"/>
          </w:tcPr>
          <w:p>
            <w:pPr>
              <w:spacing w:after="0" w:line="240" w:lineRule="auto"/>
            </w:pPr>
            <w:r>
              <w:rPr>
                <w:rFonts w:ascii="Aptos" w:hAnsi="Aptos"/>
                <w:b w:val="0"/>
                <w:i w:val="0"/>
                <w:color w:val="17202A"/>
                <w:sz w:val="16"/>
              </w:rPr>
              <w:t>M365 AI administration knowledge map</w:t>
            </w:r>
          </w:p>
        </w:tc>
      </w:tr>
      <w:tr>
        <w:trPr>
          <w:cantSplit/>
        </w:trPr>
        <w:tc>
          <w:tcPr>
            <w:tcW w:type="dxa" w:w="1740"/>
          </w:tcPr>
          <w:p>
            <w:pPr>
              <w:spacing w:after="0" w:line="240" w:lineRule="auto"/>
            </w:pPr>
            <w:r>
              <w:rPr>
                <w:rFonts w:ascii="Aptos" w:hAnsi="Aptos"/>
                <w:b w:val="0"/>
                <w:i w:val="0"/>
                <w:color w:val="17202A"/>
                <w:sz w:val="16"/>
              </w:rPr>
              <w:t>AB-650</w:t>
            </w:r>
          </w:p>
        </w:tc>
        <w:tc>
          <w:tcPr>
            <w:tcW w:type="dxa" w:w="1650"/>
          </w:tcPr>
          <w:p>
            <w:pPr>
              <w:spacing w:after="0" w:line="240" w:lineRule="auto"/>
            </w:pPr>
            <w:r>
              <w:rPr>
                <w:rFonts w:ascii="Aptos" w:hAnsi="Aptos"/>
                <w:b w:val="0"/>
                <w:i w:val="0"/>
                <w:color w:val="17202A"/>
                <w:sz w:val="16"/>
              </w:rPr>
              <w:t>CONDITIONAL</w:t>
            </w:r>
          </w:p>
        </w:tc>
        <w:tc>
          <w:tcPr>
            <w:tcW w:type="dxa" w:w="3300"/>
          </w:tcPr>
          <w:p>
            <w:pPr>
              <w:spacing w:after="0" w:line="240" w:lineRule="auto"/>
            </w:pPr>
            <w:r>
              <w:rPr>
                <w:rFonts w:ascii="Aptos" w:hAnsi="Aptos"/>
                <w:b w:val="0"/>
                <w:i w:val="0"/>
                <w:color w:val="17202A"/>
                <w:sz w:val="16"/>
              </w:rPr>
              <w:t>Official scope, release, licensing and lab feasibility verified</w:t>
            </w:r>
          </w:p>
        </w:tc>
        <w:tc>
          <w:tcPr>
            <w:tcW w:type="dxa" w:w="2670"/>
          </w:tcPr>
          <w:p>
            <w:pPr>
              <w:spacing w:after="0" w:line="240" w:lineRule="auto"/>
            </w:pPr>
            <w:r>
              <w:rPr>
                <w:rFonts w:ascii="Aptos" w:hAnsi="Aptos"/>
                <w:b w:val="0"/>
                <w:i w:val="0"/>
                <w:color w:val="17202A"/>
                <w:sz w:val="16"/>
              </w:rPr>
              <w:t>AI services governance lab</w:t>
            </w:r>
          </w:p>
        </w:tc>
      </w:tr>
      <w:tr>
        <w:trPr>
          <w:cantSplit/>
        </w:trPr>
        <w:tc>
          <w:tcPr>
            <w:tcW w:type="dxa" w:w="1740"/>
            <w:shd w:fill="F4F6F9"/>
          </w:tcPr>
          <w:p>
            <w:pPr>
              <w:spacing w:after="0" w:line="240" w:lineRule="auto"/>
            </w:pPr>
            <w:r>
              <w:rPr>
                <w:rFonts w:ascii="Aptos" w:hAnsi="Aptos"/>
                <w:b w:val="0"/>
                <w:i w:val="0"/>
                <w:color w:val="17202A"/>
                <w:sz w:val="16"/>
              </w:rPr>
              <w:t>AZ-900</w:t>
            </w:r>
          </w:p>
        </w:tc>
        <w:tc>
          <w:tcPr>
            <w:tcW w:type="dxa" w:w="1650"/>
            <w:shd w:fill="F4F6F9"/>
          </w:tcPr>
          <w:p>
            <w:pPr>
              <w:spacing w:after="0" w:line="240" w:lineRule="auto"/>
            </w:pPr>
            <w:r>
              <w:rPr>
                <w:rFonts w:ascii="Aptos" w:hAnsi="Aptos"/>
                <w:b w:val="0"/>
                <w:i w:val="0"/>
                <w:color w:val="17202A"/>
                <w:sz w:val="16"/>
              </w:rPr>
              <w:t>FOUNDATION</w:t>
            </w:r>
          </w:p>
        </w:tc>
        <w:tc>
          <w:tcPr>
            <w:tcW w:type="dxa" w:w="3300"/>
            <w:shd w:fill="F4F6F9"/>
          </w:tcPr>
          <w:p>
            <w:pPr>
              <w:spacing w:after="0" w:line="240" w:lineRule="auto"/>
            </w:pPr>
            <w:r>
              <w:rPr>
                <w:rFonts w:ascii="Aptos" w:hAnsi="Aptos"/>
                <w:b w:val="0"/>
                <w:i w:val="0"/>
                <w:color w:val="17202A"/>
                <w:sz w:val="16"/>
              </w:rPr>
              <w:t>Complete as knowledge or credential based on schedule</w:t>
            </w:r>
          </w:p>
        </w:tc>
        <w:tc>
          <w:tcPr>
            <w:tcW w:type="dxa" w:w="2670"/>
            <w:shd w:fill="F4F6F9"/>
          </w:tcPr>
          <w:p>
            <w:pPr>
              <w:spacing w:after="0" w:line="240" w:lineRule="auto"/>
            </w:pPr>
            <w:r>
              <w:rPr>
                <w:rFonts w:ascii="Aptos" w:hAnsi="Aptos"/>
                <w:b w:val="0"/>
                <w:i w:val="0"/>
                <w:color w:val="17202A"/>
                <w:sz w:val="16"/>
              </w:rPr>
              <w:t>Azure foundation map</w:t>
            </w:r>
          </w:p>
        </w:tc>
      </w:tr>
      <w:tr>
        <w:trPr>
          <w:cantSplit/>
        </w:trPr>
        <w:tc>
          <w:tcPr>
            <w:tcW w:type="dxa" w:w="1740"/>
          </w:tcPr>
          <w:p>
            <w:pPr>
              <w:spacing w:after="0" w:line="240" w:lineRule="auto"/>
            </w:pPr>
            <w:r>
              <w:rPr>
                <w:rFonts w:ascii="Aptos" w:hAnsi="Aptos"/>
                <w:b w:val="0"/>
                <w:i w:val="0"/>
                <w:color w:val="17202A"/>
                <w:sz w:val="16"/>
              </w:rPr>
              <w:t>AZ-104</w:t>
            </w:r>
          </w:p>
        </w:tc>
        <w:tc>
          <w:tcPr>
            <w:tcW w:type="dxa" w:w="1650"/>
          </w:tcPr>
          <w:p>
            <w:pPr>
              <w:spacing w:after="0" w:line="240" w:lineRule="auto"/>
            </w:pPr>
            <w:r>
              <w:rPr>
                <w:rFonts w:ascii="Aptos" w:hAnsi="Aptos"/>
                <w:b w:val="0"/>
                <w:i w:val="0"/>
                <w:color w:val="17202A"/>
                <w:sz w:val="16"/>
              </w:rPr>
              <w:t>REQUIRED NEXT</w:t>
            </w:r>
          </w:p>
        </w:tc>
        <w:tc>
          <w:tcPr>
            <w:tcW w:type="dxa" w:w="3300"/>
          </w:tcPr>
          <w:p>
            <w:pPr>
              <w:spacing w:after="0" w:line="240" w:lineRule="auto"/>
            </w:pPr>
            <w:r>
              <w:rPr>
                <w:rFonts w:ascii="Aptos" w:hAnsi="Aptos"/>
                <w:b w:val="0"/>
                <w:i w:val="0"/>
                <w:color w:val="17202A"/>
                <w:sz w:val="16"/>
              </w:rPr>
              <w:t>After endpoint foundation and Azure basics</w:t>
            </w:r>
          </w:p>
        </w:tc>
        <w:tc>
          <w:tcPr>
            <w:tcW w:type="dxa" w:w="2670"/>
          </w:tcPr>
          <w:p>
            <w:pPr>
              <w:spacing w:after="0" w:line="240" w:lineRule="auto"/>
            </w:pPr>
            <w:r>
              <w:rPr>
                <w:rFonts w:ascii="Aptos" w:hAnsi="Aptos"/>
                <w:b w:val="0"/>
                <w:i w:val="0"/>
                <w:color w:val="17202A"/>
                <w:sz w:val="16"/>
              </w:rPr>
              <w:t>Secure Azure environment</w:t>
            </w:r>
          </w:p>
        </w:tc>
      </w:tr>
      <w:tr>
        <w:trPr>
          <w:cantSplit/>
        </w:trPr>
        <w:tc>
          <w:tcPr>
            <w:tcW w:type="dxa" w:w="1740"/>
            <w:shd w:fill="F4F6F9"/>
          </w:tcPr>
          <w:p>
            <w:pPr>
              <w:spacing w:after="0" w:line="240" w:lineRule="auto"/>
            </w:pPr>
            <w:r>
              <w:rPr>
                <w:rFonts w:ascii="Aptos" w:hAnsi="Aptos"/>
                <w:b w:val="0"/>
                <w:i w:val="0"/>
                <w:color w:val="17202A"/>
                <w:sz w:val="16"/>
              </w:rPr>
              <w:t>Terraform Associate (004)</w:t>
            </w:r>
          </w:p>
        </w:tc>
        <w:tc>
          <w:tcPr>
            <w:tcW w:type="dxa" w:w="1650"/>
            <w:shd w:fill="F4F6F9"/>
          </w:tcPr>
          <w:p>
            <w:pPr>
              <w:spacing w:after="0" w:line="240" w:lineRule="auto"/>
            </w:pPr>
            <w:r>
              <w:rPr>
                <w:rFonts w:ascii="Aptos" w:hAnsi="Aptos"/>
                <w:b w:val="0"/>
                <w:i w:val="0"/>
                <w:color w:val="17202A"/>
                <w:sz w:val="16"/>
              </w:rPr>
              <w:t>OPTIONAL</w:t>
            </w:r>
          </w:p>
        </w:tc>
        <w:tc>
          <w:tcPr>
            <w:tcW w:type="dxa" w:w="3300"/>
            <w:shd w:fill="F4F6F9"/>
          </w:tcPr>
          <w:p>
            <w:pPr>
              <w:spacing w:after="0" w:line="240" w:lineRule="auto"/>
            </w:pPr>
            <w:r>
              <w:rPr>
                <w:rFonts w:ascii="Aptos" w:hAnsi="Aptos"/>
                <w:b w:val="0"/>
                <w:i w:val="0"/>
                <w:color w:val="17202A"/>
                <w:sz w:val="16"/>
              </w:rPr>
              <w:t>After two IaC deployments</w:t>
            </w:r>
          </w:p>
        </w:tc>
        <w:tc>
          <w:tcPr>
            <w:tcW w:type="dxa" w:w="2670"/>
            <w:shd w:fill="F4F6F9"/>
          </w:tcPr>
          <w:p>
            <w:pPr>
              <w:spacing w:after="0" w:line="240" w:lineRule="auto"/>
            </w:pPr>
            <w:r>
              <w:rPr>
                <w:rFonts w:ascii="Aptos" w:hAnsi="Aptos"/>
                <w:b w:val="0"/>
                <w:i w:val="0"/>
                <w:color w:val="17202A"/>
                <w:sz w:val="16"/>
              </w:rPr>
              <w:t>Reusable IaC repositories</w:t>
            </w:r>
          </w:p>
        </w:tc>
      </w:tr>
      <w:tr>
        <w:trPr>
          <w:cantSplit/>
        </w:trPr>
        <w:tc>
          <w:tcPr>
            <w:tcW w:type="dxa" w:w="1740"/>
          </w:tcPr>
          <w:p>
            <w:pPr>
              <w:spacing w:after="0" w:line="240" w:lineRule="auto"/>
            </w:pPr>
            <w:r>
              <w:rPr>
                <w:rFonts w:ascii="Aptos" w:hAnsi="Aptos"/>
                <w:b w:val="0"/>
                <w:i w:val="0"/>
                <w:color w:val="17202A"/>
                <w:sz w:val="16"/>
              </w:rPr>
              <w:t>CKA</w:t>
            </w:r>
          </w:p>
        </w:tc>
        <w:tc>
          <w:tcPr>
            <w:tcW w:type="dxa" w:w="1650"/>
          </w:tcPr>
          <w:p>
            <w:pPr>
              <w:spacing w:after="0" w:line="240" w:lineRule="auto"/>
            </w:pPr>
            <w:r>
              <w:rPr>
                <w:rFonts w:ascii="Aptos" w:hAnsi="Aptos"/>
                <w:b w:val="0"/>
                <w:i w:val="0"/>
                <w:color w:val="17202A"/>
                <w:sz w:val="16"/>
              </w:rPr>
              <w:t>FUTURE SPECIALIZATION</w:t>
            </w:r>
          </w:p>
        </w:tc>
        <w:tc>
          <w:tcPr>
            <w:tcW w:type="dxa" w:w="3300"/>
          </w:tcPr>
          <w:p>
            <w:pPr>
              <w:spacing w:after="0" w:line="240" w:lineRule="auto"/>
            </w:pPr>
            <w:r>
              <w:rPr>
                <w:rFonts w:ascii="Aptos" w:hAnsi="Aptos"/>
                <w:b w:val="0"/>
                <w:i w:val="0"/>
                <w:color w:val="17202A"/>
                <w:sz w:val="16"/>
              </w:rPr>
              <w:t>Only if target roles justify it</w:t>
            </w:r>
          </w:p>
        </w:tc>
        <w:tc>
          <w:tcPr>
            <w:tcW w:type="dxa" w:w="2670"/>
          </w:tcPr>
          <w:p>
            <w:pPr>
              <w:spacing w:after="0" w:line="240" w:lineRule="auto"/>
            </w:pPr>
            <w:r>
              <w:rPr>
                <w:rFonts w:ascii="Aptos" w:hAnsi="Aptos"/>
                <w:b w:val="0"/>
                <w:i w:val="0"/>
                <w:color w:val="17202A"/>
                <w:sz w:val="16"/>
              </w:rPr>
              <w:t>Container and platform foundations first</w:t>
            </w:r>
          </w:p>
        </w:tc>
      </w:tr>
      <w:tr>
        <w:trPr>
          <w:cantSplit/>
        </w:trPr>
        <w:tc>
          <w:tcPr>
            <w:tcW w:type="dxa" w:w="1740"/>
            <w:shd w:fill="F4F6F9"/>
          </w:tcPr>
          <w:p>
            <w:pPr>
              <w:spacing w:after="0" w:line="240" w:lineRule="auto"/>
            </w:pPr>
            <w:r>
              <w:rPr>
                <w:rFonts w:ascii="Aptos" w:hAnsi="Aptos"/>
                <w:b w:val="0"/>
                <w:i w:val="0"/>
                <w:color w:val="17202A"/>
                <w:sz w:val="16"/>
              </w:rPr>
              <w:t>AZ-305</w:t>
            </w:r>
          </w:p>
        </w:tc>
        <w:tc>
          <w:tcPr>
            <w:tcW w:type="dxa" w:w="1650"/>
            <w:shd w:fill="F4F6F9"/>
          </w:tcPr>
          <w:p>
            <w:pPr>
              <w:spacing w:after="0" w:line="240" w:lineRule="auto"/>
            </w:pPr>
            <w:r>
              <w:rPr>
                <w:rFonts w:ascii="Aptos" w:hAnsi="Aptos"/>
                <w:b w:val="0"/>
                <w:i w:val="0"/>
                <w:color w:val="17202A"/>
                <w:sz w:val="16"/>
              </w:rPr>
              <w:t>DEFER</w:t>
            </w:r>
          </w:p>
        </w:tc>
        <w:tc>
          <w:tcPr>
            <w:tcW w:type="dxa" w:w="3300"/>
            <w:shd w:fill="F4F6F9"/>
          </w:tcPr>
          <w:p>
            <w:pPr>
              <w:spacing w:after="0" w:line="240" w:lineRule="auto"/>
            </w:pPr>
            <w:r>
              <w:rPr>
                <w:rFonts w:ascii="Aptos" w:hAnsi="Aptos"/>
                <w:b w:val="0"/>
                <w:i w:val="0"/>
                <w:color w:val="17202A"/>
                <w:sz w:val="16"/>
              </w:rPr>
              <w:t>After Azure operational experience</w:t>
            </w:r>
          </w:p>
        </w:tc>
        <w:tc>
          <w:tcPr>
            <w:tcW w:type="dxa" w:w="2670"/>
            <w:shd w:fill="F4F6F9"/>
          </w:tcPr>
          <w:p>
            <w:pPr>
              <w:spacing w:after="0" w:line="240" w:lineRule="auto"/>
            </w:pPr>
            <w:r>
              <w:rPr>
                <w:rFonts w:ascii="Aptos" w:hAnsi="Aptos"/>
                <w:b w:val="0"/>
                <w:i w:val="0"/>
                <w:color w:val="17202A"/>
                <w:sz w:val="16"/>
              </w:rPr>
              <w:t>Architecture decision records</w:t>
            </w:r>
          </w:p>
        </w:tc>
      </w:tr>
      <w:tr>
        <w:trPr>
          <w:cantSplit/>
        </w:trPr>
        <w:tc>
          <w:tcPr>
            <w:tcW w:type="dxa" w:w="1740"/>
          </w:tcPr>
          <w:p>
            <w:pPr>
              <w:spacing w:after="0" w:line="240" w:lineRule="auto"/>
            </w:pPr>
            <w:r>
              <w:rPr>
                <w:rFonts w:ascii="Aptos" w:hAnsi="Aptos"/>
                <w:b w:val="0"/>
                <w:i w:val="0"/>
                <w:color w:val="17202A"/>
                <w:sz w:val="16"/>
              </w:rPr>
              <w:t>AWS SAA-C03</w:t>
            </w:r>
          </w:p>
        </w:tc>
        <w:tc>
          <w:tcPr>
            <w:tcW w:type="dxa" w:w="1650"/>
          </w:tcPr>
          <w:p>
            <w:pPr>
              <w:spacing w:after="0" w:line="240" w:lineRule="auto"/>
            </w:pPr>
            <w:r>
              <w:rPr>
                <w:rFonts w:ascii="Aptos" w:hAnsi="Aptos"/>
                <w:b w:val="0"/>
                <w:i w:val="0"/>
                <w:color w:val="17202A"/>
                <w:sz w:val="16"/>
              </w:rPr>
              <w:t>DEFER</w:t>
            </w:r>
          </w:p>
        </w:tc>
        <w:tc>
          <w:tcPr>
            <w:tcW w:type="dxa" w:w="3300"/>
          </w:tcPr>
          <w:p>
            <w:pPr>
              <w:spacing w:after="0" w:line="240" w:lineRule="auto"/>
            </w:pPr>
            <w:r>
              <w:rPr>
                <w:rFonts w:ascii="Aptos" w:hAnsi="Aptos"/>
                <w:b w:val="0"/>
                <w:i w:val="0"/>
                <w:color w:val="17202A"/>
                <w:sz w:val="16"/>
              </w:rPr>
              <w:t>After AWS labs and Azure depth</w:t>
            </w:r>
          </w:p>
        </w:tc>
        <w:tc>
          <w:tcPr>
            <w:tcW w:type="dxa" w:w="2670"/>
          </w:tcPr>
          <w:p>
            <w:pPr>
              <w:spacing w:after="0" w:line="240" w:lineRule="auto"/>
            </w:pPr>
            <w:r>
              <w:rPr>
                <w:rFonts w:ascii="Aptos" w:hAnsi="Aptos"/>
                <w:b w:val="0"/>
                <w:i w:val="0"/>
                <w:color w:val="17202A"/>
                <w:sz w:val="16"/>
              </w:rPr>
              <w:t>AWS deployment and cloud comparison</w:t>
            </w:r>
          </w:p>
        </w:tc>
      </w:tr>
    </w:tbl>
    <w:p>
      <w:pPr>
        <w:pStyle w:val="Heading2"/>
        <w:keepNext/>
      </w:pPr>
      <w:r>
        <w:t>Locked decisions</w:t>
      </w:r>
    </w:p>
    <w:p>
      <w:pPr>
        <w:pStyle w:val="ListBullet"/>
        <w:spacing w:after="80" w:line="264" w:lineRule="auto"/>
      </w:pPr>
      <w:r>
        <w:rPr>
          <w:rFonts w:ascii="Aptos" w:hAnsi="Aptos"/>
          <w:b w:val="0"/>
          <w:i w:val="0"/>
          <w:color w:val="17202A"/>
          <w:sz w:val="20"/>
        </w:rPr>
        <w:t>KEEP: MD-102, AB-900 foundation, AZ-900 foundation, AZ-104 and the project-first evidence model.</w:t>
      </w:r>
    </w:p>
    <w:p>
      <w:pPr>
        <w:pStyle w:val="ListBullet"/>
        <w:spacing w:after="80" w:line="264" w:lineRule="auto"/>
      </w:pPr>
      <w:r>
        <w:rPr>
          <w:rFonts w:ascii="Aptos" w:hAnsi="Aptos"/>
          <w:b w:val="0"/>
          <w:i w:val="0"/>
          <w:color w:val="17202A"/>
          <w:sz w:val="20"/>
        </w:rPr>
        <w:t>CONDITIONAL: AB-650 after official release and verification; Terraform Associate after project competence.</w:t>
      </w:r>
    </w:p>
    <w:p>
      <w:pPr>
        <w:pStyle w:val="ListBullet"/>
        <w:spacing w:after="80" w:line="264" w:lineRule="auto"/>
      </w:pPr>
      <w:r>
        <w:rPr>
          <w:rFonts w:ascii="Aptos" w:hAnsi="Aptos"/>
          <w:b w:val="0"/>
          <w:i w:val="0"/>
          <w:color w:val="17202A"/>
          <w:sz w:val="20"/>
        </w:rPr>
        <w:t>DEFER: AZ-305 until Azure operations; AWS SAA-C03 until AWS labs; CKA until role demand and prerequisites justify it.</w:t>
      </w:r>
    </w:p>
    <w:p>
      <w:pPr>
        <w:pStyle w:val="ListBullet"/>
        <w:spacing w:after="80" w:line="264" w:lineRule="auto"/>
      </w:pPr>
      <w:r>
        <w:rPr>
          <w:rFonts w:ascii="Aptos" w:hAnsi="Aptos"/>
          <w:b w:val="0"/>
          <w:i w:val="0"/>
          <w:color w:val="17202A"/>
          <w:sz w:val="20"/>
        </w:rPr>
        <w:t>REMOVE FROM FORWARD PLAN: MS-102 as a new target if retirement timing makes completion impractical.</w:t>
      </w:r>
    </w:p>
    <w:p>
      <w:pPr>
        <w:pStyle w:val="ListBullet"/>
        <w:spacing w:after="80" w:line="264" w:lineRule="auto"/>
      </w:pPr>
      <w:r>
        <w:rPr>
          <w:rFonts w:ascii="Aptos" w:hAnsi="Aptos"/>
          <w:b w:val="0"/>
          <w:i w:val="0"/>
          <w:color w:val="17202A"/>
          <w:sz w:val="20"/>
        </w:rPr>
        <w:t>KNOWLEDGE ONLY: AWS Cloud Practitioner unless voucher-supported or required by a specific opportunity.</w:t>
      </w:r>
    </w:p>
    <w:p>
      <w:pPr>
        <w:pStyle w:val="Heading2"/>
        <w:keepNext/>
      </w:pPr>
      <w:r>
        <w:t>Quarterly validation questions</w:t>
      </w:r>
    </w:p>
    <w:p>
      <w:pPr>
        <w:pStyle w:val="ListNumber"/>
        <w:spacing w:after="80" w:line="264" w:lineRule="auto"/>
      </w:pPr>
      <w:r>
        <w:rPr>
          <w:rFonts w:ascii="Aptos" w:hAnsi="Aptos"/>
          <w:b w:val="0"/>
          <w:i w:val="0"/>
          <w:color w:val="17202A"/>
          <w:sz w:val="20"/>
        </w:rPr>
        <w:t>Is the credential still current, available and relevant to target Ontario roles?</w:t>
      </w:r>
    </w:p>
    <w:p>
      <w:pPr>
        <w:pStyle w:val="ListNumber"/>
        <w:spacing w:after="80" w:line="264" w:lineRule="auto"/>
      </w:pPr>
      <w:r>
        <w:rPr>
          <w:rFonts w:ascii="Aptos" w:hAnsi="Aptos"/>
          <w:b w:val="0"/>
          <w:i w:val="0"/>
          <w:color w:val="17202A"/>
          <w:sz w:val="20"/>
        </w:rPr>
        <w:t>Has the associated Moltrix project reached demonstrable quality?</w:t>
      </w:r>
    </w:p>
    <w:p>
      <w:pPr>
        <w:pStyle w:val="ListNumber"/>
        <w:spacing w:after="80" w:line="264" w:lineRule="auto"/>
      </w:pPr>
      <w:r>
        <w:rPr>
          <w:rFonts w:ascii="Aptos" w:hAnsi="Aptos"/>
          <w:b w:val="0"/>
          <w:i w:val="0"/>
          <w:color w:val="17202A"/>
          <w:sz w:val="20"/>
        </w:rPr>
        <w:t>Does the next phase strengthen the target role—or merely add another badge?</w:t>
      </w:r>
    </w:p>
    <w:p>
      <w:pPr>
        <w:pStyle w:val="ListNumber"/>
        <w:spacing w:after="80" w:line="264" w:lineRule="auto"/>
      </w:pPr>
      <w:r>
        <w:rPr>
          <w:rFonts w:ascii="Aptos" w:hAnsi="Aptos"/>
          <w:b w:val="0"/>
          <w:i w:val="0"/>
          <w:color w:val="17202A"/>
          <w:sz w:val="20"/>
        </w:rPr>
        <w:t>Are cost, licensing, academic workload and lab access sustainable?</w:t>
      </w:r>
    </w:p>
    <w:p>
      <w:pPr>
        <w:pStyle w:val="ListNumber"/>
        <w:spacing w:after="80" w:line="264" w:lineRule="auto"/>
      </w:pPr>
      <w:r>
        <w:rPr>
          <w:rFonts w:ascii="Aptos" w:hAnsi="Aptos"/>
          <w:b w:val="0"/>
          <w:i w:val="0"/>
          <w:color w:val="17202A"/>
          <w:sz w:val="20"/>
        </w:rPr>
        <w:t>What professor, peer or employer feedback should change the next quarter?</w:t>
      </w:r>
    </w:p>
    <w:p>
      <w:r>
        <w:br w:type="page"/>
      </w:r>
    </w:p>
    <w:p>
      <w:pPr>
        <w:pStyle w:val="Heading1"/>
        <w:keepNext/>
      </w:pPr>
      <w:r>
        <w:t>Execution System &amp; Evidence Standard</w:t>
      </w:r>
    </w:p>
    <w:p>
      <w:pPr>
        <w:pStyle w:val="Heading2"/>
        <w:keepNext/>
      </w:pPr>
      <w:r>
        <w:t>The ten-part Moltrix evidence chain</w:t>
      </w:r>
    </w:p>
    <w:tbl>
      <w:tblPr>
        <w:tblStyle w:val="TableGrid"/>
        <w:tblW w:type="dxa" w:w="9360"/>
        <w:jc w:val="center"/>
        <w:tblLayout w:type="fixed"/>
        <w:tblLook w:firstColumn="1" w:firstRow="1" w:lastColumn="0" w:lastRow="0" w:noHBand="0" w:noVBand="1" w:val="04A0"/>
        <w:tblInd w:w="120" w:type="dxa"/>
      </w:tblPr>
      <w:tblGrid>
        <w:gridCol w:w="650"/>
        <w:gridCol w:w="2300"/>
        <w:gridCol w:w="6410"/>
      </w:tblGrid>
      <w:tr>
        <w:trPr>
          <w:tblHeader w:val="true"/>
          <w:cantSplit/>
        </w:trPr>
        <w:tc>
          <w:tcPr>
            <w:tcW w:type="dxa" w:w="650"/>
            <w:tcMar>
              <w:top w:w="90" w:type="dxa"/>
              <w:start w:w="120" w:type="dxa"/>
              <w:bottom w:w="90" w:type="dxa"/>
              <w:end w:w="120" w:type="dxa"/>
            </w:tcMar>
            <w:vAlign w:val="center"/>
            <w:shd w:fill="17365D"/>
          </w:tcPr>
          <w:p>
            <w:pPr>
              <w:spacing w:after="0"/>
              <w:jc w:val="center"/>
            </w:pPr>
            <w:r>
              <w:rPr>
                <w:rFonts w:ascii="Aptos" w:hAnsi="Aptos"/>
                <w:b/>
                <w:i w:val="0"/>
                <w:color w:val="FFFFFF"/>
                <w:sz w:val="17"/>
              </w:rPr>
              <w:t>#</w:t>
            </w:r>
          </w:p>
        </w:tc>
        <w:tc>
          <w:tcPr>
            <w:tcW w:type="dxa" w:w="2300"/>
            <w:tcMar>
              <w:top w:w="90" w:type="dxa"/>
              <w:start w:w="120" w:type="dxa"/>
              <w:bottom w:w="90" w:type="dxa"/>
              <w:end w:w="120" w:type="dxa"/>
            </w:tcMar>
            <w:vAlign w:val="center"/>
            <w:shd w:fill="17365D"/>
          </w:tcPr>
          <w:p>
            <w:pPr>
              <w:spacing w:after="0"/>
              <w:jc w:val="center"/>
            </w:pPr>
            <w:r>
              <w:rPr>
                <w:rFonts w:ascii="Aptos" w:hAnsi="Aptos"/>
                <w:b/>
                <w:i w:val="0"/>
                <w:color w:val="FFFFFF"/>
                <w:sz w:val="17"/>
              </w:rPr>
              <w:t>Evidence layer</w:t>
            </w:r>
          </w:p>
        </w:tc>
        <w:tc>
          <w:tcPr>
            <w:tcW w:type="dxa" w:w="6410"/>
            <w:tcMar>
              <w:top w:w="90" w:type="dxa"/>
              <w:start w:w="120" w:type="dxa"/>
              <w:bottom w:w="90" w:type="dxa"/>
              <w:end w:w="120" w:type="dxa"/>
            </w:tcMar>
            <w:vAlign w:val="center"/>
            <w:shd w:fill="17365D"/>
          </w:tcPr>
          <w:p>
            <w:pPr>
              <w:spacing w:after="0"/>
              <w:jc w:val="center"/>
            </w:pPr>
            <w:r>
              <w:rPr>
                <w:rFonts w:ascii="Aptos" w:hAnsi="Aptos"/>
                <w:b/>
                <w:i w:val="0"/>
                <w:color w:val="FFFFFF"/>
                <w:sz w:val="17"/>
              </w:rPr>
              <w:t>Completion test</w:t>
            </w:r>
          </w:p>
        </w:tc>
      </w:tr>
      <w:tr>
        <w:trPr>
          <w:cantSplit/>
        </w:trPr>
        <w:tc>
          <w:tcPr>
            <w:tcW w:type="dxa" w:w="650"/>
          </w:tcPr>
          <w:p>
            <w:pPr>
              <w:spacing w:after="0" w:line="240" w:lineRule="auto"/>
            </w:pPr>
            <w:r>
              <w:rPr>
                <w:rFonts w:ascii="Aptos" w:hAnsi="Aptos"/>
                <w:b w:val="0"/>
                <w:i w:val="0"/>
                <w:color w:val="17202A"/>
                <w:sz w:val="17"/>
              </w:rPr>
              <w:t>1</w:t>
            </w:r>
          </w:p>
        </w:tc>
        <w:tc>
          <w:tcPr>
            <w:tcW w:type="dxa" w:w="2300"/>
          </w:tcPr>
          <w:p>
            <w:pPr>
              <w:spacing w:after="0" w:line="240" w:lineRule="auto"/>
            </w:pPr>
            <w:r>
              <w:rPr>
                <w:rFonts w:ascii="Aptos" w:hAnsi="Aptos"/>
                <w:b w:val="0"/>
                <w:i w:val="0"/>
                <w:color w:val="17202A"/>
                <w:sz w:val="17"/>
              </w:rPr>
              <w:t>Business problem</w:t>
            </w:r>
          </w:p>
        </w:tc>
        <w:tc>
          <w:tcPr>
            <w:tcW w:type="dxa" w:w="6410"/>
          </w:tcPr>
          <w:p>
            <w:pPr>
              <w:spacing w:after="0" w:line="240" w:lineRule="auto"/>
            </w:pPr>
            <w:r>
              <w:rPr>
                <w:rFonts w:ascii="Aptos" w:hAnsi="Aptos"/>
                <w:b w:val="0"/>
                <w:i w:val="0"/>
                <w:color w:val="17202A"/>
                <w:sz w:val="17"/>
              </w:rPr>
              <w:t>A realistic organizational need, users, constraints and success measures.</w:t>
            </w:r>
          </w:p>
        </w:tc>
      </w:tr>
      <w:tr>
        <w:trPr>
          <w:cantSplit/>
        </w:trPr>
        <w:tc>
          <w:tcPr>
            <w:tcW w:type="dxa" w:w="650"/>
            <w:shd w:fill="F4F6F9"/>
          </w:tcPr>
          <w:p>
            <w:pPr>
              <w:spacing w:after="0" w:line="240" w:lineRule="auto"/>
            </w:pPr>
            <w:r>
              <w:rPr>
                <w:rFonts w:ascii="Aptos" w:hAnsi="Aptos"/>
                <w:b w:val="0"/>
                <w:i w:val="0"/>
                <w:color w:val="17202A"/>
                <w:sz w:val="17"/>
              </w:rPr>
              <w:t>2</w:t>
            </w:r>
          </w:p>
        </w:tc>
        <w:tc>
          <w:tcPr>
            <w:tcW w:type="dxa" w:w="2300"/>
            <w:shd w:fill="F4F6F9"/>
          </w:tcPr>
          <w:p>
            <w:pPr>
              <w:spacing w:after="0" w:line="240" w:lineRule="auto"/>
            </w:pPr>
            <w:r>
              <w:rPr>
                <w:rFonts w:ascii="Aptos" w:hAnsi="Aptos"/>
                <w:b w:val="0"/>
                <w:i w:val="0"/>
                <w:color w:val="17202A"/>
                <w:sz w:val="17"/>
              </w:rPr>
              <w:t>Official skill mapping</w:t>
            </w:r>
          </w:p>
        </w:tc>
        <w:tc>
          <w:tcPr>
            <w:tcW w:type="dxa" w:w="6410"/>
            <w:shd w:fill="F4F6F9"/>
          </w:tcPr>
          <w:p>
            <w:pPr>
              <w:spacing w:after="0" w:line="240" w:lineRule="auto"/>
            </w:pPr>
            <w:r>
              <w:rPr>
                <w:rFonts w:ascii="Aptos" w:hAnsi="Aptos"/>
                <w:b w:val="0"/>
                <w:i w:val="0"/>
                <w:color w:val="17202A"/>
                <w:sz w:val="17"/>
              </w:rPr>
              <w:t>Current exam or capability objectives mapped to deliverables.</w:t>
            </w:r>
          </w:p>
        </w:tc>
      </w:tr>
      <w:tr>
        <w:trPr>
          <w:cantSplit/>
        </w:trPr>
        <w:tc>
          <w:tcPr>
            <w:tcW w:type="dxa" w:w="650"/>
          </w:tcPr>
          <w:p>
            <w:pPr>
              <w:spacing w:after="0" w:line="240" w:lineRule="auto"/>
            </w:pPr>
            <w:r>
              <w:rPr>
                <w:rFonts w:ascii="Aptos" w:hAnsi="Aptos"/>
                <w:b w:val="0"/>
                <w:i w:val="0"/>
                <w:color w:val="17202A"/>
                <w:sz w:val="17"/>
              </w:rPr>
              <w:t>3</w:t>
            </w:r>
          </w:p>
        </w:tc>
        <w:tc>
          <w:tcPr>
            <w:tcW w:type="dxa" w:w="2300"/>
          </w:tcPr>
          <w:p>
            <w:pPr>
              <w:spacing w:after="0" w:line="240" w:lineRule="auto"/>
            </w:pPr>
            <w:r>
              <w:rPr>
                <w:rFonts w:ascii="Aptos" w:hAnsi="Aptos"/>
                <w:b w:val="0"/>
                <w:i w:val="0"/>
                <w:color w:val="17202A"/>
                <w:sz w:val="17"/>
              </w:rPr>
              <w:t>Architecture</w:t>
            </w:r>
          </w:p>
        </w:tc>
        <w:tc>
          <w:tcPr>
            <w:tcW w:type="dxa" w:w="6410"/>
          </w:tcPr>
          <w:p>
            <w:pPr>
              <w:spacing w:after="0" w:line="240" w:lineRule="auto"/>
            </w:pPr>
            <w:r>
              <w:rPr>
                <w:rFonts w:ascii="Aptos" w:hAnsi="Aptos"/>
                <w:b w:val="0"/>
                <w:i w:val="0"/>
                <w:color w:val="17202A"/>
                <w:sz w:val="17"/>
              </w:rPr>
              <w:t>Components, identities, trust boundaries, data flows and decisions.</w:t>
            </w:r>
          </w:p>
        </w:tc>
      </w:tr>
      <w:tr>
        <w:trPr>
          <w:cantSplit/>
        </w:trPr>
        <w:tc>
          <w:tcPr>
            <w:tcW w:type="dxa" w:w="650"/>
            <w:shd w:fill="F4F6F9"/>
          </w:tcPr>
          <w:p>
            <w:pPr>
              <w:spacing w:after="0" w:line="240" w:lineRule="auto"/>
            </w:pPr>
            <w:r>
              <w:rPr>
                <w:rFonts w:ascii="Aptos" w:hAnsi="Aptos"/>
                <w:b w:val="0"/>
                <w:i w:val="0"/>
                <w:color w:val="17202A"/>
                <w:sz w:val="17"/>
              </w:rPr>
              <w:t>4</w:t>
            </w:r>
          </w:p>
        </w:tc>
        <w:tc>
          <w:tcPr>
            <w:tcW w:type="dxa" w:w="2300"/>
            <w:shd w:fill="F4F6F9"/>
          </w:tcPr>
          <w:p>
            <w:pPr>
              <w:spacing w:after="0" w:line="240" w:lineRule="auto"/>
            </w:pPr>
            <w:r>
              <w:rPr>
                <w:rFonts w:ascii="Aptos" w:hAnsi="Aptos"/>
                <w:b w:val="0"/>
                <w:i w:val="0"/>
                <w:color w:val="17202A"/>
                <w:sz w:val="17"/>
              </w:rPr>
              <w:t>Implementation</w:t>
            </w:r>
          </w:p>
        </w:tc>
        <w:tc>
          <w:tcPr>
            <w:tcW w:type="dxa" w:w="6410"/>
            <w:shd w:fill="F4F6F9"/>
          </w:tcPr>
          <w:p>
            <w:pPr>
              <w:spacing w:after="0" w:line="240" w:lineRule="auto"/>
            </w:pPr>
            <w:r>
              <w:rPr>
                <w:rFonts w:ascii="Aptos" w:hAnsi="Aptos"/>
                <w:b w:val="0"/>
                <w:i w:val="0"/>
                <w:color w:val="17202A"/>
                <w:sz w:val="17"/>
              </w:rPr>
              <w:t>Sanitized configuration, scripts, Infrastructure as Code and reproducible steps.</w:t>
            </w:r>
          </w:p>
        </w:tc>
      </w:tr>
      <w:tr>
        <w:trPr>
          <w:cantSplit/>
        </w:trPr>
        <w:tc>
          <w:tcPr>
            <w:tcW w:type="dxa" w:w="650"/>
          </w:tcPr>
          <w:p>
            <w:pPr>
              <w:spacing w:after="0" w:line="240" w:lineRule="auto"/>
            </w:pPr>
            <w:r>
              <w:rPr>
                <w:rFonts w:ascii="Aptos" w:hAnsi="Aptos"/>
                <w:b w:val="0"/>
                <w:i w:val="0"/>
                <w:color w:val="17202A"/>
                <w:sz w:val="17"/>
              </w:rPr>
              <w:t>5</w:t>
            </w:r>
          </w:p>
        </w:tc>
        <w:tc>
          <w:tcPr>
            <w:tcW w:type="dxa" w:w="2300"/>
          </w:tcPr>
          <w:p>
            <w:pPr>
              <w:spacing w:after="0" w:line="240" w:lineRule="auto"/>
            </w:pPr>
            <w:r>
              <w:rPr>
                <w:rFonts w:ascii="Aptos" w:hAnsi="Aptos"/>
                <w:b w:val="0"/>
                <w:i w:val="0"/>
                <w:color w:val="17202A"/>
                <w:sz w:val="17"/>
              </w:rPr>
              <w:t>Security &amp; governance</w:t>
            </w:r>
          </w:p>
        </w:tc>
        <w:tc>
          <w:tcPr>
            <w:tcW w:type="dxa" w:w="6410"/>
          </w:tcPr>
          <w:p>
            <w:pPr>
              <w:spacing w:after="0" w:line="240" w:lineRule="auto"/>
            </w:pPr>
            <w:r>
              <w:rPr>
                <w:rFonts w:ascii="Aptos" w:hAnsi="Aptos"/>
                <w:b w:val="0"/>
                <w:i w:val="0"/>
                <w:color w:val="17202A"/>
                <w:sz w:val="17"/>
              </w:rPr>
              <w:t>Least privilege, secrets, policy, privacy, risk and responsible AI.</w:t>
            </w:r>
          </w:p>
        </w:tc>
      </w:tr>
      <w:tr>
        <w:trPr>
          <w:cantSplit/>
        </w:trPr>
        <w:tc>
          <w:tcPr>
            <w:tcW w:type="dxa" w:w="650"/>
            <w:shd w:fill="F4F6F9"/>
          </w:tcPr>
          <w:p>
            <w:pPr>
              <w:spacing w:after="0" w:line="240" w:lineRule="auto"/>
            </w:pPr>
            <w:r>
              <w:rPr>
                <w:rFonts w:ascii="Aptos" w:hAnsi="Aptos"/>
                <w:b w:val="0"/>
                <w:i w:val="0"/>
                <w:color w:val="17202A"/>
                <w:sz w:val="17"/>
              </w:rPr>
              <w:t>6</w:t>
            </w:r>
          </w:p>
        </w:tc>
        <w:tc>
          <w:tcPr>
            <w:tcW w:type="dxa" w:w="2300"/>
            <w:shd w:fill="F4F6F9"/>
          </w:tcPr>
          <w:p>
            <w:pPr>
              <w:spacing w:after="0" w:line="240" w:lineRule="auto"/>
            </w:pPr>
            <w:r>
              <w:rPr>
                <w:rFonts w:ascii="Aptos" w:hAnsi="Aptos"/>
                <w:b w:val="0"/>
                <w:i w:val="0"/>
                <w:color w:val="17202A"/>
                <w:sz w:val="17"/>
              </w:rPr>
              <w:t>Testing</w:t>
            </w:r>
          </w:p>
        </w:tc>
        <w:tc>
          <w:tcPr>
            <w:tcW w:type="dxa" w:w="6410"/>
            <w:shd w:fill="F4F6F9"/>
          </w:tcPr>
          <w:p>
            <w:pPr>
              <w:spacing w:after="0" w:line="240" w:lineRule="auto"/>
            </w:pPr>
            <w:r>
              <w:rPr>
                <w:rFonts w:ascii="Aptos" w:hAnsi="Aptos"/>
                <w:b w:val="0"/>
                <w:i w:val="0"/>
                <w:color w:val="17202A"/>
                <w:sz w:val="17"/>
              </w:rPr>
              <w:t>Expected behavior, failed behavior, recovery and acceptance criteria.</w:t>
            </w:r>
          </w:p>
        </w:tc>
      </w:tr>
      <w:tr>
        <w:trPr>
          <w:cantSplit/>
        </w:trPr>
        <w:tc>
          <w:tcPr>
            <w:tcW w:type="dxa" w:w="650"/>
          </w:tcPr>
          <w:p>
            <w:pPr>
              <w:spacing w:after="0" w:line="240" w:lineRule="auto"/>
            </w:pPr>
            <w:r>
              <w:rPr>
                <w:rFonts w:ascii="Aptos" w:hAnsi="Aptos"/>
                <w:b w:val="0"/>
                <w:i w:val="0"/>
                <w:color w:val="17202A"/>
                <w:sz w:val="17"/>
              </w:rPr>
              <w:t>7</w:t>
            </w:r>
          </w:p>
        </w:tc>
        <w:tc>
          <w:tcPr>
            <w:tcW w:type="dxa" w:w="2300"/>
          </w:tcPr>
          <w:p>
            <w:pPr>
              <w:spacing w:after="0" w:line="240" w:lineRule="auto"/>
            </w:pPr>
            <w:r>
              <w:rPr>
                <w:rFonts w:ascii="Aptos" w:hAnsi="Aptos"/>
                <w:b w:val="0"/>
                <w:i w:val="0"/>
                <w:color w:val="17202A"/>
                <w:sz w:val="17"/>
              </w:rPr>
              <w:t>Troubleshooting</w:t>
            </w:r>
          </w:p>
        </w:tc>
        <w:tc>
          <w:tcPr>
            <w:tcW w:type="dxa" w:w="6410"/>
          </w:tcPr>
          <w:p>
            <w:pPr>
              <w:spacing w:after="0" w:line="240" w:lineRule="auto"/>
            </w:pPr>
            <w:r>
              <w:rPr>
                <w:rFonts w:ascii="Aptos" w:hAnsi="Aptos"/>
                <w:b w:val="0"/>
                <w:i w:val="0"/>
                <w:color w:val="17202A"/>
                <w:sz w:val="17"/>
              </w:rPr>
              <w:t>Symptoms, hypotheses, evidence, remediation and lessons.</w:t>
            </w:r>
          </w:p>
        </w:tc>
      </w:tr>
      <w:tr>
        <w:trPr>
          <w:cantSplit/>
        </w:trPr>
        <w:tc>
          <w:tcPr>
            <w:tcW w:type="dxa" w:w="650"/>
            <w:shd w:fill="F4F6F9"/>
          </w:tcPr>
          <w:p>
            <w:pPr>
              <w:spacing w:after="0" w:line="240" w:lineRule="auto"/>
            </w:pPr>
            <w:r>
              <w:rPr>
                <w:rFonts w:ascii="Aptos" w:hAnsi="Aptos"/>
                <w:b w:val="0"/>
                <w:i w:val="0"/>
                <w:color w:val="17202A"/>
                <w:sz w:val="17"/>
              </w:rPr>
              <w:t>8</w:t>
            </w:r>
          </w:p>
        </w:tc>
        <w:tc>
          <w:tcPr>
            <w:tcW w:type="dxa" w:w="2300"/>
            <w:shd w:fill="F4F6F9"/>
          </w:tcPr>
          <w:p>
            <w:pPr>
              <w:spacing w:after="0" w:line="240" w:lineRule="auto"/>
            </w:pPr>
            <w:r>
              <w:rPr>
                <w:rFonts w:ascii="Aptos" w:hAnsi="Aptos"/>
                <w:b w:val="0"/>
                <w:i w:val="0"/>
                <w:color w:val="17202A"/>
                <w:sz w:val="17"/>
              </w:rPr>
              <w:t>Operations &amp; cost</w:t>
            </w:r>
          </w:p>
        </w:tc>
        <w:tc>
          <w:tcPr>
            <w:tcW w:type="dxa" w:w="6410"/>
            <w:shd w:fill="F4F6F9"/>
          </w:tcPr>
          <w:p>
            <w:pPr>
              <w:spacing w:after="0" w:line="240" w:lineRule="auto"/>
            </w:pPr>
            <w:r>
              <w:rPr>
                <w:rFonts w:ascii="Aptos" w:hAnsi="Aptos"/>
                <w:b w:val="0"/>
                <w:i w:val="0"/>
                <w:color w:val="17202A"/>
                <w:sz w:val="17"/>
              </w:rPr>
              <w:t>Monitoring, support, recovery, capacity and financial impact.</w:t>
            </w:r>
          </w:p>
        </w:tc>
      </w:tr>
      <w:tr>
        <w:trPr>
          <w:cantSplit/>
        </w:trPr>
        <w:tc>
          <w:tcPr>
            <w:tcW w:type="dxa" w:w="650"/>
          </w:tcPr>
          <w:p>
            <w:pPr>
              <w:spacing w:after="0" w:line="240" w:lineRule="auto"/>
            </w:pPr>
            <w:r>
              <w:rPr>
                <w:rFonts w:ascii="Aptos" w:hAnsi="Aptos"/>
                <w:b w:val="0"/>
                <w:i w:val="0"/>
                <w:color w:val="17202A"/>
                <w:sz w:val="17"/>
              </w:rPr>
              <w:t>9</w:t>
            </w:r>
          </w:p>
        </w:tc>
        <w:tc>
          <w:tcPr>
            <w:tcW w:type="dxa" w:w="2300"/>
          </w:tcPr>
          <w:p>
            <w:pPr>
              <w:spacing w:after="0" w:line="240" w:lineRule="auto"/>
            </w:pPr>
            <w:r>
              <w:rPr>
                <w:rFonts w:ascii="Aptos" w:hAnsi="Aptos"/>
                <w:b w:val="0"/>
                <w:i w:val="0"/>
                <w:color w:val="17202A"/>
                <w:sz w:val="17"/>
              </w:rPr>
              <w:t>AI extension</w:t>
            </w:r>
          </w:p>
        </w:tc>
        <w:tc>
          <w:tcPr>
            <w:tcW w:type="dxa" w:w="6410"/>
          </w:tcPr>
          <w:p>
            <w:pPr>
              <w:spacing w:after="0" w:line="240" w:lineRule="auto"/>
            </w:pPr>
            <w:r>
              <w:rPr>
                <w:rFonts w:ascii="Aptos" w:hAnsi="Aptos"/>
                <w:b w:val="0"/>
                <w:i w:val="0"/>
                <w:color w:val="17202A"/>
                <w:sz w:val="17"/>
              </w:rPr>
              <w:t>Responsible AI opportunity where it materially improves the solution.</w:t>
            </w:r>
          </w:p>
        </w:tc>
      </w:tr>
      <w:tr>
        <w:trPr>
          <w:cantSplit/>
        </w:trPr>
        <w:tc>
          <w:tcPr>
            <w:tcW w:type="dxa" w:w="650"/>
            <w:shd w:fill="F4F6F9"/>
          </w:tcPr>
          <w:p>
            <w:pPr>
              <w:spacing w:after="0" w:line="240" w:lineRule="auto"/>
            </w:pPr>
            <w:r>
              <w:rPr>
                <w:rFonts w:ascii="Aptos" w:hAnsi="Aptos"/>
                <w:b w:val="0"/>
                <w:i w:val="0"/>
                <w:color w:val="17202A"/>
                <w:sz w:val="17"/>
              </w:rPr>
              <w:t>10</w:t>
            </w:r>
          </w:p>
        </w:tc>
        <w:tc>
          <w:tcPr>
            <w:tcW w:type="dxa" w:w="2300"/>
            <w:shd w:fill="F4F6F9"/>
          </w:tcPr>
          <w:p>
            <w:pPr>
              <w:spacing w:after="0" w:line="240" w:lineRule="auto"/>
            </w:pPr>
            <w:r>
              <w:rPr>
                <w:rFonts w:ascii="Aptos" w:hAnsi="Aptos"/>
                <w:b w:val="0"/>
                <w:i w:val="0"/>
                <w:color w:val="17202A"/>
                <w:sz w:val="17"/>
              </w:rPr>
              <w:t>Communication</w:t>
            </w:r>
          </w:p>
        </w:tc>
        <w:tc>
          <w:tcPr>
            <w:tcW w:type="dxa" w:w="6410"/>
            <w:shd w:fill="F4F6F9"/>
          </w:tcPr>
          <w:p>
            <w:pPr>
              <w:spacing w:after="0" w:line="240" w:lineRule="auto"/>
            </w:pPr>
            <w:r>
              <w:rPr>
                <w:rFonts w:ascii="Aptos" w:hAnsi="Aptos"/>
                <w:b w:val="0"/>
                <w:i w:val="0"/>
                <w:color w:val="17202A"/>
                <w:sz w:val="17"/>
              </w:rPr>
              <w:t>Technical report, executive summary, demonstration and interview story.</w:t>
            </w:r>
          </w:p>
        </w:tc>
      </w:tr>
    </w:tbl>
    <w:p>
      <w:pPr>
        <w:pStyle w:val="Heading2"/>
        <w:keepNext/>
      </w:pPr>
      <w:r>
        <w:t>Universal advancement gate</w:t>
      </w:r>
    </w:p>
    <w:p>
      <w:pPr>
        <w:spacing w:before="60" w:after="140" w:line="259" w:lineRule="auto"/>
        <w:ind w:left="115" w:right="115"/>
        <w:shd w:fill="EAF1F8"/>
        <w:spacing w:before="90" w:after="90"/>
      </w:pPr>
      <w:r>
        <w:rPr>
          <w:rFonts w:ascii="Aptos" w:hAnsi="Aptos"/>
          <w:b/>
          <w:i w:val="0"/>
          <w:color w:val="17365D"/>
          <w:sz w:val="20"/>
        </w:rPr>
        <w:t xml:space="preserve">A phase advances only when Anwar can: </w:t>
      </w:r>
      <w:r>
        <w:rPr>
          <w:rFonts w:ascii="Aptos" w:hAnsi="Aptos"/>
          <w:b w:val="0"/>
          <w:i w:val="0"/>
          <w:color w:val="17202A"/>
          <w:sz w:val="20"/>
        </w:rPr>
        <w:t>EXPLAIN the purpose and trade-offs • BUILD the solution • SECURE the boundaries • TEST success and failure • TROUBLESHOOT evidence • DOCUMENT decisions • DEMONSTRATE the outcome.</w:t>
      </w:r>
    </w:p>
    <w:p>
      <w:pPr>
        <w:pStyle w:val="Heading2"/>
        <w:keepNext/>
      </w:pPr>
      <w:r>
        <w:t>Public evidence safety</w:t>
      </w:r>
    </w:p>
    <w:p>
      <w:pPr>
        <w:keepLines w:val="0"/>
        <w:spacing w:before="0" w:after="120" w:line="264" w:lineRule="auto"/>
      </w:pPr>
      <w:r>
        <w:rPr>
          <w:rFonts w:ascii="Aptos" w:hAnsi="Aptos"/>
          <w:b w:val="0"/>
          <w:i w:val="0"/>
          <w:color w:val="17202A"/>
          <w:sz w:val="21"/>
        </w:rPr>
        <w:t>GitHub evidence must remove passwords, tokens, recovery codes, tenant or subscription identifiers, personal information, device serial numbers and confidential organizational data. Sanitization is part of the professional standard, not an afterthought.</w:t>
      </w:r>
    </w:p>
    <w:p>
      <w:r>
        <w:br w:type="page"/>
      </w:r>
    </w:p>
    <w:p>
      <w:pPr>
        <w:pStyle w:val="Heading1"/>
        <w:keepNext/>
      </w:pPr>
      <w:r>
        <w:t>Operating Cadence &amp; Job-Readiness Gates</w:t>
      </w:r>
    </w:p>
    <w:tbl>
      <w:tblPr>
        <w:tblStyle w:val="TableGrid"/>
        <w:tblW w:type="dxa" w:w="9360"/>
        <w:jc w:val="center"/>
        <w:tblLayout w:type="fixed"/>
        <w:tblLook w:firstColumn="1" w:firstRow="1" w:lastColumn="0" w:lastRow="0" w:noHBand="0" w:noVBand="1" w:val="04A0"/>
        <w:tblInd w:w="120" w:type="dxa"/>
      </w:tblPr>
      <w:tblGrid>
        <w:gridCol w:w="1300"/>
        <w:gridCol w:w="4250"/>
        <w:gridCol w:w="3810"/>
      </w:tblGrid>
      <w:tr>
        <w:trPr>
          <w:tblHeader w:val="true"/>
          <w:cantSplit/>
        </w:trPr>
        <w:tc>
          <w:tcPr>
            <w:tcW w:type="dxa" w:w="1300"/>
            <w:tcMar>
              <w:top w:w="90" w:type="dxa"/>
              <w:start w:w="120" w:type="dxa"/>
              <w:bottom w:w="90" w:type="dxa"/>
              <w:end w:w="120" w:type="dxa"/>
            </w:tcMar>
            <w:vAlign w:val="center"/>
            <w:shd w:fill="17365D"/>
          </w:tcPr>
          <w:p>
            <w:pPr>
              <w:spacing w:after="0"/>
              <w:jc w:val="center"/>
            </w:pPr>
            <w:r>
              <w:rPr>
                <w:rFonts w:ascii="Aptos" w:hAnsi="Aptos"/>
                <w:b/>
                <w:i w:val="0"/>
                <w:color w:val="FFFFFF"/>
                <w:sz w:val="17"/>
              </w:rPr>
              <w:t>Cadence</w:t>
            </w:r>
          </w:p>
        </w:tc>
        <w:tc>
          <w:tcPr>
            <w:tcW w:type="dxa" w:w="4250"/>
            <w:tcMar>
              <w:top w:w="90" w:type="dxa"/>
              <w:start w:w="120" w:type="dxa"/>
              <w:bottom w:w="90" w:type="dxa"/>
              <w:end w:w="120" w:type="dxa"/>
            </w:tcMar>
            <w:vAlign w:val="center"/>
            <w:shd w:fill="17365D"/>
          </w:tcPr>
          <w:p>
            <w:pPr>
              <w:spacing w:after="0"/>
              <w:jc w:val="center"/>
            </w:pPr>
            <w:r>
              <w:rPr>
                <w:rFonts w:ascii="Aptos" w:hAnsi="Aptos"/>
                <w:b/>
                <w:i w:val="0"/>
                <w:color w:val="FFFFFF"/>
                <w:sz w:val="17"/>
              </w:rPr>
              <w:t>Required action</w:t>
            </w:r>
          </w:p>
        </w:tc>
        <w:tc>
          <w:tcPr>
            <w:tcW w:type="dxa" w:w="3810"/>
            <w:tcMar>
              <w:top w:w="90" w:type="dxa"/>
              <w:start w:w="120" w:type="dxa"/>
              <w:bottom w:w="90" w:type="dxa"/>
              <w:end w:w="120" w:type="dxa"/>
            </w:tcMar>
            <w:vAlign w:val="center"/>
            <w:shd w:fill="17365D"/>
          </w:tcPr>
          <w:p>
            <w:pPr>
              <w:spacing w:after="0"/>
              <w:jc w:val="center"/>
            </w:pPr>
            <w:r>
              <w:rPr>
                <w:rFonts w:ascii="Aptos" w:hAnsi="Aptos"/>
                <w:b/>
                <w:i w:val="0"/>
                <w:color w:val="FFFFFF"/>
                <w:sz w:val="17"/>
              </w:rPr>
              <w:t>Output</w:t>
            </w:r>
          </w:p>
        </w:tc>
      </w:tr>
      <w:tr>
        <w:trPr>
          <w:cantSplit/>
        </w:trPr>
        <w:tc>
          <w:tcPr>
            <w:tcW w:type="dxa" w:w="1300"/>
          </w:tcPr>
          <w:p>
            <w:pPr>
              <w:spacing w:after="0" w:line="240" w:lineRule="auto"/>
            </w:pPr>
            <w:r>
              <w:rPr>
                <w:rFonts w:ascii="Aptos" w:hAnsi="Aptos"/>
                <w:b w:val="0"/>
                <w:i w:val="0"/>
                <w:color w:val="17202A"/>
                <w:sz w:val="17"/>
              </w:rPr>
              <w:t>Daily</w:t>
            </w:r>
          </w:p>
        </w:tc>
        <w:tc>
          <w:tcPr>
            <w:tcW w:type="dxa" w:w="4250"/>
          </w:tcPr>
          <w:p>
            <w:pPr>
              <w:spacing w:after="0" w:line="240" w:lineRule="auto"/>
            </w:pPr>
            <w:r>
              <w:rPr>
                <w:rFonts w:ascii="Aptos" w:hAnsi="Aptos"/>
                <w:b w:val="0"/>
                <w:i w:val="0"/>
                <w:color w:val="17202A"/>
                <w:sz w:val="17"/>
              </w:rPr>
              <w:t>Focused learning plus hands-on work</w:t>
            </w:r>
          </w:p>
        </w:tc>
        <w:tc>
          <w:tcPr>
            <w:tcW w:type="dxa" w:w="3810"/>
          </w:tcPr>
          <w:p>
            <w:pPr>
              <w:spacing w:after="0" w:line="240" w:lineRule="auto"/>
            </w:pPr>
            <w:r>
              <w:rPr>
                <w:rFonts w:ascii="Aptos" w:hAnsi="Aptos"/>
                <w:b w:val="0"/>
                <w:i w:val="0"/>
                <w:color w:val="17202A"/>
                <w:sz w:val="17"/>
              </w:rPr>
              <w:t>Lab note or meaningful commit when evidence exists</w:t>
            </w:r>
          </w:p>
        </w:tc>
      </w:tr>
      <w:tr>
        <w:trPr>
          <w:cantSplit/>
        </w:trPr>
        <w:tc>
          <w:tcPr>
            <w:tcW w:type="dxa" w:w="1300"/>
            <w:shd w:fill="F4F6F9"/>
          </w:tcPr>
          <w:p>
            <w:pPr>
              <w:spacing w:after="0" w:line="240" w:lineRule="auto"/>
            </w:pPr>
            <w:r>
              <w:rPr>
                <w:rFonts w:ascii="Aptos" w:hAnsi="Aptos"/>
                <w:b w:val="0"/>
                <w:i w:val="0"/>
                <w:color w:val="17202A"/>
                <w:sz w:val="17"/>
              </w:rPr>
              <w:t>Weekly</w:t>
            </w:r>
          </w:p>
        </w:tc>
        <w:tc>
          <w:tcPr>
            <w:tcW w:type="dxa" w:w="4250"/>
            <w:shd w:fill="F4F6F9"/>
          </w:tcPr>
          <w:p>
            <w:pPr>
              <w:spacing w:after="0" w:line="240" w:lineRule="auto"/>
            </w:pPr>
            <w:r>
              <w:rPr>
                <w:rFonts w:ascii="Aptos" w:hAnsi="Aptos"/>
                <w:b w:val="0"/>
                <w:i w:val="0"/>
                <w:color w:val="17202A"/>
                <w:sz w:val="17"/>
              </w:rPr>
              <w:t>Review objectives, project evidence, blockers and AI continuity</w:t>
            </w:r>
          </w:p>
        </w:tc>
        <w:tc>
          <w:tcPr>
            <w:tcW w:type="dxa" w:w="3810"/>
            <w:shd w:fill="F4F6F9"/>
          </w:tcPr>
          <w:p>
            <w:pPr>
              <w:spacing w:after="0" w:line="240" w:lineRule="auto"/>
            </w:pPr>
            <w:r>
              <w:rPr>
                <w:rFonts w:ascii="Aptos" w:hAnsi="Aptos"/>
                <w:b w:val="0"/>
                <w:i w:val="0"/>
                <w:color w:val="17202A"/>
                <w:sz w:val="17"/>
              </w:rPr>
              <w:t>Progress log and next-week priorities</w:t>
            </w:r>
          </w:p>
        </w:tc>
      </w:tr>
      <w:tr>
        <w:trPr>
          <w:cantSplit/>
        </w:trPr>
        <w:tc>
          <w:tcPr>
            <w:tcW w:type="dxa" w:w="1300"/>
          </w:tcPr>
          <w:p>
            <w:pPr>
              <w:spacing w:after="0" w:line="240" w:lineRule="auto"/>
            </w:pPr>
            <w:r>
              <w:rPr>
                <w:rFonts w:ascii="Aptos" w:hAnsi="Aptos"/>
                <w:b w:val="0"/>
                <w:i w:val="0"/>
                <w:color w:val="17202A"/>
                <w:sz w:val="17"/>
              </w:rPr>
              <w:t>Biweekly</w:t>
            </w:r>
          </w:p>
        </w:tc>
        <w:tc>
          <w:tcPr>
            <w:tcW w:type="dxa" w:w="4250"/>
          </w:tcPr>
          <w:p>
            <w:pPr>
              <w:spacing w:after="0" w:line="240" w:lineRule="auto"/>
            </w:pPr>
            <w:r>
              <w:rPr>
                <w:rFonts w:ascii="Aptos" w:hAnsi="Aptos"/>
                <w:b w:val="0"/>
                <w:i w:val="0"/>
                <w:color w:val="17202A"/>
                <w:sz w:val="17"/>
              </w:rPr>
              <w:t>Complete one demonstrable project increment</w:t>
            </w:r>
          </w:p>
        </w:tc>
        <w:tc>
          <w:tcPr>
            <w:tcW w:type="dxa" w:w="3810"/>
          </w:tcPr>
          <w:p>
            <w:pPr>
              <w:spacing w:after="0" w:line="240" w:lineRule="auto"/>
            </w:pPr>
            <w:r>
              <w:rPr>
                <w:rFonts w:ascii="Aptos" w:hAnsi="Aptos"/>
                <w:b w:val="0"/>
                <w:i w:val="0"/>
                <w:color w:val="17202A"/>
                <w:sz w:val="17"/>
              </w:rPr>
              <w:t>Tested feature, diagram, script or decision record</w:t>
            </w:r>
          </w:p>
        </w:tc>
      </w:tr>
      <w:tr>
        <w:trPr>
          <w:cantSplit/>
        </w:trPr>
        <w:tc>
          <w:tcPr>
            <w:tcW w:type="dxa" w:w="1300"/>
            <w:shd w:fill="F4F6F9"/>
          </w:tcPr>
          <w:p>
            <w:pPr>
              <w:spacing w:after="0" w:line="240" w:lineRule="auto"/>
            </w:pPr>
            <w:r>
              <w:rPr>
                <w:rFonts w:ascii="Aptos" w:hAnsi="Aptos"/>
                <w:b w:val="0"/>
                <w:i w:val="0"/>
                <w:color w:val="17202A"/>
                <w:sz w:val="17"/>
              </w:rPr>
              <w:t>Monthly</w:t>
            </w:r>
          </w:p>
        </w:tc>
        <w:tc>
          <w:tcPr>
            <w:tcW w:type="dxa" w:w="4250"/>
            <w:shd w:fill="F4F6F9"/>
          </w:tcPr>
          <w:p>
            <w:pPr>
              <w:spacing w:after="0" w:line="240" w:lineRule="auto"/>
            </w:pPr>
            <w:r>
              <w:rPr>
                <w:rFonts w:ascii="Aptos" w:hAnsi="Aptos"/>
                <w:b w:val="0"/>
                <w:i w:val="0"/>
                <w:color w:val="17202A"/>
                <w:sz w:val="17"/>
              </w:rPr>
              <w:t>Portfolio and communication review</w:t>
            </w:r>
          </w:p>
        </w:tc>
        <w:tc>
          <w:tcPr>
            <w:tcW w:type="dxa" w:w="3810"/>
            <w:shd w:fill="F4F6F9"/>
          </w:tcPr>
          <w:p>
            <w:pPr>
              <w:spacing w:after="0" w:line="240" w:lineRule="auto"/>
            </w:pPr>
            <w:r>
              <w:rPr>
                <w:rFonts w:ascii="Aptos" w:hAnsi="Aptos"/>
                <w:b w:val="0"/>
                <w:i w:val="0"/>
                <w:color w:val="17202A"/>
                <w:sz w:val="17"/>
              </w:rPr>
              <w:t>README update, sanitized evidence and one interview story</w:t>
            </w:r>
          </w:p>
        </w:tc>
      </w:tr>
      <w:tr>
        <w:trPr>
          <w:cantSplit/>
        </w:trPr>
        <w:tc>
          <w:tcPr>
            <w:tcW w:type="dxa" w:w="1300"/>
          </w:tcPr>
          <w:p>
            <w:pPr>
              <w:spacing w:after="0" w:line="240" w:lineRule="auto"/>
            </w:pPr>
            <w:r>
              <w:rPr>
                <w:rFonts w:ascii="Aptos" w:hAnsi="Aptos"/>
                <w:b w:val="0"/>
                <w:i w:val="0"/>
                <w:color w:val="17202A"/>
                <w:sz w:val="17"/>
              </w:rPr>
              <w:t>Quarterly</w:t>
            </w:r>
          </w:p>
        </w:tc>
        <w:tc>
          <w:tcPr>
            <w:tcW w:type="dxa" w:w="4250"/>
          </w:tcPr>
          <w:p>
            <w:pPr>
              <w:spacing w:after="0" w:line="240" w:lineRule="auto"/>
            </w:pPr>
            <w:r>
              <w:rPr>
                <w:rFonts w:ascii="Aptos" w:hAnsi="Aptos"/>
                <w:b w:val="0"/>
                <w:i w:val="0"/>
                <w:color w:val="17202A"/>
                <w:sz w:val="17"/>
              </w:rPr>
              <w:t>Roadmap revalidation</w:t>
            </w:r>
          </w:p>
        </w:tc>
        <w:tc>
          <w:tcPr>
            <w:tcW w:type="dxa" w:w="3810"/>
          </w:tcPr>
          <w:p>
            <w:pPr>
              <w:spacing w:after="0" w:line="240" w:lineRule="auto"/>
            </w:pPr>
            <w:r>
              <w:rPr>
                <w:rFonts w:ascii="Aptos" w:hAnsi="Aptos"/>
                <w:b w:val="0"/>
                <w:i w:val="0"/>
                <w:color w:val="17202A"/>
                <w:sz w:val="17"/>
              </w:rPr>
              <w:t>Credential, market, cost, workload and sequence decision</w:t>
            </w:r>
          </w:p>
        </w:tc>
      </w:tr>
    </w:tbl>
    <w:p>
      <w:pPr>
        <w:pStyle w:val="Heading2"/>
        <w:keepNext/>
      </w:pPr>
      <w:r>
        <w:t>Professor and employer checkpoints</w:t>
      </w:r>
    </w:p>
    <w:p>
      <w:pPr>
        <w:pStyle w:val="ListBullet"/>
        <w:spacing w:after="80" w:line="264" w:lineRule="auto"/>
      </w:pPr>
      <w:r>
        <w:rPr>
          <w:rFonts w:ascii="Aptos" w:hAnsi="Aptos"/>
          <w:b w:val="0"/>
          <w:i w:val="0"/>
          <w:color w:val="17202A"/>
          <w:sz w:val="20"/>
        </w:rPr>
        <w:t>Checkpoint 1 — Present the business problem, architecture and first tested control.</w:t>
      </w:r>
    </w:p>
    <w:p>
      <w:pPr>
        <w:pStyle w:val="ListBullet"/>
        <w:spacing w:after="80" w:line="264" w:lineRule="auto"/>
      </w:pPr>
      <w:r>
        <w:rPr>
          <w:rFonts w:ascii="Aptos" w:hAnsi="Aptos"/>
          <w:b w:val="0"/>
          <w:i w:val="0"/>
          <w:color w:val="17202A"/>
          <w:sz w:val="20"/>
        </w:rPr>
        <w:t>Checkpoint 2 — Demonstrate failure handling, troubleshooting and security reasoning.</w:t>
      </w:r>
    </w:p>
    <w:p>
      <w:pPr>
        <w:pStyle w:val="ListBullet"/>
        <w:spacing w:after="80" w:line="264" w:lineRule="auto"/>
      </w:pPr>
      <w:r>
        <w:rPr>
          <w:rFonts w:ascii="Aptos" w:hAnsi="Aptos"/>
          <w:b w:val="0"/>
          <w:i w:val="0"/>
          <w:color w:val="17202A"/>
          <w:sz w:val="20"/>
        </w:rPr>
        <w:t>Checkpoint 3 — Present the completed case study and request specific improvement feedback.</w:t>
      </w:r>
    </w:p>
    <w:p>
      <w:pPr>
        <w:pStyle w:val="ListBullet"/>
        <w:spacing w:after="80" w:line="264" w:lineRule="auto"/>
      </w:pPr>
      <w:r>
        <w:rPr>
          <w:rFonts w:ascii="Aptos" w:hAnsi="Aptos"/>
          <w:b w:val="0"/>
          <w:i w:val="0"/>
          <w:color w:val="17202A"/>
          <w:sz w:val="20"/>
        </w:rPr>
        <w:t>Employment gate — Two strong demonstrations, aligned résumé and LinkedIn, six prepared STAR stories, targeted applications and an active networking list.</w:t>
      </w:r>
    </w:p>
    <w:p>
      <w:pPr>
        <w:pStyle w:val="Heading2"/>
        <w:keepNext/>
      </w:pPr>
      <w:r>
        <w:t>Consulting review for every proposed step</w:t>
      </w:r>
    </w:p>
    <w:p>
      <w:pPr>
        <w:spacing w:before="60" w:after="140" w:line="259" w:lineRule="auto"/>
        <w:ind w:left="115" w:right="115"/>
        <w:shd w:fill="EAF1F8"/>
        <w:spacing w:before="90" w:after="90"/>
      </w:pPr>
      <w:r>
        <w:rPr>
          <w:rFonts w:ascii="Aptos" w:hAnsi="Aptos"/>
          <w:b/>
          <w:i w:val="0"/>
          <w:color w:val="17365D"/>
          <w:sz w:val="20"/>
        </w:rPr>
        <w:t xml:space="preserve">Required submission: </w:t>
      </w:r>
      <w:r>
        <w:rPr>
          <w:rFonts w:ascii="Aptos" w:hAnsi="Aptos"/>
          <w:b w:val="0"/>
          <w:i w:val="0"/>
          <w:color w:val="17202A"/>
          <w:sz w:val="20"/>
        </w:rPr>
        <w:t>My proposed next step is ____. It supports Phase ____. The official skill is ____. I will build ____. My GitHub evidence will be ____. It will take ____. The prerequisite is ____. The cost/licensing risk is ____.</w:t>
      </w:r>
    </w:p>
    <w:p>
      <w:pPr>
        <w:keepLines w:val="0"/>
        <w:spacing w:before="0" w:after="120" w:line="264" w:lineRule="auto"/>
        <w:jc w:val="center"/>
      </w:pPr>
      <w:r>
        <w:rPr>
          <w:rFonts w:ascii="Aptos" w:hAnsi="Aptos"/>
          <w:b/>
          <w:i w:val="0"/>
          <w:color w:val="2E74B5"/>
          <w:sz w:val="21"/>
        </w:rPr>
        <w:t>Decision labels:  ALIGNED  •  ALIGNED—LATER  •  OPTIONAL  •  DISTRACTION  •  REPLACE</w:t>
      </w:r>
    </w:p>
    <w:p>
      <w:pPr>
        <w:pStyle w:val="Heading1"/>
        <w:keepNext/>
      </w:pPr>
      <w:r>
        <w:t>Final Standard &amp; Verification</w:t>
      </w:r>
    </w:p>
    <w:p>
      <w:pPr>
        <w:keepLines w:val="0"/>
        <w:spacing w:before="0" w:after="120" w:line="264" w:lineRule="auto"/>
      </w:pPr>
      <w:r>
        <w:rPr>
          <w:rFonts w:ascii="Aptos" w:hAnsi="Aptos"/>
          <w:b w:val="0"/>
          <w:i w:val="0"/>
          <w:color w:val="17202A"/>
          <w:sz w:val="21"/>
        </w:rPr>
        <w:t>The roadmap succeeds only when learning is converted into secure, tested, documented and demonstrable professional capability.</w:t>
      </w:r>
    </w:p>
    <w:p>
      <w:pPr>
        <w:spacing w:before="60" w:after="140" w:line="259" w:lineRule="auto"/>
        <w:ind w:left="115" w:right="115"/>
        <w:shd w:fill="DDEBF7"/>
        <w:spacing w:before="90" w:after="90"/>
      </w:pPr>
      <w:r>
        <w:rPr>
          <w:rFonts w:ascii="Aptos" w:hAnsi="Aptos"/>
          <w:b/>
          <w:i w:val="0"/>
          <w:color w:val="17365D"/>
          <w:sz w:val="20"/>
        </w:rPr>
        <w:t xml:space="preserve">10/10 roadmap definition: </w:t>
      </w:r>
      <w:r>
        <w:rPr>
          <w:rFonts w:ascii="Aptos" w:hAnsi="Aptos"/>
          <w:b w:val="0"/>
          <w:i w:val="0"/>
          <w:color w:val="17202A"/>
          <w:sz w:val="20"/>
        </w:rPr>
        <w:t>Anwar becomes a professional who can design, build, secure, automate, govern and improve AI-enabled cloud solutions; communicate technical and business trade-offs; and prove every major claim through Moltrix evidence.</w:t>
      </w:r>
    </w:p>
    <w:p>
      <w:pPr>
        <w:pStyle w:val="Heading2"/>
        <w:keepNext/>
      </w:pPr>
      <w:r>
        <w:t>Verification note</w:t>
      </w:r>
    </w:p>
    <w:p>
      <w:pPr>
        <w:keepLines w:val="0"/>
        <w:spacing w:before="0" w:after="120" w:line="264" w:lineRule="auto"/>
      </w:pPr>
      <w:r>
        <w:rPr>
          <w:rFonts w:ascii="Aptos" w:hAnsi="Aptos"/>
          <w:b w:val="0"/>
          <w:i w:val="0"/>
          <w:color w:val="5B6573"/>
          <w:sz w:val="18"/>
        </w:rPr>
        <w:t>Credential plans are intentionally time-sensitive. Immediately before study activation or exam booking, verify names, objectives, prerequisites, availability and retirement notices on official Microsoft Learn, AWS Certification, HashiCorp Developer and CNCF/Linux Foundation pages. AB-650 remains provisional until official public credential materials are available and stable.</w:t>
      </w:r>
    </w:p>
    <w:p>
      <w:pPr>
        <w:keepLines w:val="0"/>
        <w:spacing w:before="240" w:after="120" w:line="264" w:lineRule="auto"/>
        <w:jc w:val="center"/>
      </w:pPr>
      <w:r>
        <w:rPr>
          <w:rFonts w:ascii="Aptos" w:hAnsi="Aptos"/>
          <w:b/>
          <w:i w:val="0"/>
          <w:color w:val="5B6573"/>
          <w:sz w:val="18"/>
        </w:rPr>
        <w:t>Roadmap owner: Anwar Ali  •  Program: Moltrix Cloud &amp; AI Transformation Program  •  Version: 3.1  •  Date: July 2026</w:t>
      </w:r>
    </w:p>
    <w:sectPr w:rsidR="00FC693F" w:rsidRPr="0006063C" w:rsidSect="00034616">
      <w:headerReference w:type="default" r:id="rId9"/>
      <w:footerReference w:type="default" r:id="rId10"/>
      <w:pgSz w:w="12240" w:h="15840"/>
      <w:pgMar w:top="1181" w:right="1296" w:bottom="1123"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Anwar Ali  •  Finance + Cloud + AI + Enterprise Transformation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6"/>
      </w:rPr>
      <w:t>MOLTRIX CLOUD &amp; AI TRANSFORMATION PROGRAM  |  ROADMAP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64"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Moltrix Professional Cloud, AI &amp; Platform Engineering Roadmap V3.1</dc:title>
  <dc:subject>Certification, project, platform engineering, AI and employment roadmap</dc:subject>
  <dc:creator>Anwar Ali</dc:creator>
  <cp:keywords>Moltrix, Cloud, AI, Platform Engineering, Azure, Microsoft 365, MD-102</cp:keywords>
  <dc:description>generated by python-docx</dc:description>
  <cp:lastModifiedBy/>
  <cp:revision>1</cp:revision>
  <dcterms:created xsi:type="dcterms:W3CDTF">2013-12-23T23:15:00Z</dcterms:created>
  <dcterms:modified xsi:type="dcterms:W3CDTF">2013-12-23T23:15:00Z</dcterms:modified>
  <cp:category/>
</cp:coreProperties>
</file>