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Markedsstrategi og prospekt</w:t>
      </w:r>
    </w:p>
    <w:p>
      <w:pPr>
        <w:spacing w:after="120"/>
      </w:pPr>
      <w:r>
        <w:t xml:space="preserve">Hvordan prosjektet posisjoneres og selges, og innhold til prospektet.</w:t>
      </w:r>
    </w:p>
    <w:p>
      <w:pPr>
        <w:spacing w:after="120"/>
      </w:pPr>
      <w:r>
        <w:rPr>
          <w:i/>
          <w:iCs/>
        </w:rPr>
        <w:t xml:space="preserve">Forbehold: Alle tall er indikative estimater (per juni 2026) og krever profesjonell verifikasjon. Antall tomter, priser, storrelser og fremdrift oppgis nar reguleringen er klar. Dette er ikke et tilbud.</w:t>
      </w:r>
    </w:p>
    <w:p>
      <w:pPr>
        <w:pStyle w:val="Heading1"/>
        <w:spacing w:after="160" w:before="200"/>
      </w:pPr>
      <w:r>
        <w:t xml:space="preserve">Posisjonering</w:t>
      </w:r>
    </w:p>
    <w:p>
      <w:pPr>
        <w:spacing w:after="120"/>
      </w:pPr>
      <w:r>
        <w:t xml:space="preserve">Knotten posisjoneres som et nasjonalt referanseprosjekt for energismarte, robuste boliger med sjoutsikt. Budskapet er uavhengighet og redusert eksponering, ikke garanterte besparelser.</w:t>
      </w:r>
    </w:p>
    <w:p>
      <w:pPr>
        <w:pStyle w:val="Heading1"/>
        <w:spacing w:after="160" w:before="200"/>
      </w:pPr>
      <w:r>
        <w:t xml:space="preserve">Malgrupper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Boligkjopere som velger etter manedskostnad og trygghet.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Lindesnes kommune og partnere som soker forbildeprosjekt.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Lokalpresse og fagmiljo for synlighet.</w:t>
      </w:r>
    </w:p>
    <w:p>
      <w:pPr>
        <w:pStyle w:val="Heading1"/>
        <w:spacing w:after="160" w:before="200"/>
      </w:pPr>
      <w:r>
        <w:t xml:space="preserve">Kanaler og kampanje</w:t>
      </w:r>
    </w:p>
    <w:p>
      <w:pPr>
        <w:spacing w:after="120"/>
      </w:pPr>
      <w:r>
        <w:t xml:space="preserve">Nettstedet med verktoy (energi, stromtrygghet, manedskostnad, sol, naromrade, strombrudd, konfigurator, CO2) er navet. Interessenter melder uforpliktende interesse for salgsstart. Cookieless analyse (Plausible) maler interesse uten sporing.</w:t>
      </w:r>
    </w:p>
    <w:p>
      <w:pPr>
        <w:pStyle w:val="Heading1"/>
        <w:spacing w:after="160" w:before="200"/>
      </w:pPr>
      <w:r>
        <w:t xml:space="preserve">Prospektinnhold (utkast)</w:t>
      </w:r>
    </w:p>
    <w:p>
      <w:pPr>
        <w:spacing w:after="120"/>
      </w:pPr>
      <w:r>
        <w:t xml:space="preserve">Beliggenhet og sjoutsikt; energikonsept og plusskunde; indikativ manedskostnad mot vanlig bolig; fremdrift og forbehold. Tall hentes fra Energimodell_Knotten.xlsx og er konsistente med nettstedet.</w:t>
      </w:r>
    </w:p>
    <w:p>
      <w:pPr>
        <w:pStyle w:val="Heading2"/>
        <w:spacing w:after="160" w:before="200"/>
      </w:pPr>
      <w:r>
        <w:t xml:space="preserve">Kilder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PVGIS (Photovoltaic Geographical Information System), solinnstraling.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SSB, husholdningenes energibruk.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regjeringen.no og NVE, stromstotte og Norgespris (kontrollert juni 2026).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NVE, plusskunde og energideling.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Kartverket Hoydedata (terreng, CC BY 4.0).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NS 3700 (passivhus) og NS 3720 (klimagassberegninger).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2026-06-20T19:28:57.138Z</dcterms:created>
  <dcterms:modified xsi:type="dcterms:W3CDTF">2026-06-20T19:28:57.138Z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