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Reguleringsplan: anbefalinger</w:t>
      </w:r>
    </w:p>
    <w:p>
      <w:pPr>
        <w:spacing w:after="120"/>
      </w:pPr>
      <w:r>
        <w:t xml:space="preserve">Energi- og infrastrukturrelevante innspill til reguleringsprosessen.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1"/>
        <w:spacing w:after="160" w:before="200"/>
      </w:pPr>
      <w:r>
        <w:t xml:space="preserve">Anbefalinger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 av areal og foringer for felles energibase, batteri og teknisk rom tidlig i planen.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Legg til rette for solceller gjennom takvinkel, orientering og hoyder som ikke skygger nabotomter.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Planlegg intern distribusjon for energideling pa eiendommen (inntil 1 MW AC), med plass til malere og vern.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Vurder ladeinfrastruktur og toveis lading i parkeringslosningen.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Ivareta sjoutsikt, kantsoner mot Audna og turdrag i plankartet.</w:t>
      </w:r>
    </w:p>
    <w:p>
      <w:pPr>
        <w:spacing w:after="120"/>
      </w:pPr>
      <w:r>
        <w:t xml:space="preserve">Innspillene er indikative og ma samordnes med kommunens planavdeling, netteier (Glitre Nett) og fagkyndige.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2026-06-20T19:28:57.114Z</dcterms:created>
  <dcterms:modified xsi:type="dcterms:W3CDTF">2026-06-20T19:28:57.114Z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